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面向电子海图显示与信息系统的建设要求，围绕执行标准符合性、个性化设置需求、需求标识符：DZHT_2025_DesignRestrict。-需求标识符、本项目研制工作的开展必须严格遵守相关保密规定；等核心内容，形成从需求响应、总体架构、功能设计、数据维护到质量保障的完整技术方案。方案编写以招标文件、技术要求和评分项为事实来源，覆盖依据包括Q001、T026、T027、T028、Q013、Q015、B001、B002、S001、S002、S003、S004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方案正文按照“先架构、后功能、再质量与交付”的顺序组织：架构部分明确系统分层、模块边界和数据流向；功能部分围绕业务链路展开输入、处理、输出和异常控制；质量与交付部分说明标准符合、测试验证、文档交付和后续保障方式。对于人员、资质、质保期、服务响应等需要投标人最终确认的事项，正文保留人工确认边界。</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方案面向电子海图显示与信息系统的建设要求，围绕执行标准符合性、海图综合态势展示-标准符合性、海图综合态势展示、AIS/雷达等目标信息的处理与显示等核心内容，形成从需求响应、总体架构、功能设计、数据维护到质量保障的完整技术方案。方案编写以招标文件、技术要求和评分项为事实来源，覆盖依据包括Q001、T001、T002、T003、T004、T005、T006、T007、S001、S002、S003、S004等。</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方案正文按照“先架构、后功能、再质量与交付”的顺序组织：架构部分明确系统分层、模块边界和数据流向；功能部分围绕业务链路展开输入、处理、输出和异常控制；质量与交付部分说明标准符合、测试验证、文档交付和后续保障方式。对于人员、资质、质保期、服务响应等需要投标人最终确认的事项，正文保留人工确认边界。</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系统总体架构采用分层解耦、模块化运行和标准接口隔离的设计思路。自上而下划分为显示交互与态势呈现层、导航业务与安全决策层、数据接入与标准化处理层、平台运行与部署支撑层以及质量安全与交付保障层。该分层结构将电子海图显示、目标信息融合、航线规划、安全告警、数据维护和部署保障分别纳入独立职责域，便于后续按模块扩展和按标准验证。</w:t>
      </w:r>
    </w:p>
    <w:p>
      <w:pPr>
        <w:numPr>
          <w:ilvl w:val="0"/>
          <w:numId w:val="0"/>
        </w:numPr>
        <w:adjustRightInd w:val="0"/>
        <w:spacing w:line="360" w:lineRule="auto"/>
        <w:ind w:leftChars="200"/>
        <w:rPr>
          <w:szCs w:val="28"/>
        </w:rPr>
      </w:pPr>
      <w:r>
        <w:t xml:space="preserve">显示交互层负责海图渲染、昼夜配色、图层控制和HMI操作；导航业务层负责航线编辑、航行监控、安全等深线和告警规则；数据处理层负责S-57/S-63海图、S-52显示库、AIS、雷达、ARPA、NMEA及数据库读写的统一接入和时空对齐；平台支撑层面向龙芯、飞腾、瑞芯微及麒麟、Ubuntu等环境进行适配；质量安全层将IEC、IHO、GB/T和GJB相关要求落到测试、保密、权限和交付记录中。</w:t>
      </w:r>
    </w:p>
    <w:p>
      <w:pPr>
        <w:numPr>
          <w:ilvl w:val="0"/>
          <w:numId w:val="0"/>
        </w:numPr>
        <w:adjustRightInd w:val="0"/>
        <w:spacing w:line="360" w:lineRule="auto"/>
        <w:ind w:leftChars="200"/>
        <w:rPr>
          <w:szCs w:val="28"/>
        </w:rPr>
      </w:pPr>
      <w:r>
        <w:t xml:space="preserve">架构设计的关键不是简单罗列功能，而是建立“数据输入-标准化处理-态势融合-业务判断-告警输出-记录追溯”的闭环链路。海图数据、目标数据和用户操作进入系统后，先完成格式解析和空间位置一致性处理，再由业务模块完成显示、规划、监控和告警，最终通过日志、数据库和测试记录支撑验收与运维，覆盖来源包括T029、T030、T031、Q017、S001、S002、S003、S004等。</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657600"/>
            <wp:effectExtent l="0" t="0" r="0" b="0"/>
            <wp:docPr id="1002" name="功能模块划分图"/>
            <wp:cNvGraphicFramePr>
              <a:graphicFrameLocks noChangeAspect="1"/>
            </wp:cNvGraphicFramePr>
            <a:graphic>
              <a:graphicData uri="http://schemas.openxmlformats.org/drawingml/2006/picture">
                <pic:pic>
                  <pic:nvPicPr>
                    <pic:cNvPr id="0" name="功能模块划分图"/>
                    <pic:cNvPicPr/>
                  </pic:nvPicPr>
                  <pic:blipFill>
                    <a:blip r:embed="rId12"/>
                    <a:stretch>
                      <a:fillRect/>
                    </a:stretch>
                  </pic:blipFill>
                  <pic:spPr>
                    <a:xfrm>
                      <a:off x="0" y="0"/>
                      <a:ext cx="5486400" cy="3657600"/>
                    </a:xfrm>
                    <a:prstGeom prst="rect">
                      <a:avLst/>
                    </a:prstGeom>
                  </pic:spPr>
                </pic:pic>
              </a:graphicData>
            </a:graphic>
          </wp:inline>
        </w:drawing>
      </w:r>
    </w:p>
    <w:p>
      <w:pPr>
        <w:spacing w:line="360" w:lineRule="auto"/>
        <w:jc w:val="center"/>
        <w:rPr>
          <w:rFonts w:hint="eastAsia"/>
        </w:rPr>
      </w:pPr>
      <w:r>
        <w:t xml:space="preserve">功能模块划分图，用于说明本节相关模块、数据流或流程关系，来源需求：T029、T030、T031、Q017。</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总体架构图应体现五类关系：一是外部海图、传感器、导航设备和用户操作输入；二是数据接入与标准化处理链路；三是海图显示、目标融合、航线规划和安全告警等业务模块；四是跨平台运行、多设备协同、性能监测等支撑能力；五是标准符合、权限保密、测试验收和交付记录形成的质量闭环。</w:t>
      </w:r>
    </w:p>
    <w:p>
      <w:pPr>
        <w:spacing w:line="360" w:lineRule="auto"/>
        <w:ind w:firstLine="480" w:firstLineChars="200"/>
        <w:rPr>
          <w:rFonts w:hint="eastAsia"/>
          <w:lang w:val="en-US" w:eastAsia="zh-CN"/>
        </w:rPr>
      </w:pPr>
      <w:r>
        <w:t xml:space="preserve">图中各业务模块不应孤立呈现，而应通过数据流和控制流连接：海图与目标数据进入接入层后形成统一态势数据，显示引擎负责叠加呈现，航线与监控模块调用态势结果进行规则判断，告警模块输出提示并记录事件，质量与安全模块贯穿运行全过程。该表达方式能够让评审人员看到系统从输入到输出的工作机理。</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评分项能够回到来源需求。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相关章节覆盖T001、T002、T003、T004、T005、T006、T007、T008等来源要求。</w:t>
      </w:r>
    </w:p>
    <w:p>
      <w:pPr>
        <w:pStyle w:val="3"/>
        <w:numPr>
          <w:ilvl w:val="0"/>
          <w:numId w:val="0"/>
        </w:numPr>
        <w:bidi w:val="0"/>
        <w:ind w:leftChars="200"/>
        <w:rPr>
          <w:rFonts w:hint="eastAsia" w:eastAsia="宋体"/>
          <w:lang w:eastAsia="zh-CN"/>
        </w:rPr>
      </w:pPr>
      <w:r>
        <w:t xml:space="preserve">电子海图显示与图层控制模块负责标准海图数据的加载、显示范围匹配、比例尺切换、漫游缩放和图层要素控制。模块在显示链路中将S-57/S-63数据、S-52显示规则和PresLib符号表达进行解耦处理，使海图内容、显示样式和用户操作能够独立演进。</w:t>
      </w:r>
    </w:p>
    <w:p>
      <w:pPr>
        <w:pStyle w:val="3"/>
        <w:numPr>
          <w:ilvl w:val="0"/>
          <w:numId w:val="0"/>
        </w:numPr>
        <w:bidi w:val="0"/>
        <w:ind w:leftChars="200"/>
        <w:rPr>
          <w:rFonts w:hint="eastAsia" w:eastAsia="宋体"/>
          <w:lang w:eastAsia="zh-CN"/>
        </w:rPr>
      </w:pPr>
      <w:r>
        <w:t xml:space="preserve">在运行过程中，模块根据当前船位、显示比例尺和用户选择自动匹配可用海图单元，完成基础、标准、全部等图层组合显示，并支持白天、黄昏、夜晚等配色模式。显示输出同时向目标叠加、航线规划和安全告警模块提供统一的地理上下文。来源依据为T001、T002、T003、T004、T005、T006。</w:t>
      </w:r>
    </w:p>
    <w:p>
      <w:pPr>
        <w:pStyle w:val="3"/>
        <w:numPr>
          <w:ilvl w:val="0"/>
          <w:numId w:val="0"/>
        </w:numPr>
        <w:bidi w:val="0"/>
        <w:ind w:leftChars="200"/>
        <w:rPr>
          <w:rFonts w:hint="eastAsia" w:eastAsia="宋体"/>
          <w:lang w:eastAsia="zh-CN"/>
        </w:rPr>
      </w:pPr>
      <w:r>
        <w:t xml:space="preserve">目标信息融合与态势叠加模块接入雷达、AIS、ARPA及本船状态数据，对目标标识、位置、航向、航速和跟踪状态进行统一维护。模块以电子海图坐标体系为基准，将动态目标转换为可叠加的态势图层。</w:t>
      </w:r>
    </w:p>
    <w:p>
      <w:pPr>
        <w:pStyle w:val="3"/>
        <w:numPr>
          <w:ilvl w:val="0"/>
          <w:numId w:val="0"/>
        </w:numPr>
        <w:bidi w:val="0"/>
        <w:ind w:leftChars="200"/>
        <w:rPr>
          <w:rFonts w:hint="eastAsia" w:eastAsia="宋体"/>
          <w:lang w:eastAsia="zh-CN"/>
        </w:rPr>
      </w:pPr>
      <w:r>
        <w:t xml:space="preserve">针对雷达回波与AIS/ARPA目标在刷新频率、坐标来源和数据精度上的差异，模块采用缓冲队列、时间戳校准和空间配准机制进行融合，并通过OpenGL显示链路完成实时叠加。输出结果服务于航行监控、避碰判断和告警提示。来源依据为T007、T008、T009、T018、T021。</w:t>
      </w:r>
    </w:p>
    <w:p>
      <w:pPr>
        <w:pStyle w:val="3"/>
        <w:numPr>
          <w:ilvl w:val="0"/>
          <w:numId w:val="0"/>
        </w:numPr>
        <w:bidi w:val="0"/>
        <w:ind w:leftChars="200"/>
        <w:rPr>
          <w:rFonts w:hint="eastAsia" w:eastAsia="宋体"/>
          <w:lang w:eastAsia="zh-CN"/>
        </w:rPr>
      </w:pPr>
      <w:r>
        <w:t xml:space="preserve">航线规划与航行监控模块提供航点新增、删除、拖动、排序和航段编辑能力，支持人工规划与自动辅助规划结合。模块对航线几何关系、航段连通性、关键转向点和安全边界进行校验，形成可保存、可复用、可监控的航线对象。</w:t>
      </w:r>
    </w:p>
    <w:p>
      <w:pPr>
        <w:pStyle w:val="3"/>
        <w:numPr>
          <w:ilvl w:val="0"/>
          <w:numId w:val="0"/>
        </w:numPr>
        <w:bidi w:val="0"/>
        <w:ind w:leftChars="200"/>
        <w:rPr>
          <w:rFonts w:hint="eastAsia" w:eastAsia="宋体"/>
          <w:lang w:eastAsia="zh-CN"/>
        </w:rPr>
      </w:pPr>
      <w:r>
        <w:t xml:space="preserve">航行过程中，模块以本船实时位置和计划航线为输入，计算偏航、到达、转向和航段状态，并将监控结果推送给显示和告警模块。该设计使航线从静态绘制对象转化为运行中的监控对象。来源依据为T010、T011、T012、T013、T014、T015。</w:t>
      </w:r>
    </w:p>
    <w:p>
      <w:pPr>
        <w:pStyle w:val="3"/>
        <w:numPr>
          <w:ilvl w:val="0"/>
          <w:numId w:val="0"/>
        </w:numPr>
        <w:bidi w:val="0"/>
        <w:ind w:leftChars="200"/>
        <w:rPr>
          <w:rFonts w:hint="eastAsia" w:eastAsia="宋体"/>
          <w:lang w:eastAsia="zh-CN"/>
        </w:rPr>
      </w:pPr>
      <w:r>
        <w:t xml:space="preserve">安全告警与风险预警模块围绕安全等深线、水深、危险区、偏航和目标态势建立规则判断机制。模块从海图、航线、本船状态和目标融合结果中获取输入，按照预设阈值和航行规则生成风险事件。</w:t>
      </w:r>
    </w:p>
    <w:p>
      <w:pPr>
        <w:pStyle w:val="3"/>
        <w:numPr>
          <w:ilvl w:val="0"/>
          <w:numId w:val="0"/>
        </w:numPr>
        <w:bidi w:val="0"/>
        <w:ind w:leftChars="200"/>
        <w:rPr>
          <w:rFonts w:hint="eastAsia" w:eastAsia="宋体"/>
          <w:lang w:eastAsia="zh-CN"/>
        </w:rPr>
      </w:pPr>
      <w:r>
        <w:t xml:space="preserve">告警处理采用“识别-提示-确认-记录”的闭环：识别阶段完成规则匹配，提示阶段在显示界面突出风险位置，确认阶段接收用户操作，记录阶段写入事件日志和后续复核依据。来源依据为T016、T019、T020、T024、T025。</w:t>
      </w:r>
    </w:p>
    <w:p>
      <w:pPr>
        <w:pStyle w:val="3"/>
        <w:numPr>
          <w:ilvl w:val="0"/>
          <w:numId w:val="0"/>
        </w:numPr>
        <w:bidi w:val="0"/>
        <w:ind w:leftChars="200"/>
        <w:rPr>
          <w:rFonts w:hint="eastAsia" w:eastAsia="宋体"/>
          <w:lang w:eastAsia="zh-CN"/>
        </w:rPr>
      </w:pPr>
      <w:r>
        <w:t xml:space="preserve">人机交互与个性化配置模块面向船员高频操作场景设计菜单、按钮、图标、快捷键和多输入设备适配能力。模块将触摸屏、鼠标、键盘、轨迹球等输入统一抽象为操作事件，再分发至海图显示、航线编辑和配置管理等业务模块。</w:t>
      </w:r>
    </w:p>
    <w:p>
      <w:pPr>
        <w:pStyle w:val="3"/>
        <w:numPr>
          <w:ilvl w:val="0"/>
          <w:numId w:val="0"/>
        </w:numPr>
        <w:bidi w:val="0"/>
        <w:ind w:leftChars="200"/>
        <w:rPr>
          <w:rFonts w:hint="eastAsia" w:eastAsia="宋体"/>
          <w:lang w:eastAsia="zh-CN"/>
        </w:rPr>
      </w:pPr>
      <w:r>
        <w:t xml:space="preserve">个性化设置以用户配置项形式保存，包括显示模式、图层偏好、亮度、告警提示方式和常用操作入口等。配置变更需即时反馈到界面，同时写入持久化存储，便于重启或多设备切换后恢复使用习惯。来源依据为T026、T027、T041。</w:t>
      </w:r>
    </w:p>
    <w:p>
      <w:pPr>
        <w:pStyle w:val="3"/>
        <w:numPr>
          <w:ilvl w:val="0"/>
          <w:numId w:val="0"/>
        </w:numPr>
        <w:bidi w:val="0"/>
        <w:ind w:leftChars="200"/>
        <w:rPr>
          <w:rFonts w:hint="eastAsia" w:eastAsia="宋体"/>
          <w:lang w:eastAsia="zh-CN"/>
        </w:rPr>
      </w:pPr>
      <w:r>
        <w:t xml:space="preserve">平台适配与模块化运行模块将硬件架构、操作系统、图形驱动、外设接口和运行参数封装在平台支撑层。业务模块只依赖抽象接口，避免与龙芯、飞腾、瑞芯微或麒麟、Ubuntu等具体环境强绑定。</w:t>
      </w:r>
    </w:p>
    <w:p>
      <w:pPr>
        <w:pStyle w:val="3"/>
        <w:numPr>
          <w:ilvl w:val="0"/>
          <w:numId w:val="0"/>
        </w:numPr>
        <w:bidi w:val="0"/>
        <w:ind w:leftChars="200"/>
        <w:rPr>
          <w:rFonts w:hint="eastAsia" w:eastAsia="宋体"/>
          <w:lang w:eastAsia="zh-CN"/>
        </w:rPr>
      </w:pPr>
      <w:r>
        <w:t xml:space="preserve">模块化运行机制将显示、数据、告警、配置和日志等能力拆分为清晰边界，支持按需启停、独立诊断和后续扩展。多设备协同时，系统根据优先级和运行状态进行控制，避免多个终端对关键状态产生冲突。来源依据为T029、T030。</w:t>
      </w:r>
    </w:p>
    <w:p>
      <w:pPr>
        <w:pStyle w:val="3"/>
        <w:numPr>
          <w:ilvl w:val="0"/>
          <w:numId w:val="0"/>
        </w:numPr>
        <w:bidi w:val="0"/>
        <w:ind w:leftChars="200"/>
        <w:rPr>
          <w:rFonts w:hint="eastAsia" w:eastAsia="宋体"/>
          <w:lang w:eastAsia="zh-CN"/>
        </w:rPr>
      </w:pPr>
      <w:r>
        <w:t xml:space="preserve">数据维护与接口管理模块负责海图数据、航线数据、目标接口数据、日志和配置的统一维护。模块通过导入校验、版本识别、权限控制和异常记录，控制正式运行数据库与测试数据之间的边界。</w:t>
      </w:r>
    </w:p>
    <w:p>
      <w:pPr>
        <w:pStyle w:val="3"/>
        <w:numPr>
          <w:ilvl w:val="0"/>
          <w:numId w:val="0"/>
        </w:numPr>
        <w:bidi w:val="0"/>
        <w:ind w:leftChars="200"/>
        <w:rPr>
          <w:rFonts w:hint="eastAsia" w:eastAsia="宋体"/>
          <w:lang w:eastAsia="zh-CN"/>
        </w:rPr>
      </w:pPr>
      <w:r>
        <w:t xml:space="preserve">接口管理侧对外部导航设备、文件系统和数据库读写进行封装，向业务模块提供稳定的数据访问能力。对于新增传感器或功能模块，系统通过标准接口扩展，降低后续适配对既有功能的影响。来源依据为T031、T033、T034。</w:t>
      </w:r>
    </w:p>
    <w:p>
      <w:pPr>
        <w:pStyle w:val="3"/>
        <w:numPr>
          <w:ilvl w:val="0"/>
          <w:numId w:val="0"/>
        </w:numPr>
        <w:bidi w:val="0"/>
        <w:ind w:leftChars="200"/>
        <w:rPr>
          <w:rFonts w:hint="eastAsia" w:eastAsia="宋体"/>
          <w:lang w:eastAsia="zh-CN"/>
        </w:rPr>
      </w:pPr>
      <w:r>
        <w:t xml:space="preserve">安全与保密控制模块负责将相关需求转化为可执行的软件能力，设计时按照输入数据、处理规则、输出结果和异常记录四个方面划定功能边界。模块与其他能力通过稳定接口协同，避免将显示、数据、业务规则和运行支撑耦合在同一处理单元中。来源依据为Q002、Q003、Q005、Q006、Q007、Q009。</w:t>
      </w:r>
    </w:p>
    <w:p>
      <w:pPr>
        <w:pStyle w:val="3"/>
        <w:numPr>
          <w:ilvl w:val="0"/>
          <w:numId w:val="0"/>
        </w:numPr>
        <w:bidi w:val="0"/>
        <w:ind w:leftChars="200"/>
        <w:rPr>
          <w:rFonts w:hint="eastAsia" w:eastAsia="宋体"/>
          <w:lang w:eastAsia="zh-CN"/>
        </w:rPr>
      </w:pPr>
      <w:r>
        <w:t xml:space="preserve">安全与保密控制模块在实现上应保留配置、日志和测试接口，便于后续进行单元测试、集成测试和验收复核。涉及高风险事实或商务服务事项时，保持复核或人工确认状态。</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