
<file path=[Content_Types].xml><?xml version="1.0" encoding="utf-8"?>
<ns0:Types xmlns:ns0="http://schemas.openxmlformats.org/package/2006/content-types">
  <ns0:Default Extension="xml" ContentType="application/xml"/>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Default Extension="png" ContentType="image/png"/>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Shape" xmlns:ns6="urn:schemas-microsoft-com:vml" xmlns:ns7="urn:schemas-microsoft-com:office:office" xmlns:ns8="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ns2:paraId="50F4E0A5">
        <w:trPr>
          <w:cantSplit/>
        </w:trPr>
        <w:tc>
          <w:tcPr>
            <w:tcW w:w="8145" w:type="dxa"/>
          </w:tcPr>
          <w:p ns2: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ns2:paraId="05E24A59">
        <w:tblPrEx>
          <w:tblCellMar>
            <w:top w:w="0" w:type="dxa"/>
            <w:left w:w="0" w:type="dxa"/>
            <w:bottom w:w="0" w:type="dxa"/>
            <w:right w:w="0" w:type="dxa"/>
          </w:tblCellMar>
        </w:tblPrEx>
        <w:trPr>
          <w:cantSplit/>
        </w:trPr>
        <w:tc>
          <w:tcPr>
            <w:tcW w:w="8145" w:type="dxa"/>
          </w:tcPr>
          <w:p>
            <w:pPr>
              <w:widowControl/>
              <w:spacing w:before="120"/>
              <w:jc w:val="center"/>
              <w:rPr>
                <w:rFonts w:hint="eastAsia" w:ascii="宋体" w:hAnsi="宋体" w:cs="宋体"/>
                <w:b/>
                <w:bCs/>
                <w:spacing w:val="20"/>
                <w:kern w:val="0"/>
                <w:sz w:val="48"/>
                <w:szCs w:val="48"/>
              </w:rPr>
            </w:pPr>
            <w:r>
              <w:t xml:space="preserve">电子海图显示与信息系统</w:t>
            </w:r>
          </w:p>
        </w:tc>
      </w:tr>
      <w:tr ns2:paraId="37592975">
        <w:tblPrEx>
          <w:tblCellMar>
            <w:top w:w="0" w:type="dxa"/>
            <w:left w:w="0" w:type="dxa"/>
            <w:bottom w:w="0" w:type="dxa"/>
            <w:right w:w="0" w:type="dxa"/>
          </w:tblCellMar>
        </w:tblPrEx>
        <w:trPr>
          <w:cantSplit/>
        </w:trPr>
        <w:tc>
          <w:tcPr>
            <w:tcW w:w="8145" w:type="dxa"/>
          </w:tcPr>
          <w:p ns2: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ns2: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ns1:AlternateContent>
          <ns1: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a:graphicData uri="http://schemas.microsoft.com/office/word/2010/wordprocessingShape">
                    <ns5:wsp>
                      <ns5:cNvSpPr txBox="1">
                        <a:spLocks noChangeArrowheads="1"/>
                      </ns5:cNvSpPr>
                      <ns5:spPr bwMode="auto">
                        <a:xfrm>
                          <a:off x="0" y="0"/>
                          <a:ext cx="1989455" cy="1219200"/>
                        </a:xfrm>
                        <a:prstGeom prst="rect">
                          <a:avLst/>
                        </a:prstGeom>
                        <a:solidFill>
                          <a:srgbClr val="FFFFFF"/>
                        </a:solidFill>
                        <a:ln>
                          <a:noFill/>
                        </a:ln>
                      </ns5:spPr>
                      <ns5:txb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5:txbx>
                      <ns5:bodyPr rot="0" vert="horz" wrap="square" lIns="91440" tIns="45720" rIns="91440" bIns="45720" anchor="t" anchorCtr="0" upright="1">
                        <a:noAutofit/>
                      </ns5:bodyPr>
                    </ns5:wsp>
                  </a:graphicData>
                </a:graphic>
              </wp:anchor>
            </w:drawing>
          </ns1:Choice>
          <ns1:Fallback>
            <w:pict>
              <ns6:shape id="文本框 4" ns7:spid="_x0000_s1026" ns7:spt="202" type="#_x0000_t202" style="position:absolute;left:0pt;margin-left:263.6pt;margin-top:10.55pt;height:96pt;width:156.65pt;z-index:251660288;mso-width-relative:page;mso-height-relative:page;" fillcolor="#FFFFFF" filled="t" stroked="f" coordsize="21600,21600" ns7: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ns6:fill on="t" focussize="0,0"/>
                <ns6:stroke on="f"/>
                <ns6:imagedata ns7:title=""/>
                <ns7:lock ns6:ext="edit" aspectratio="f"/>
                <ns6:textbo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6:textbox>
              </ns6:shape>
            </w:pict>
          </ns1:Fallback>
        </ns1:AlternateContent>
      </w:r>
      <w:r>
        <w:rPr>
          <w:sz w:val="28"/>
        </w:rPr>
        <ns1:AlternateContent>
          <ns1: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a:graphicData uri="http://schemas.microsoft.com/office/word/2010/wordprocessingShape">
                    <ns5:wsp>
                      <ns5:cNvSpPr txBox="1">
                        <a:spLocks noChangeArrowheads="1"/>
                      </ns5:cNvSpPr>
                      <ns5:spPr bwMode="auto">
                        <a:xfrm>
                          <a:off x="0" y="0"/>
                          <a:ext cx="2924810" cy="1551940"/>
                        </a:xfrm>
                        <a:prstGeom prst="rect">
                          <a:avLst/>
                        </a:prstGeom>
                        <a:solidFill>
                          <a:srgbClr val="FFFFFF"/>
                        </a:solidFill>
                        <a:ln>
                          <a:noFill/>
                        </a:ln>
                      </ns5:spPr>
                      <ns5:txb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5:txbx>
                      <ns5:bodyPr rot="0" vert="horz" wrap="square" lIns="91440" tIns="45720" rIns="91440" bIns="45720" anchor="t" anchorCtr="0" upright="1">
                        <a:noAutofit/>
                      </ns5:bodyPr>
                    </ns5:wsp>
                  </a:graphicData>
                </a:graphic>
              </wp:anchor>
            </w:drawing>
          </ns1:Choice>
          <ns1:Fallback>
            <w:pict>
              <ns6:shape id="文本框 1" ns7:spid="_x0000_s1026" ns7:spt="202" type="#_x0000_t202" style="position:absolute;left:0pt;margin-left:18.35pt;margin-top:3.85pt;height:122.2pt;width:230.3pt;z-index:251659264;mso-width-relative:page;mso-height-relative:page;" fillcolor="#FFFFFF" filled="t" stroked="f" coordsize="21600,21600" ns7: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ns6:fill on="t" focussize="0,0"/>
                <ns6:stroke on="f"/>
                <ns6:imagedata ns7:title=""/>
                <ns7:lock ns6:ext="edit" aspectratio="f"/>
                <ns6:textbo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6:textbox>
              </ns6:shape>
            </w:pict>
          </ns1:Fallback>
        </ns1:AlternateContent>
      </w:r>
      <w:r>
        <ns1:AlternateContent>
          <ns1: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a:graphicData uri="http://schemas.microsoft.com/office/word/2010/wordprocessingShape">
                    <ns5:wsp>
                      <ns5:cNvSpPr txBox="1">
                        <a:spLocks noChangeArrowheads="1"/>
                      </ns5:cNvSpPr>
                      <ns5:spPr bwMode="auto">
                        <a:xfrm>
                          <a:off x="0" y="0"/>
                          <a:ext cx="4057015" cy="3639820"/>
                        </a:xfrm>
                        <a:prstGeom prst="rect">
                          <a:avLst/>
                        </a:prstGeom>
                        <a:solidFill>
                          <a:srgbClr val="FFFFFF"/>
                        </a:solidFill>
                        <a:ln w="9525">
                          <a:solidFill>
                            <a:srgbClr val="FFFFFF"/>
                          </a:solidFill>
                          <a:miter lim="800000"/>
                        </a:ln>
                      </ns5:spPr>
                      <ns5:txb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5:txbx>
                      <ns5:bodyPr rot="0" vert="horz" wrap="square" lIns="91440" tIns="45720" rIns="91440" bIns="45720" anchor="t" anchorCtr="0" upright="1">
                        <a:noAutofit/>
                      </ns5:bodyPr>
                    </ns5:wsp>
                  </a:graphicData>
                </a:graphic>
              </wp:anchor>
            </w:drawing>
          </ns1:Choice>
          <ns1:Fallback>
            <w:pict>
              <ns6:shape id="文本框 3" ns7:spid="_x0000_s1026" ns7:spt="202" type="#_x0000_t202" style="position:absolute;left:0pt;margin-left:58.5pt;margin-top:317pt;height:286.6pt;width:319.45pt;mso-wrap-distance-bottom:0pt;mso-wrap-distance-top:0pt;z-index:251661312;mso-width-relative:page;mso-height-relative:page;" fillcolor="#FFFFFF" filled="t" stroked="t" coordsize="21600,21600" ns7: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ns6:fill on="t" focussize="0,0"/>
                <ns6:stroke color="#FFFFFF" miterlimit="8" joinstyle="miter"/>
                <ns6:imagedata ns7:title=""/>
                <ns7:lock ns6:ext="edit" aspectratio="f"/>
                <ns6:textbo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6:textbox>
                <ns8:wrap type="topAndBottom"/>
              </ns6:shape>
            </w:pict>
          </ns1:Fallback>
        </ns1:AlternateContent>
      </w:r>
      <w:r>
        <ns1:AlternateContent>
          <ns1: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a:graphicData uri="http://schemas.microsoft.com/office/word/2010/wordprocessingShape">
                    <ns5:wsp>
                      <ns5:cNvSpPr txBox="1">
                        <a:spLocks noChangeArrowheads="1"/>
                      </ns5:cNvSpPr>
                      <ns5:spPr bwMode="auto">
                        <a:xfrm>
                          <a:off x="0" y="0"/>
                          <a:ext cx="3891280" cy="447675"/>
                        </a:xfrm>
                        <a:prstGeom prst="rect">
                          <a:avLst/>
                        </a:prstGeom>
                        <a:noFill/>
                        <a:ln>
                          <a:noFill/>
                        </a:ln>
                      </ns5:spPr>
                      <ns5:txbx>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5:txbx>
                      <ns5:bodyPr rot="0" vert="horz" wrap="square" lIns="0" tIns="0" rIns="0" bIns="0" anchor="t" anchorCtr="0" upright="1">
                        <a:noAutofit/>
                      </ns5:bodyPr>
                    </ns5:wsp>
                  </a:graphicData>
                </a:graphic>
              </wp:anchor>
            </w:drawing>
          </ns1:Choice>
          <ns1:Fallback>
            <w:pict>
              <ns6:shape id="文本框 2" ns7:spid="_x0000_s1026" ns7:spt="202" type="#_x0000_t202" style="position:absolute;left:0pt;margin-left:64pt;margin-top:637.5pt;height:35.25pt;width:306.4pt;z-index:251662336;mso-width-relative:page;mso-height-relative:page;" filled="f" stroked="f" coordsize="21600,21600" ns7: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ns6:fill on="f" focussize="0,0"/>
                <ns6:stroke on="f"/>
                <ns6:imagedata ns7:title=""/>
                <ns7:lock ns6:ext="edit" aspectratio="f"/>
                <ns6:textbox inset="0mm,0mm,0mm,0mm">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6:textbox>
              </ns6:shape>
            </w:pict>
          </ns1:Fallback>
        </ns1:AlternateContent>
      </w:r>
    </w:p>
    <w:p ns2:paraId="6A609F38">
      <w:pPr>
        <w:tabs>
          <w:tab w:val="left" w:pos="709"/>
        </w:tabs>
      </w:pPr>
      <w:bookmarkStart w:id="0" w:name="_Toc15125"/>
    </w:p>
    <w:p ns2:paraId="0722E6FD">
      <w:pPr>
        <w:tabs>
          <w:tab w:val="left" w:pos="709"/>
        </w:tabs>
      </w:pPr>
    </w:p>
    <w:p ns2: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ns2:paraId="16EE665A">
      <w:pPr>
        <w:spacing w:line="360" w:lineRule="auto"/>
        <w:ind w:firstLine="560"/>
        <w:jc w:val="center"/>
        <w:rPr>
          <w:rFonts w:hint="eastAsia" w:ascii="黑体" w:hAnsi="黑体" w:eastAsia="黑体" w:cs="黑体"/>
          <w:sz w:val="28"/>
          <w:szCs w:val="21"/>
        </w:rPr>
      </w:pPr>
      <w:r>
        <w:t xml:space="preserve">电子海图显示与信息系统设计方案报告</w:t>
      </w:r>
    </w:p>
    <w:p ns2: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ns2: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随着现代航海技术的快速发展与全球航运密度的持续增加，海上交通安全与通航效率对船舶导航系统提出了更高的数据融合、实时显示和智能辅助决策要求。传统纸质海图及单一导航设备已难以满足复杂海况下的避碰、监控和应急处置需要，国际海事组织及相关标准也对电子海图显示与信息系统的标准符合性、操作性能和数据安全提出了更严格要求。在此背景下，建设一套集数字化海图、多源目标监控、航线规划、航行监控和主动安全预警于一体的电子海图显示与信息系统，是提升船舶航行安全和推动航海装备智能化升级的重要基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面向船舶航行全过程应用场景，重点构建海图综合态势展示、AIS/雷达/ARPA等目标信息处理与显示、航线规划、安全等深线与水深告警、航行监控和安全预警等核心能力。系统通过接入S-57/S-63电子海图数据，并结合S-52显示规则、OpenGL实时叠加显示、NMEA导航数据接入和多源目标融合处理，形成统一、连续、可交互的航行态势底座，为船员提供清晰直观的环境感知和辅助决策支撑。</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从业务应用角度看，本系统的建设有助于把传统的事后响应式航行安全管理，提升为事前主动感知、事中持续监控和异常及时提示的闭环防护模式。系统通过对本船位置、计划航线、动态目标、危险水域、禁航区域和水深条件的综合判断，能够在偏航、浅水、目标接近、航线风险等场景下提供及时提示和记录依据，降低复杂水域航行中的人工判断压力，提升船舶运行安全性和管理精细化水平。</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方案作为电子海图显示与信息系统建设的技术纲领文件，主要用于明确系统建设目标、总体架构、功能边界、关键技术路线、数据处理逻辑、质量验证方法和交付实施要求。通过对系统业务流程、模块职责、接口关系和安全控制机制进行系统化描述，方案为后续软件设计、开发集成、测试验证、项目管理和验收交付提供统一依据，促进研发团队、项目管理方和相关利益方在系统能力与技术实现路径上形成一致理解。</w:t>
      </w:r>
    </w:p>
    <w:p ns2: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Toc22801"/>
      <w:bookmarkStart w:id="6" w:name="_Ref8741"/>
      <w:r>
        <w:rPr>
          <w:rFonts w:hint="eastAsia" w:ascii="黑体" w:hAnsi="黑体" w:eastAsia="黑体" w:cs="黑体"/>
          <w:sz w:val="28"/>
          <w:szCs w:val="32"/>
          <w:lang w:val="en-US" w:eastAsia="zh-CN"/>
        </w:rPr>
        <w:t>建设内容</w:t>
      </w:r>
      <w:bookmarkEnd w:id="4"/>
      <w:bookmarkEnd w:id="5"/>
      <w:bookmarkEnd w:id="6"/>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本项目建设内容围绕电子海图显示与信息系统的核心业务能力展开，形成海图数据接入、综合态势显示、目标信息融合、航线规划、航行监控、安全告警、数据维护、系统配置和运行保障等功能组合。系统以标准电子海图为基础底图，以AIS、雷达、ARPA和本船导航数据为动态输入，以航线、告警、日志和配置管理为业务支撑，构建覆盖船舶航行全过程的信息化应用平台。</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海图综合态势展示方面，系统建设标准海图加载、自动匹配、缩放漫游、图层控制、昼夜配色、船艏向上/正北向上、真实位移/相对位移等能力，使海图显示能够适配不同航行场景和操作习惯。系统同时支持雷达回波、AIS目标、ARPA目标、本船符号、自定义GIS要素、潮汐海流、气象信息和临时通告等多源信息叠加显示，形成统一的航行态势界面。</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导航业务和安全控制方面，系统建设手动与自动航线设计、航点和航段编辑、航线安全检查、航行计算、计划航线监控、偏航监控、安全等深线、水深告警、危险区域提示和告警记录等能力。上述功能以电子海图和实时位置为基础，通过规则判断和图形化提示支持船员进行航行计划制定、风险识别和过程监控。</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数据与运行支撑方面，系统建设海图文件管理、数据版本维护、外部导航设备接口、数据库读写、配置保存、日志审计、跨平台适配和多设备协同运行能力。系统通过模块化设计将显示、数据、业务规则和平台适配解耦，便于后续扩展、测试验证和部署维护。</w:t>
      </w:r>
    </w:p>
    <w:p ns2: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2684"/>
      <w:bookmarkStart w:id="8" w:name="_Toc13326"/>
      <w:bookmarkStart w:id="9" w:name="_Ref1416"/>
      <w:bookmarkStart w:id="10" w:name="_Ref3127"/>
      <w:r>
        <w:rPr>
          <w:rFonts w:hint="eastAsia" w:ascii="黑体" w:hAnsi="黑体" w:eastAsia="黑体" w:cs="黑体"/>
          <w:sz w:val="28"/>
          <w:szCs w:val="32"/>
          <w:lang w:val="en-US" w:eastAsia="zh-CN"/>
        </w:rPr>
        <w:t>编写依据</w:t>
      </w:r>
      <w:bookmarkEnd w:id="7"/>
      <w:bookmarkEnd w:id="8"/>
      <w:bookmarkEnd w:id="9"/>
      <w:bookmarkEnd w:id="10"/>
    </w:p>
    <w:p ns2: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引用规范和标准如下所示。</w:t>
      </w:r>
    </w:p>
    <w:p ns2: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ns2:ligatures ns2:val="none"/>
        </w:rPr>
      </w:pPr>
      <w:r>
        <w:rPr>
          <w:rFonts w:hint="eastAsia" w:ascii="Times New Roman" w:hAnsi="Times New Roman" w:eastAsia="宋体" w:cs="Times New Roman"/>
          <w:color w:val="auto"/>
          <w:sz w:val="24"/>
          <w:szCs w:val="24"/>
          <w:lang w:val="en-US" w:eastAsia="zh-CN"/>
          <ns2:ligatures ns2: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ns2: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ns2:paraId="7B362AF5">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bookmarkStart w:id="11" w:name="_Hlk205283058"/>
            <w:r>
              <w:rPr>
                <w:rFonts w:hint="eastAsia" w:ascii="Times New Roman" w:hAnsi="Times New Roman" w:eastAsia="宋体" w:cs="Times New Roman"/>
                <w:b/>
                <w:bCs/>
                <w:szCs w:val="24"/>
                <w:lang w:bidi="ar"/>
                <ns2:ligatures ns2:val="none"/>
              </w:rPr>
              <w:t>序 号</w:t>
            </w:r>
          </w:p>
        </w:tc>
        <w:tc>
          <w:tcPr>
            <w:tcW w:w="1315" w:type="pct"/>
            <w:tcBorders>
              <w:top w:val="single" w:color="000000" w:sz="12" w:space="0"/>
              <w:left w:val="nil"/>
              <w:bottom w:val="single" w:color="000000" w:sz="12" w:space="0"/>
              <w:right w:val="single" w:color="000000" w:sz="8" w:space="0"/>
            </w:tcBorders>
            <w:vAlign w:val="center"/>
          </w:tcPr>
          <w:p ns2:paraId="4D5EC2C8">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标  识</w:t>
            </w:r>
          </w:p>
        </w:tc>
        <w:tc>
          <w:tcPr>
            <w:tcW w:w="2681" w:type="pct"/>
            <w:tcBorders>
              <w:top w:val="single" w:color="000000" w:sz="12" w:space="0"/>
              <w:left w:val="nil"/>
              <w:bottom w:val="single" w:color="000000" w:sz="12" w:space="0"/>
              <w:right w:val="single" w:color="000000" w:sz="8" w:space="0"/>
            </w:tcBorders>
            <w:vAlign w:val="center"/>
          </w:tcPr>
          <w:p ns2:paraId="05B1D7D9">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名  称</w:t>
            </w:r>
          </w:p>
        </w:tc>
        <w:tc>
          <w:tcPr>
            <w:tcW w:w="566" w:type="pct"/>
            <w:tcBorders>
              <w:top w:val="single" w:color="000000" w:sz="12" w:space="0"/>
              <w:left w:val="nil"/>
              <w:bottom w:val="single" w:color="000000" w:sz="12" w:space="0"/>
              <w:right w:val="single" w:color="000000" w:sz="12" w:space="0"/>
            </w:tcBorders>
            <w:vAlign w:val="center"/>
          </w:tcPr>
          <w:p ns2:paraId="2A76FC5C">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版 本</w:t>
            </w:r>
          </w:p>
        </w:tc>
      </w:tr>
      <w:tr ns2: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ns2: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ns2: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ns2: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t xml:space="preserve">电子海图显示与信息系统技术要求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ns2: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ns2: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ns2:ligatures ns2:val="none"/>
              </w:rPr>
            </w:pPr>
            <w:r>
              <w:t xml:space="preserve">电子海图显示与信息系统招标文件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ns2: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2017</w:t>
            </w:r>
          </w:p>
        </w:tc>
      </w:tr>
      <w:tr ns2: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2021</w:t>
            </w:r>
          </w:p>
        </w:tc>
      </w:tr>
      <w:tr ns2: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341D014B">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2018</w:t>
            </w:r>
          </w:p>
        </w:tc>
      </w:tr>
      <w:tr ns2: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22662222">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2022</w:t>
            </w:r>
          </w:p>
        </w:tc>
      </w:tr>
      <w:tr ns2: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A2BB9F">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2013</w:t>
            </w:r>
          </w:p>
        </w:tc>
      </w:tr>
      <w:tr ns2: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2024</w:t>
            </w:r>
          </w:p>
        </w:tc>
      </w:tr>
      <w:tr ns2: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eastAsia="宋体" w:cs="Times New Roman"/>
                <w:szCs w:val="24"/>
                <w:lang w:val="en-US" w:eastAsia="zh-CN" w:bidi="ar"/>
                <ns2:ligatures ns2:val="none"/>
              </w:rPr>
              <w:t>2009</w:t>
            </w:r>
          </w:p>
        </w:tc>
      </w:tr>
      <w:tr ns2: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w:t>
            </w:r>
            <w:r>
              <w:rPr>
                <w:rFonts w:hint="eastAsia" w:ascii="Times New Roman" w:hAnsi="Times New Roman" w:eastAsia="宋体" w:cs="Times New Roman"/>
                <w:szCs w:val="24"/>
                <w:lang w:val="en-US" w:eastAsia="zh-CN" w:bidi="ar"/>
                <ns2:ligatures ns2:val="none"/>
              </w:rPr>
              <w:t xml:space="preserve"> </w:t>
            </w:r>
            <w:r>
              <w:rPr>
                <w:rFonts w:hint="eastAsia" w:ascii="Times New Roman" w:hAnsi="Times New Roman" w:eastAsia="宋体" w:cs="Times New Roman"/>
                <w:szCs w:val="24"/>
                <w:lang w:bidi="ar"/>
                <ns2:ligatures ns2: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GJB 5711</w:t>
            </w:r>
            <w:r>
              <w:rPr>
                <w:rFonts w:hint="eastAsia" w:eastAsia="宋体" w:cs="Times New Roman"/>
                <w:kern w:val="2"/>
                <w:sz w:val="24"/>
                <w:szCs w:val="24"/>
                <w:lang w:val="en-US" w:eastAsia="zh-CN" w:bidi="ar"/>
                <ns2:ligatures ns2:val="none"/>
              </w:rPr>
              <w:t>A</w:t>
            </w:r>
            <w:r>
              <w:rPr>
                <w:rFonts w:hint="eastAsia" w:ascii="Times New Roman" w:hAnsi="Times New Roman" w:eastAsia="宋体" w:cs="Times New Roman"/>
                <w:kern w:val="2"/>
                <w:sz w:val="24"/>
                <w:szCs w:val="24"/>
                <w:lang w:val="en-US" w:eastAsia="zh-CN" w:bidi="ar"/>
                <ns2:ligatures ns2:val="none"/>
              </w:rPr>
              <w:t>-20</w:t>
            </w:r>
            <w:r>
              <w:rPr>
                <w:rFonts w:hint="eastAsia" w:eastAsia="宋体" w:cs="Times New Roman"/>
                <w:kern w:val="2"/>
                <w:sz w:val="24"/>
                <w:szCs w:val="24"/>
                <w:lang w:val="en-US" w:eastAsia="zh-CN" w:bidi="ar"/>
                <ns2:ligatures ns2: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eastAsia="宋体" w:cs="Times New Roman"/>
                <w:kern w:val="2"/>
                <w:sz w:val="24"/>
                <w:szCs w:val="24"/>
                <w:lang w:val="en-US" w:eastAsia="zh-CN" w:bidi="ar"/>
                <ns2:ligatures ns2:val="none"/>
              </w:rPr>
              <w:t>装备</w:t>
            </w:r>
            <w:r>
              <w:rPr>
                <w:rFonts w:hint="eastAsia" w:ascii="Times New Roman" w:hAnsi="Times New Roman" w:eastAsia="宋体" w:cs="Times New Roman"/>
                <w:kern w:val="2"/>
                <w:sz w:val="24"/>
                <w:szCs w:val="24"/>
                <w:lang w:val="en-US" w:eastAsia="zh-CN" w:bidi="ar"/>
                <ns2:ligatures ns2: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2006</w:t>
            </w:r>
          </w:p>
        </w:tc>
      </w:tr>
      <w:tr ns2: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2013</w:t>
            </w:r>
          </w:p>
        </w:tc>
      </w:tr>
      <w:tr ns2: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ns2:paraId="6A2B87C6">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2022</w:t>
            </w:r>
          </w:p>
        </w:tc>
      </w:tr>
      <w:tr ns2: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ns2:paraId="572C3AF5">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2009</w:t>
            </w:r>
          </w:p>
        </w:tc>
      </w:tr>
      <w:tr ns2: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44196FD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4BFF1912">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0B7428F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宋体"/>
                <w:szCs w:val="24"/>
                <ns2:ligatures ns2: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2006</w:t>
            </w:r>
          </w:p>
        </w:tc>
      </w:tr>
      <w:tr ns2: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023F05EF">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FA4FD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ns2:paraId="6883C85F">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2E46D7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2007</w:t>
            </w:r>
          </w:p>
        </w:tc>
      </w:tr>
      <w:tr ns2: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7334BF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41B9FF0C">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ns2:paraId="2B2D202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2008</w:t>
            </w:r>
          </w:p>
        </w:tc>
      </w:tr>
      <w:tr ns2: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ACD0A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4BA31DA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58ACD3A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2006</w:t>
            </w:r>
          </w:p>
        </w:tc>
      </w:tr>
      <w:tr ns2: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8FB90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GJB</w:t>
            </w:r>
            <w:r>
              <w:rPr>
                <w:rFonts w:hint="eastAsia" w:ascii="Times New Roman" w:hAnsi="Times New Roman" w:eastAsia="宋体" w:cs="宋体"/>
                <w:kern w:val="0"/>
                <w:szCs w:val="24"/>
                <ns2:ligatures ns2:val="none"/>
              </w:rPr>
              <w:t>/</w:t>
            </w:r>
            <w:r>
              <w:rPr>
                <w:rFonts w:ascii="Times New Roman" w:hAnsi="Times New Roman" w:eastAsia="宋体" w:cs="宋体"/>
                <w:kern w:val="0"/>
                <w:szCs w:val="24"/>
                <ns2:ligatures ns2: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504FE200">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D55F0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2013</w:t>
            </w:r>
          </w:p>
        </w:tc>
      </w:tr>
      <w:tr ns2: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373DDE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GJB</w:t>
            </w:r>
            <w:r>
              <w:rPr>
                <w:rFonts w:hint="eastAsia" w:ascii="Times New Roman" w:hAnsi="Times New Roman" w:eastAsia="宋体" w:cs="Times New Roman"/>
                <w:szCs w:val="24"/>
                <w:lang w:val="en-US" w:eastAsia="zh-CN"/>
                <ns2:ligatures ns2:val="none"/>
              </w:rPr>
              <w:t xml:space="preserve"> </w:t>
            </w:r>
            <w:r>
              <w:rPr>
                <w:rFonts w:hint="eastAsia" w:ascii="Times New Roman" w:hAnsi="Times New Roman" w:eastAsia="宋体" w:cs="Times New Roman"/>
                <w:szCs w:val="24"/>
                <ns2:ligatures ns2: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ns2:paraId="6DA0536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Times New Roman"/>
                <w:szCs w:val="24"/>
                <ns2:ligatures ns2: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650D952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1997</w:t>
            </w:r>
          </w:p>
        </w:tc>
      </w:tr>
      <w:tr ns2: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20CFA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F92CF9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ns2:paraId="7611C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9638AB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04A6B19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33CB7F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5FAC72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5D9B6C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52A3C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1158A0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0EE7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ns2:paraId="7844A67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1994</w:t>
            </w:r>
          </w:p>
        </w:tc>
      </w:tr>
      <w:tr ns2: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0DAFD8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1A4B876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01B807F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tr ns2: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6C7EBF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ns2:paraId="0330972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2FF78CA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2015</w:t>
            </w:r>
          </w:p>
        </w:tc>
      </w:tr>
      <w:tr ns2: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53916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76564B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D6F4D9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704C35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0AE271D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328B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276D10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1DEF65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ns2:paraId="09318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D0B977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ns2:paraId="094BDA8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ns2:paraId="443D1D1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1996</w:t>
            </w:r>
          </w:p>
        </w:tc>
      </w:tr>
      <w:tr ns2: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8781FC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ns2:paraId="3EF013C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5F248A6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2020</w:t>
            </w:r>
          </w:p>
        </w:tc>
      </w:tr>
      <w:tr ns2: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12A9041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75864AB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ns2:paraId="4B132AE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4CAA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745EFB1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879D16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2006</w:t>
            </w:r>
          </w:p>
        </w:tc>
      </w:tr>
      <w:tr ns2: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AF5CEA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53A3A6E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ns2:paraId="4C38116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AD5ED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279976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ns2:paraId="4C8906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2013</w:t>
            </w:r>
          </w:p>
        </w:tc>
      </w:tr>
      <w:tr ns2: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57A8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78277C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B8BF6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40469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140D7B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AB35B2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996C11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606BBC4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EF588E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3FECBB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67F428F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34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2008</w:t>
            </w:r>
          </w:p>
        </w:tc>
      </w:tr>
      <w:tr ns2: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497E17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67E6C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51705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8357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ns2:paraId="60FCC6B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03CCFBB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1995</w:t>
            </w:r>
          </w:p>
        </w:tc>
      </w:tr>
      <w:tr ns2: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97A030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29D2E60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C075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bookmarkEnd w:id="11"/>
    </w:tbl>
    <w:p ns2: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ns2:ligatures ns2:val="none"/>
        </w:rPr>
      </w:pPr>
    </w:p>
    <w:p ns2: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黑体"/>
          <w:bCs/>
          <w:kern w:val="44"/>
          <w:sz w:val="30"/>
          <w:szCs w:val="44"/>
        </w:rPr>
        <w:t>需求分析</w:t>
      </w:r>
      <w:bookmarkEnd w:id="12"/>
    </w:p>
    <w:p ns2: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pPr>
        <w:spacing w:line="360" w:lineRule="auto"/>
        <w:ind w:firstLine="480" w:firstLineChars="200"/>
        <w:rPr>
          <w:rFonts w:hint="eastAsia"/>
          <w:lang w:val="en-US" w:eastAsia="zh-CN"/>
        </w:rPr>
      </w:pPr>
      <w:r>
        <w:t xml:space="preserve">T001 标准符合性：核心显示与操作需符合IEC 61174-2015、IEC 62288-2024、GB/T 43053-2023；海图数据处理需符合IHO S-57 3.1版、IHO S-63 1.2版、IHO S-52 6.1版及IHO S-52 PresLib 4.0版标准。</w:t>
      </w:r>
    </w:p>
    <w:p>
      <w:pPr>
        <w:spacing w:line="360" w:lineRule="auto"/>
        <w:ind w:firstLine="480" w:firstLineChars="200"/>
        <w:rPr>
          <w:rFonts w:hint="eastAsia"/>
          <w:lang w:val="en-US" w:eastAsia="zh-CN"/>
        </w:rPr>
      </w:pPr>
      <w:r>
        <w:t xml:space="preserve">T002 接入并展示标准电子海图（S-57/S-63），支持海图自动匹配、选择、缩放、漫游、图层控制（基础/标准/全部），可开关显示特定要素。</w:t>
      </w:r>
    </w:p>
    <w:p>
      <w:pPr>
        <w:spacing w:line="360" w:lineRule="auto"/>
        <w:ind w:firstLine="480" w:firstLineChars="200"/>
        <w:rPr>
          <w:rFonts w:hint="eastAsia"/>
          <w:lang w:val="en-US" w:eastAsia="zh-CN"/>
        </w:rPr>
      </w:pPr>
      <w:r>
        <w:t xml:space="preserve">T003 支持IMO要求的多种配色模式（白天、黄昏、夜晚），夜间模式亮度需符合规范。</w:t>
      </w:r>
    </w:p>
    <w:p>
      <w:pPr>
        <w:spacing w:line="360" w:lineRule="auto"/>
        <w:ind w:firstLine="480" w:firstLineChars="200"/>
        <w:rPr>
          <w:rFonts w:hint="eastAsia"/>
          <w:lang w:val="en-US" w:eastAsia="zh-CN"/>
        </w:rPr>
      </w:pPr>
      <w:r>
        <w:t xml:space="preserve">T004 支持“正北向上”和“船艏向上”模式切换，以及“真实位移”和“相对位移”模式。</w:t>
      </w:r>
    </w:p>
    <w:p>
      <w:pPr>
        <w:spacing w:line="360" w:lineRule="auto"/>
        <w:ind w:firstLine="480" w:firstLineChars="200"/>
        <w:rPr>
          <w:rFonts w:hint="eastAsia"/>
          <w:lang w:val="en-US" w:eastAsia="zh-CN"/>
        </w:rPr>
      </w:pPr>
      <w:r>
        <w:t xml:space="preserve">T005 基于OpenGL技术实现雷达回波图像在电子海图上的实时叠加，集成并处理来自雷达、AIS、ARPA等导航设备的动态数据。</w:t>
      </w:r>
    </w:p>
    <w:p>
      <w:pPr>
        <w:spacing w:line="360" w:lineRule="auto"/>
        <w:ind w:firstLine="480" w:firstLineChars="200"/>
        <w:rPr>
          <w:rFonts w:hint="eastAsia"/>
          <w:lang w:val="en-US" w:eastAsia="zh-CN"/>
        </w:rPr>
      </w:pPr>
      <w:r>
        <w:t xml:space="preserve">T006 将AIS目标符号、雷达回波、ARPA跟踪目标与本船符号，准确叠加在电子海图上的相应地理位置。</w:t>
      </w:r>
    </w:p>
    <w:p>
      <w:pPr>
        <w:spacing w:line="360" w:lineRule="auto"/>
        <w:ind w:firstLine="480" w:firstLineChars="200"/>
        <w:rPr>
          <w:rFonts w:hint="eastAsia"/>
          <w:lang w:val="en-US" w:eastAsia="zh-CN"/>
        </w:rPr>
      </w:pPr>
      <w:r>
        <w:t xml:space="preserve">T007 可选显示AIS目标船舶的关键信息（航向、航速、船名、MMSI等）和ARPA跟踪预测信息。</w:t>
      </w:r>
    </w:p>
    <w:p>
      <w:pPr>
        <w:spacing w:line="360" w:lineRule="auto"/>
        <w:ind w:firstLine="480" w:firstLineChars="200"/>
        <w:rPr>
          <w:rFonts w:hint="eastAsia"/>
          <w:lang w:val="en-US" w:eastAsia="zh-CN"/>
        </w:rPr>
      </w:pPr>
      <w:r>
        <w:t xml:space="preserve">T008 支持叠加显示自定义GIS要素，如电子围栏、风险区域等。</w:t>
      </w:r>
    </w:p>
    <w:p>
      <w:pPr>
        <w:spacing w:line="360" w:lineRule="auto"/>
        <w:ind w:firstLine="480" w:firstLineChars="200"/>
        <w:rPr>
          <w:rFonts w:hint="eastAsia"/>
          <w:lang w:val="en-US" w:eastAsia="zh-CN"/>
        </w:rPr>
      </w:pPr>
      <w:r>
        <w:t xml:space="preserve">T009 可叠加显示潮汐、海流、气象信息以及海道测量局发布的临时通告（AIO等）。</w:t>
      </w:r>
    </w:p>
    <w:p>
      <w:pPr>
        <w:spacing w:line="360" w:lineRule="auto"/>
        <w:ind w:firstLine="480" w:firstLineChars="200"/>
        <w:rPr>
          <w:rFonts w:hint="eastAsia"/>
          <w:lang w:val="en-US" w:eastAsia="zh-CN"/>
        </w:rPr>
      </w:pPr>
      <w:r>
        <w:t xml:space="preserve">T010 支持手动或自动航线设计，允许灵活地添加、删除、拖动、排序航向点和航段。</w:t>
      </w:r>
    </w:p>
    <w:p>
      <w:pPr>
        <w:spacing w:line="360" w:lineRule="auto"/>
        <w:ind w:firstLine="480" w:firstLineChars="200"/>
        <w:rPr>
          <w:rFonts w:hint="eastAsia"/>
          <w:lang w:val="en-US" w:eastAsia="zh-CN"/>
        </w:rPr>
      </w:pPr>
      <w:r>
        <w:t xml:space="preserve">T011 自动执行航线安全检查，在规划阶段提示航线段是否穿过浅水、禁航区或接近危险物。</w:t>
      </w:r>
    </w:p>
    <w:p>
      <w:pPr>
        <w:spacing w:line="360" w:lineRule="auto"/>
        <w:ind w:firstLine="480" w:firstLineChars="200"/>
        <w:rPr>
          <w:rFonts w:hint="eastAsia"/>
          <w:lang w:val="en-US" w:eastAsia="zh-CN"/>
        </w:rPr>
      </w:pPr>
      <w:r>
        <w:t xml:space="preserve">T012 允许用户为航线设定安全参数，包括吃水、安全等深线、偏航阈值（XTD）、船舶尺寸等。</w:t>
      </w:r>
    </w:p>
    <w:p>
      <w:pPr>
        <w:spacing w:line="360" w:lineRule="auto"/>
        <w:ind w:firstLine="480" w:firstLineChars="200"/>
        <w:rPr>
          <w:rFonts w:hint="eastAsia"/>
          <w:lang w:val="en-US" w:eastAsia="zh-CN"/>
        </w:rPr>
      </w:pPr>
      <w:r>
        <w:t xml:space="preserve">T013 具备航行计算能力，包括两个地理位置间的真距离和方位、航行时间估算（ETA）。</w:t>
      </w:r>
    </w:p>
    <w:p>
      <w:pPr>
        <w:spacing w:line="360" w:lineRule="auto"/>
        <w:ind w:firstLine="480" w:firstLineChars="200"/>
        <w:rPr>
          <w:rFonts w:hint="eastAsia"/>
          <w:lang w:val="en-US" w:eastAsia="zh-CN"/>
        </w:rPr>
      </w:pPr>
      <w:r>
        <w:t xml:space="preserve">T014 实时叠加船舶位置（基于GPS/DGPS），连续监控船舶是否严格按照计划航线行驶。</w:t>
      </w:r>
    </w:p>
    <w:p>
      <w:pPr>
        <w:spacing w:line="360" w:lineRule="auto"/>
        <w:ind w:firstLine="480" w:firstLineChars="200"/>
        <w:rPr>
          <w:rFonts w:hint="eastAsia"/>
          <w:lang w:val="en-US" w:eastAsia="zh-CN"/>
        </w:rPr>
      </w:pPr>
      <w:r>
        <w:t xml:space="preserve">T015 具备连续记录并存储历史航迹、船位、速度、航向和报警事件的能力，用于航后分析和VDR备份。</w:t>
      </w:r>
    </w:p>
    <w:p>
      <w:pPr>
        <w:spacing w:line="360" w:lineRule="auto"/>
        <w:ind w:firstLine="480" w:firstLineChars="200"/>
        <w:rPr>
          <w:rFonts w:hint="eastAsia"/>
          <w:lang w:val="en-US" w:eastAsia="zh-CN"/>
        </w:rPr>
      </w:pPr>
      <w:r>
        <w:t xml:space="preserve">T016 允许用户输入船舶吃水和富裕水深，系统自动计算并设置安全等深线和安全轮廓线。</w:t>
      </w:r>
    </w:p>
    <w:p>
      <w:pPr>
        <w:spacing w:line="360" w:lineRule="auto"/>
        <w:ind w:firstLine="480" w:firstLineChars="200"/>
        <w:rPr>
          <w:rFonts w:hint="eastAsia"/>
          <w:lang w:val="en-US" w:eastAsia="zh-CN"/>
        </w:rPr>
      </w:pPr>
      <w:r>
        <w:t xml:space="preserve">T017 在海图上突出显示浅于安全等深线的水域（通常为蓝色），将安全水域显示为白色或其他安全色。</w:t>
      </w:r>
    </w:p>
    <w:p>
      <w:pPr>
        <w:spacing w:line="360" w:lineRule="auto"/>
        <w:ind w:firstLine="480" w:firstLineChars="200"/>
        <w:rPr>
          <w:rFonts w:hint="eastAsia"/>
          <w:lang w:val="en-US" w:eastAsia="zh-CN"/>
        </w:rPr>
      </w:pPr>
      <w:r>
        <w:t xml:space="preserve">T018 当本船或其安全轮廓线即将进入不安全水域时，系统需立即发出声光告警（防搁浅告警）。</w:t>
      </w:r>
    </w:p>
    <w:p>
      <w:pPr>
        <w:spacing w:line="360" w:lineRule="auto"/>
        <w:ind w:firstLine="480" w:firstLineChars="200"/>
        <w:rPr>
          <w:rFonts w:hint="eastAsia"/>
          <w:lang w:val="en-US" w:eastAsia="zh-CN"/>
        </w:rPr>
      </w:pPr>
      <w:r>
        <w:t xml:space="preserve">T019 当船舶即将穿越或进入预设的禁航区、限航区、港口报告区、或自定义电子围栏时，立即报警。</w:t>
      </w:r>
    </w:p>
    <w:p>
      <w:pPr>
        <w:spacing w:line="360" w:lineRule="auto"/>
        <w:ind w:firstLine="480" w:firstLineChars="200"/>
        <w:rPr>
          <w:rFonts w:hint="eastAsia"/>
          <w:lang w:val="en-US" w:eastAsia="zh-CN"/>
        </w:rPr>
      </w:pPr>
      <w:r>
        <w:t xml:space="preserve">T020 在船舶运动方向上，预测船舶未来安全矢量将接近孤立危险物或未知的浅水区时，触发报警。</w:t>
      </w:r>
    </w:p>
    <w:p>
      <w:pPr>
        <w:spacing w:line="360" w:lineRule="auto"/>
        <w:ind w:firstLine="480" w:firstLineChars="200"/>
        <w:rPr>
          <w:rFonts w:hint="eastAsia"/>
          <w:lang w:val="en-US" w:eastAsia="zh-CN"/>
        </w:rPr>
      </w:pPr>
      <w:r>
        <w:t xml:space="preserve">T021 根据AIS/雷达目标数据，提供CPA/TCPA（最近会遇点/时间计算），并在风险超过阈值时触发碰撞预警。</w:t>
      </w:r>
    </w:p>
    <w:p>
      <w:pPr>
        <w:spacing w:line="360" w:lineRule="auto"/>
        <w:ind w:firstLine="480" w:firstLineChars="200"/>
        <w:rPr>
          <w:rFonts w:hint="eastAsia"/>
          <w:lang w:val="en-US" w:eastAsia="zh-CN"/>
        </w:rPr>
      </w:pPr>
      <w:r>
        <w:t xml:space="preserve">T022 当船舶实时位置偏离计划航线超过设定的偏航阈值（XTD）时，立即发出告警。</w:t>
      </w:r>
    </w:p>
    <w:p>
      <w:pPr>
        <w:spacing w:line="360" w:lineRule="auto"/>
        <w:ind w:firstLine="480" w:firstLineChars="200"/>
        <w:rPr>
          <w:rFonts w:hint="eastAsia"/>
          <w:lang w:val="en-US" w:eastAsia="zh-CN"/>
        </w:rPr>
      </w:pPr>
      <w:r>
        <w:t xml:space="preserve">T023 对传感器故障（如GPS信号丢失、陀螺罗经数据异常）、海图更新延迟、电源切换等系统级故障发出告警。</w:t>
      </w:r>
    </w:p>
    <w:p>
      <w:pPr>
        <w:spacing w:line="360" w:lineRule="auto"/>
        <w:ind w:firstLine="480" w:firstLineChars="200"/>
        <w:rPr>
          <w:rFonts w:hint="eastAsia"/>
          <w:lang w:val="en-US" w:eastAsia="zh-CN"/>
        </w:rPr>
      </w:pPr>
      <w:r>
        <w:t xml:space="preserve">T024 遵循IMO/IHO规范，对报警进行优先级分类（紧急、警报、指示），并采用不同声光模式。</w:t>
      </w:r>
    </w:p>
    <w:p>
      <w:pPr>
        <w:spacing w:line="360" w:lineRule="auto"/>
        <w:ind w:firstLine="480" w:firstLineChars="200"/>
        <w:rPr>
          <w:rFonts w:hint="eastAsia"/>
          <w:lang w:val="en-US" w:eastAsia="zh-CN"/>
        </w:rPr>
      </w:pPr>
      <w:r>
        <w:t xml:space="preserve">T025 提供告警/预警信息列表，允许船员确认、消除告警。</w:t>
      </w:r>
    </w:p>
    <w:p>
      <w:pPr>
        <w:spacing w:line="360" w:lineRule="auto"/>
        <w:ind w:firstLine="480" w:firstLineChars="200"/>
        <w:rPr>
          <w:rFonts w:hint="eastAsia"/>
          <w:lang w:val="en-US" w:eastAsia="zh-CN"/>
        </w:rPr>
      </w:pPr>
      <w:r>
        <w:t xml:space="preserve">T026 提供直观的图形化界面，菜单层级简洁明了，支持常用功能快捷键访问。</w:t>
      </w:r>
    </w:p>
    <w:p>
      <w:pPr>
        <w:spacing w:line="360" w:lineRule="auto"/>
        <w:ind w:firstLine="480" w:firstLineChars="200"/>
        <w:rPr>
          <w:rFonts w:hint="eastAsia"/>
          <w:lang w:val="en-US" w:eastAsia="zh-CN"/>
        </w:rPr>
      </w:pPr>
      <w:r>
        <w:t xml:space="preserve">T027 软件界面需适配高分辨率显示，支持通过软件指令调节背景亮度以适应夜间模式。</w:t>
      </w:r>
    </w:p>
    <w:p>
      <w:pPr>
        <w:spacing w:line="360" w:lineRule="auto"/>
        <w:ind w:firstLine="480" w:firstLineChars="200"/>
        <w:rPr>
          <w:rFonts w:hint="eastAsia"/>
          <w:lang w:val="en-US" w:eastAsia="zh-CN"/>
        </w:rPr>
      </w:pPr>
      <w:r>
        <w:t xml:space="preserve">T028 对删除航线、修改安全参数等重要操作，需弹出确认对话框，要求船员进行二次确认，防止误操作。</w:t>
      </w:r>
    </w:p>
    <w:p>
      <w:pPr>
        <w:spacing w:line="360" w:lineRule="auto"/>
        <w:ind w:firstLine="480" w:firstLineChars="200"/>
        <w:rPr>
          <w:rFonts w:hint="eastAsia"/>
          <w:lang w:val="en-US" w:eastAsia="zh-CN"/>
        </w:rPr>
      </w:pPr>
      <w:r>
        <w:t xml:space="preserve">T029 跨平台兼容性：软件必须支持跨架构与跨操作系统部署，具体包括硬件平台（龙芯、飞腾、瑞芯微）和操作系统（麒麟、Ubuntu），并保证长期稳定运行。</w:t>
      </w:r>
    </w:p>
    <w:p>
      <w:pPr>
        <w:spacing w:line="360" w:lineRule="auto"/>
        <w:ind w:firstLine="480" w:firstLineChars="200"/>
        <w:rPr>
          <w:rFonts w:hint="eastAsia"/>
          <w:lang w:val="en-US" w:eastAsia="zh-CN"/>
        </w:rPr>
      </w:pPr>
      <w:r>
        <w:t xml:space="preserve">T030 多设备协同：软件架构需支持多台设备按优先级运行。</w:t>
      </w:r>
    </w:p>
    <w:p>
      <w:pPr>
        <w:spacing w:line="360" w:lineRule="auto"/>
        <w:ind w:firstLine="480" w:firstLineChars="200"/>
        <w:rPr>
          <w:rFonts w:hint="eastAsia"/>
          <w:lang w:val="en-US" w:eastAsia="zh-CN"/>
        </w:rPr>
      </w:pPr>
      <w:r>
        <w:t xml:space="preserve">T031 采用模块化软件架构，预留标准数据接口，支持后续接入新型号导航传感器或功能模块。</w:t>
      </w:r>
    </w:p>
    <w:p>
      <w:pPr>
        <w:spacing w:line="360" w:lineRule="auto"/>
        <w:ind w:firstLine="480" w:firstLineChars="200"/>
        <w:rPr>
          <w:rFonts w:hint="eastAsia"/>
          <w:lang w:val="en-US" w:eastAsia="zh-CN"/>
        </w:rPr>
      </w:pPr>
      <w:r>
        <w:t xml:space="preserve">T032 具备接收、解析和应用官方发布的S-63加密格式海图更新数据的能力，并生成更新记录。</w:t>
      </w:r>
    </w:p>
    <w:p>
      <w:pPr>
        <w:spacing w:line="360" w:lineRule="auto"/>
        <w:ind w:firstLine="480" w:firstLineChars="200"/>
        <w:rPr>
          <w:rFonts w:hint="eastAsia"/>
          <w:lang w:val="en-US" w:eastAsia="zh-CN"/>
        </w:rPr>
      </w:pPr>
      <w:r>
        <w:t xml:space="preserve">T033 定期自动备份系统内部存储结构（SENC）和所有航行记录，确保数据安全。</w:t>
      </w:r>
    </w:p>
    <w:p>
      <w:pPr>
        <w:spacing w:line="360" w:lineRule="auto"/>
        <w:ind w:firstLine="480" w:firstLineChars="200"/>
        <w:rPr>
          <w:rFonts w:hint="eastAsia"/>
          <w:lang w:val="en-US" w:eastAsia="zh-CN"/>
        </w:rPr>
      </w:pPr>
      <w:r>
        <w:t xml:space="preserve">T034 软件接口需遵循NMEA0183/2000协议与船载设备进行数据通信。</w:t>
      </w:r>
    </w:p>
    <w:p>
      <w:pPr>
        <w:spacing w:line="360" w:lineRule="auto"/>
        <w:ind w:firstLine="480" w:firstLineChars="200"/>
        <w:rPr>
          <w:rFonts w:hint="eastAsia"/>
          <w:lang w:val="en-US" w:eastAsia="zh-CN"/>
        </w:rPr>
      </w:pPr>
      <w:r>
        <w:t xml:space="preserve">T035 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w:t>
      </w:r>
    </w:p>
    <w:p>
      <w:pPr>
        <w:spacing w:line="360" w:lineRule="auto"/>
        <w:ind w:firstLine="480" w:firstLineChars="200"/>
        <w:rPr>
          <w:rFonts w:hint="eastAsia"/>
          <w:lang w:val="en-US" w:eastAsia="zh-CN"/>
        </w:rPr>
      </w:pPr>
      <w:r>
        <w:t xml:space="preserve">T036 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w:t>
      </w:r>
    </w:p>
    <w:p>
      <w:pPr>
        <w:spacing w:line="360" w:lineRule="auto"/>
        <w:ind w:firstLine="480" w:firstLineChars="200"/>
        <w:rPr>
          <w:rFonts w:hint="eastAsia"/>
          <w:lang w:val="en-US" w:eastAsia="zh-CN"/>
        </w:rPr>
      </w:pPr>
      <w:r>
        <w:t xml:space="preserve">T037 数据库数据读写接口：海图底图存储或载遵循IHO S-57标准，实现与电子海图数据（ENC）的交互，将ENC数据转换为系统内部存储结构（SENC）。支持官方发布的海图更新数据（如S-63加密格式）的接收、解析和应用，确保海图信息的及时性和准确性。</w:t>
      </w:r>
    </w:p>
    <w:p>
      <w:pPr>
        <w:spacing w:line="360" w:lineRule="auto"/>
        <w:ind w:firstLine="480" w:firstLineChars="200"/>
        <w:rPr>
          <w:rFonts w:hint="eastAsia"/>
          <w:lang w:val="en-US" w:eastAsia="zh-CN"/>
        </w:rPr>
      </w:pPr>
      <w:r>
        <w:t xml:space="preserve">T038 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w:t>
      </w:r>
    </w:p>
    <w:p>
      <w:pPr>
        <w:spacing w:line="360" w:lineRule="auto"/>
        <w:ind w:firstLine="480" w:firstLineChars="200"/>
        <w:rPr>
          <w:rFonts w:hint="eastAsia"/>
          <w:lang w:val="en-US" w:eastAsia="zh-CN"/>
        </w:rPr>
      </w:pPr>
      <w:r>
        <w:t xml:space="preserve">T039 外部数据与文件系统：支持与外部设备（如USB存储设备、便携式电脑）的数据交换，便于海图数据的备份、航线文件的导入导出。采用通用的数据格式（如CSV、XML），确保与其他系统的数据兼容性。例如，船员可将规划好的航线导出为CSV文件，通过USB存储设备传输到其他船舶的电子海图显示与信息系统系统中。</w:t>
      </w:r>
    </w:p>
    <w:p>
      <w:pPr>
        <w:spacing w:line="360" w:lineRule="auto"/>
        <w:ind w:firstLine="480" w:firstLineChars="200"/>
        <w:rPr>
          <w:rFonts w:hint="eastAsia"/>
          <w:lang w:val="en-US" w:eastAsia="zh-CN"/>
        </w:rPr>
      </w:pPr>
      <w:r>
        <w:t xml:space="preserve">T040 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w:t>
      </w:r>
    </w:p>
    <w:p>
      <w:pPr>
        <w:spacing w:line="360" w:lineRule="auto"/>
        <w:ind w:firstLine="480" w:firstLineChars="200"/>
        <w:rPr>
          <w:rFonts w:hint="eastAsia"/>
          <w:lang w:val="en-US" w:eastAsia="zh-CN"/>
        </w:rPr>
      </w:pPr>
      <w:r>
        <w:t xml:space="preserve">T041 人机交互与控制HMI：支持多种输入方式，如触摸屏、鼠标、键盘、轨迹球等。触摸屏操作直观便捷，适合快速调整显示参数或选择功能；鼠标和键盘则便于进行复杂的文字输入和精确操作，如输入港口名称进行搜索。</w:t>
      </w:r>
    </w:p>
    <w:p ns2: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pPr>
        <w:spacing w:line="360" w:lineRule="auto"/>
        <w:ind w:firstLine="480" w:firstLineChars="200"/>
        <w:rPr>
          <w:rFonts w:hint="eastAsia"/>
          <w:lang w:val="en-US" w:eastAsia="zh-CN"/>
        </w:rPr>
      </w:pPr>
      <w:r>
        <w:t xml:space="preserve">P001 1）一般操作响应时间（数据查阅、图表显示等操作）：＜2s；</w:t>
      </w:r>
    </w:p>
    <w:p>
      <w:pPr>
        <w:spacing w:line="360" w:lineRule="auto"/>
        <w:ind w:firstLine="480" w:firstLineChars="200"/>
        <w:rPr>
          <w:rFonts w:hint="eastAsia"/>
          <w:lang w:val="en-US" w:eastAsia="zh-CN"/>
        </w:rPr>
      </w:pPr>
      <w:r>
        <w:t xml:space="preserve">P002 2）系统初始化时间：＜10s；</w:t>
      </w:r>
    </w:p>
    <w:p>
      <w:pPr>
        <w:spacing w:line="360" w:lineRule="auto"/>
        <w:ind w:firstLine="480" w:firstLineChars="200"/>
        <w:rPr>
          <w:rFonts w:hint="eastAsia"/>
          <w:lang w:val="en-US" w:eastAsia="zh-CN"/>
        </w:rPr>
      </w:pPr>
      <w:r>
        <w:t xml:space="preserve">P003 3）一般数据查询时间：＜5s；</w:t>
      </w:r>
    </w:p>
    <w:p>
      <w:pPr>
        <w:spacing w:line="360" w:lineRule="auto"/>
        <w:ind w:firstLine="480" w:firstLineChars="200"/>
        <w:rPr>
          <w:rFonts w:hint="eastAsia"/>
          <w:lang w:val="en-US" w:eastAsia="zh-CN"/>
        </w:rPr>
      </w:pPr>
      <w:r>
        <w:t xml:space="preserve">P004 4）一般数据汇总时间：&lt;10s；</w:t>
      </w:r>
    </w:p>
    <w:p>
      <w:pPr>
        <w:spacing w:line="360" w:lineRule="auto"/>
        <w:ind w:firstLine="480" w:firstLineChars="200"/>
        <w:rPr>
          <w:rFonts w:hint="eastAsia"/>
          <w:lang w:val="en-US" w:eastAsia="zh-CN"/>
        </w:rPr>
      </w:pPr>
      <w:r>
        <w:t xml:space="preserve">P005 5）指令响应率：100%；</w:t>
      </w:r>
    </w:p>
    <w:p>
      <w:pPr>
        <w:spacing w:line="360" w:lineRule="auto"/>
        <w:ind w:firstLine="480" w:firstLineChars="200"/>
        <w:rPr>
          <w:rFonts w:hint="eastAsia"/>
          <w:lang w:val="en-US" w:eastAsia="zh-CN"/>
        </w:rPr>
      </w:pPr>
      <w:r>
        <w:t xml:space="preserve">P006 6）系统服务稳定性：99%；</w:t>
      </w:r>
    </w:p>
    <w:p>
      <w:pPr>
        <w:spacing w:line="360" w:lineRule="auto"/>
        <w:ind w:firstLine="480" w:firstLineChars="200"/>
        <w:rPr>
          <w:rFonts w:hint="eastAsia"/>
          <w:lang w:val="en-US" w:eastAsia="zh-CN"/>
        </w:rPr>
      </w:pPr>
      <w:r>
        <w:t xml:space="preserve">P007 7）特殊操作超过该时间则需要给予用户明确的等待时间或进度条提示。</w:t>
      </w:r>
    </w:p>
    <w:p ns2: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pPr>
        <w:spacing w:line="360" w:lineRule="auto"/>
        <w:ind w:firstLine="480" w:firstLineChars="200"/>
        <w:rPr>
          <w:rFonts w:hint="eastAsia"/>
          <w:lang w:val="en-US" w:eastAsia="zh-CN"/>
        </w:rPr>
      </w:pPr>
      <w:r>
        <w:t xml:space="preserve">Q001 IEC 61174-2015海上导航和无线电通信设备及系统 电子海图显示和信息系统（ECDIS）</w:t>
      </w:r>
    </w:p>
    <w:p>
      <w:pPr>
        <w:spacing w:line="360" w:lineRule="auto"/>
        <w:ind w:firstLine="480" w:firstLineChars="200"/>
        <w:rPr>
          <w:rFonts w:hint="eastAsia"/>
          <w:lang w:val="en-US" w:eastAsia="zh-CN"/>
        </w:rPr>
      </w:pPr>
      <w:r>
        <w:t xml:space="preserve">Q002 除功能性要求外，还对电子海图显示与信息系统的非功能性要求（如可靠性、安全性、保障性、维修性、测试性、环境适应性等）作出了详细规定。以下是基于标准的核心非功能性要求的详细描述：</w:t>
      </w:r>
    </w:p>
    <w:p>
      <w:pPr>
        <w:spacing w:line="360" w:lineRule="auto"/>
        <w:ind w:firstLine="480" w:firstLineChars="200"/>
        <w:rPr>
          <w:rFonts w:hint="eastAsia"/>
          <w:lang w:val="en-US" w:eastAsia="zh-CN"/>
        </w:rPr>
      </w:pPr>
      <w:r>
        <w:t xml:space="preserve">Q003 海图数据加载准确完整，海图初始化时间&lt;=8S，海图响应时间&lt;=2S；航线安全检查结果准确率高于99%；存储介质可靠；接口通信具备错误校验和自动重连机制，以保证数据链路的可靠</w:t>
      </w:r>
    </w:p>
    <w:p>
      <w:pPr>
        <w:spacing w:line="360" w:lineRule="auto"/>
        <w:ind w:firstLine="480" w:firstLineChars="200"/>
        <w:rPr>
          <w:rFonts w:hint="eastAsia"/>
          <w:lang w:val="en-US" w:eastAsia="zh-CN"/>
        </w:rPr>
      </w:pPr>
      <w:r>
        <w:t xml:space="preserve">Q004 系统部署运行软硬件环境满足全军统一国产化要求。</w:t>
      </w:r>
    </w:p>
    <w:p>
      <w:pPr>
        <w:spacing w:line="360" w:lineRule="auto"/>
        <w:ind w:firstLine="480" w:firstLineChars="200"/>
        <w:rPr>
          <w:rFonts w:hint="eastAsia"/>
          <w:lang w:val="en-US" w:eastAsia="zh-CN"/>
        </w:rPr>
      </w:pPr>
      <w:r>
        <w:t xml:space="preserve">Q005 系统上线运行前必须进行整体安全性测试，并提供安全测试报告；系统管理人员必须进行严格培训，能熟练进行系统管理；</w:t>
      </w:r>
    </w:p>
    <w:p>
      <w:pPr>
        <w:spacing w:line="360" w:lineRule="auto"/>
        <w:ind w:firstLine="480" w:firstLineChars="200"/>
        <w:rPr>
          <w:rFonts w:hint="eastAsia"/>
          <w:lang w:val="en-US" w:eastAsia="zh-CN"/>
        </w:rPr>
      </w:pPr>
      <w:r>
        <w:t xml:space="preserve">Q006 对访问用户按照岗位业务进行灵活的权限设计，建立严格的授权机制；严禁在正式运行的系统与数据库中进行测试操作。</w:t>
      </w:r>
    </w:p>
    <w:p>
      <w:pPr>
        <w:spacing w:line="360" w:lineRule="auto"/>
        <w:ind w:firstLine="480" w:firstLineChars="200"/>
        <w:rPr>
          <w:rFonts w:hint="eastAsia"/>
          <w:lang w:val="en-US" w:eastAsia="zh-CN"/>
        </w:rPr>
      </w:pPr>
      <w:r>
        <w:t xml:space="preserve">Q007 支持按照军用计算机网络安全防护标准进行网络软硬件部署配置。</w:t>
      </w:r>
    </w:p>
    <w:p>
      <w:pPr>
        <w:spacing w:line="360" w:lineRule="auto"/>
        <w:ind w:firstLine="480" w:firstLineChars="200"/>
        <w:rPr>
          <w:rFonts w:hint="eastAsia"/>
          <w:lang w:val="en-US" w:eastAsia="zh-CN"/>
        </w:rPr>
      </w:pPr>
      <w:r>
        <w:t xml:space="preserve">Q008 软件随主机设备移交时，应同时移交用户使用手册。软件移交后，需要配合联试和使用进行维护，对软件的更改做好记录，同时需保持文档与代码的可追溯性和一致性。</w:t>
      </w:r>
    </w:p>
    <w:p>
      <w:pPr>
        <w:spacing w:line="360" w:lineRule="auto"/>
        <w:ind w:firstLine="480" w:firstLineChars="200"/>
        <w:rPr>
          <w:rFonts w:hint="eastAsia"/>
          <w:lang w:val="en-US" w:eastAsia="zh-CN"/>
        </w:rPr>
      </w:pPr>
      <w:r>
        <w:t xml:space="preserve">Q009 功能模块（如数据接入、告警管理、系统配置等）之间须具有定义清晰、稳定的接口；</w:t>
      </w:r>
    </w:p>
    <w:p>
      <w:pPr>
        <w:spacing w:line="360" w:lineRule="auto"/>
        <w:ind w:firstLine="480" w:firstLineChars="200"/>
        <w:rPr>
          <w:rFonts w:hint="eastAsia"/>
          <w:lang w:val="en-US" w:eastAsia="zh-CN"/>
        </w:rPr>
      </w:pPr>
      <w:r>
        <w:t xml:space="preserve">Q010 MTTR（平均维修时间）：≤0.5小时。</w:t>
      </w:r>
    </w:p>
    <w:p>
      <w:pPr>
        <w:spacing w:line="360" w:lineRule="auto"/>
        <w:ind w:firstLine="480" w:firstLineChars="200"/>
        <w:rPr>
          <w:rFonts w:hint="eastAsia"/>
          <w:lang w:val="en-US" w:eastAsia="zh-CN"/>
        </w:rPr>
      </w:pPr>
      <w:r>
        <w:t xml:space="preserve">Q011 系统及其各模块在设计和实现时须充分考虑可测试性，包括提供必要的测试接口或机制，支持自动化测试的实施，以便于进行有效的单元测试、集成测试、系统测试和验收测试。</w:t>
      </w:r>
    </w:p>
    <w:p>
      <w:pPr>
        <w:spacing w:line="360" w:lineRule="auto"/>
        <w:ind w:firstLine="480" w:firstLineChars="200"/>
        <w:rPr>
          <w:rFonts w:hint="eastAsia"/>
          <w:lang w:val="en-US" w:eastAsia="zh-CN"/>
        </w:rPr>
      </w:pPr>
      <w:r>
        <w:t xml:space="preserve">Q012 软件运行环境：硬件平台（龙芯、飞腾、瑞芯微）和系统（麒麟、Ubuntu）。</w:t>
      </w:r>
    </w:p>
    <w:p>
      <w:pPr>
        <w:spacing w:line="360" w:lineRule="auto"/>
        <w:ind w:firstLine="480" w:firstLineChars="200"/>
        <w:rPr>
          <w:rFonts w:hint="eastAsia"/>
          <w:lang w:val="en-US" w:eastAsia="zh-CN"/>
        </w:rPr>
      </w:pPr>
      <w:r>
        <w:t xml:space="preserve">Q013 需求标识符：DZHT_2025_DesignRestrict。</w:t>
      </w:r>
    </w:p>
    <w:p>
      <w:pPr>
        <w:spacing w:line="360" w:lineRule="auto"/>
        <w:ind w:firstLine="480" w:firstLineChars="200"/>
        <w:rPr>
          <w:rFonts w:hint="eastAsia"/>
          <w:lang w:val="en-US" w:eastAsia="zh-CN"/>
        </w:rPr>
      </w:pPr>
      <w:r>
        <w:t xml:space="preserve">Q014 电子海图显示与信息系统的设计约束如下：</w:t>
      </w:r>
    </w:p>
    <w:p>
      <w:pPr>
        <w:spacing w:line="360" w:lineRule="auto"/>
        <w:ind w:firstLine="480" w:firstLineChars="200"/>
        <w:rPr>
          <w:rFonts w:hint="eastAsia"/>
          <w:lang w:val="en-US" w:eastAsia="zh-CN"/>
        </w:rPr>
      </w:pPr>
      <w:r>
        <w:t xml:space="preserve">Q015 本项目研制工作的开展必须严格遵守相关保密规定；</w:t>
      </w:r>
    </w:p>
    <w:p>
      <w:pPr>
        <w:spacing w:line="360" w:lineRule="auto"/>
        <w:ind w:firstLine="480" w:firstLineChars="200"/>
        <w:rPr>
          <w:rFonts w:hint="eastAsia"/>
          <w:lang w:val="en-US" w:eastAsia="zh-CN"/>
        </w:rPr>
      </w:pPr>
      <w:r>
        <w:t xml:space="preserve">Q016 本软件支持用户操作界面与显示，采用C++编程语言；</w:t>
      </w:r>
    </w:p>
    <w:p>
      <w:pPr>
        <w:spacing w:line="360" w:lineRule="auto"/>
        <w:ind w:firstLine="480" w:firstLineChars="200"/>
        <w:rPr>
          <w:rFonts w:hint="eastAsia"/>
          <w:lang w:val="en-US" w:eastAsia="zh-CN"/>
        </w:rPr>
      </w:pPr>
      <w:r>
        <w:t xml:space="preserve">Q017 软件采用分层结构和模块化设计，设计是充分考虑继承性、灵活性和可维护性。</w:t>
      </w:r>
    </w:p>
    <w:p>
      <w:pPr>
        <w:spacing w:line="360" w:lineRule="auto"/>
        <w:ind w:firstLine="480" w:firstLineChars="200"/>
        <w:rPr>
          <w:rFonts w:hint="eastAsia"/>
          <w:lang w:val="en-US" w:eastAsia="zh-CN"/>
        </w:rPr>
      </w:pPr>
      <w:r>
        <w:t xml:space="preserve">Q018 乙方应当接受甲方质量体系及客户代表机构的监督和评价，应当确保甲方及经甲方同意的</w:t>
      </w:r>
    </w:p>
    <w:p>
      <w:pPr>
        <w:spacing w:line="360" w:lineRule="auto"/>
        <w:ind w:firstLine="480" w:firstLineChars="200"/>
        <w:rPr>
          <w:rFonts w:hint="eastAsia"/>
          <w:lang w:val="en-US" w:eastAsia="zh-CN"/>
        </w:rPr>
      </w:pPr>
      <w:r>
        <w:t xml:space="preserve">Q019 有关方有权进入与本规格书有关现场，开展过程及产品质量监督，以验证乙方对规格书要求的</w:t>
      </w:r>
    </w:p>
    <w:p>
      <w:pPr>
        <w:spacing w:line="360" w:lineRule="auto"/>
        <w:ind w:firstLine="480" w:firstLineChars="200"/>
        <w:rPr>
          <w:rFonts w:hint="eastAsia"/>
          <w:lang w:val="en-US" w:eastAsia="zh-CN"/>
        </w:rPr>
      </w:pPr>
      <w:r>
        <w:t xml:space="preserve">Q020 遵守情况，乙方应当提供必要的数据、记录、文件等资源支持。</w:t>
      </w:r>
    </w:p>
    <w:p>
      <w:pPr>
        <w:spacing w:line="360" w:lineRule="auto"/>
        <w:ind w:firstLine="480" w:firstLineChars="200"/>
        <w:rPr>
          <w:rFonts w:hint="eastAsia"/>
          <w:lang w:val="en-US" w:eastAsia="zh-CN"/>
        </w:rPr>
      </w:pPr>
      <w:r>
        <w:t xml:space="preserve">Q021 甲乙双方应当在产品检测评价标准、缺陷判据、抽样方法等方面达成一致，由合同甲方制</w:t>
      </w:r>
    </w:p>
    <w:p>
      <w:pPr>
        <w:spacing w:line="360" w:lineRule="auto"/>
        <w:ind w:firstLine="480" w:firstLineChars="200"/>
        <w:rPr>
          <w:rFonts w:hint="eastAsia"/>
          <w:lang w:val="en-US" w:eastAsia="zh-CN"/>
        </w:rPr>
      </w:pPr>
      <w:r>
        <w:t xml:space="preserve">Q022 定《电子海图显示与信息系统软件验收大纲》文件。</w:t>
      </w:r>
    </w:p>
    <w:p>
      <w:pPr>
        <w:spacing w:line="360" w:lineRule="auto"/>
        <w:ind w:firstLine="480" w:firstLineChars="200"/>
        <w:rPr>
          <w:rFonts w:hint="eastAsia"/>
          <w:lang w:val="en-US" w:eastAsia="zh-CN"/>
        </w:rPr>
      </w:pPr>
      <w:r>
        <w:t xml:space="preserve">Q023 乙方应配合甲方完成外包验收工作，验收按照甲方编制的验收大纲、规范中相关要求执行。</w:t>
      </w:r>
    </w:p>
    <w:p>
      <w:pPr>
        <w:spacing w:line="360" w:lineRule="auto"/>
        <w:ind w:firstLine="480" w:firstLineChars="200"/>
        <w:rPr>
          <w:rFonts w:hint="eastAsia"/>
          <w:lang w:val="en-US" w:eastAsia="zh-CN"/>
        </w:rPr>
      </w:pPr>
      <w:r>
        <w:t xml:space="preserve">Q024 乙方需提供给甲方的外包验收交付物见表1。</w:t>
      </w:r>
    </w:p>
    <w:p>
      <w:pPr>
        <w:spacing w:line="360" w:lineRule="auto"/>
        <w:ind w:firstLine="480" w:firstLineChars="200"/>
        <w:rPr>
          <w:rFonts w:hint="eastAsia"/>
          <w:lang w:val="en-US" w:eastAsia="zh-CN"/>
        </w:rPr>
      </w:pPr>
      <w:r>
        <w:t xml:space="preserve">Q025 甲乙双方应当按照7.2.1条要求开展产品检测和评价，有下列情形时，甲方有权拒收</w:t>
      </w:r>
    </w:p>
    <w:p>
      <w:pPr>
        <w:spacing w:line="360" w:lineRule="auto"/>
        <w:ind w:firstLine="480" w:firstLineChars="200"/>
        <w:rPr>
          <w:rFonts w:hint="eastAsia"/>
          <w:lang w:val="en-US" w:eastAsia="zh-CN"/>
        </w:rPr>
      </w:pPr>
      <w:r>
        <w:t xml:space="preserve">Q026 交付的产品：所交付产品为不合格产品的；所交付产品含有侵权纠纷的；提交产品尚未完成甲</w:t>
      </w:r>
    </w:p>
    <w:p>
      <w:pPr>
        <w:spacing w:line="360" w:lineRule="auto"/>
        <w:ind w:firstLine="480" w:firstLineChars="200"/>
        <w:rPr>
          <w:rFonts w:hint="eastAsia"/>
          <w:lang w:val="en-US" w:eastAsia="zh-CN"/>
        </w:rPr>
      </w:pPr>
      <w:r>
        <w:t xml:space="preserve">Q027 方的设计要求；乙方对甲方提出的纠正措施要求未作答复或提供的纠正措施不能接受的；在甲</w:t>
      </w:r>
    </w:p>
    <w:p>
      <w:pPr>
        <w:spacing w:line="360" w:lineRule="auto"/>
        <w:ind w:firstLine="480" w:firstLineChars="200"/>
        <w:rPr>
          <w:rFonts w:hint="eastAsia"/>
          <w:lang w:val="en-US" w:eastAsia="zh-CN"/>
        </w:rPr>
      </w:pPr>
      <w:r>
        <w:t xml:space="preserve">Q028 方要求不得让步接收的产品中存在让步接收情况的。</w:t>
      </w:r>
    </w:p>
    <w:p>
      <w:pPr>
        <w:spacing w:line="360" w:lineRule="auto"/>
        <w:ind w:firstLine="480" w:firstLineChars="200"/>
        <w:rPr>
          <w:rFonts w:hint="eastAsia"/>
          <w:lang w:val="en-US" w:eastAsia="zh-CN"/>
        </w:rPr>
      </w:pPr>
      <w:r>
        <w:t xml:space="preserve">Q029 5 违约处罚及责任追究</w:t>
      </w:r>
    </w:p>
    <w:p>
      <w:pPr>
        <w:spacing w:line="360" w:lineRule="auto"/>
        <w:ind w:firstLine="480" w:firstLineChars="200"/>
        <w:rPr>
          <w:rFonts w:hint="eastAsia"/>
          <w:lang w:val="en-US" w:eastAsia="zh-CN"/>
        </w:rPr>
      </w:pPr>
      <w:r>
        <w:t xml:space="preserve">Q030 乙方出现如交付产品不合格、使用中出现批次性质量问题、质量问题导致甲方或甲方顾客</w:t>
      </w:r>
    </w:p>
    <w:p>
      <w:pPr>
        <w:spacing w:line="360" w:lineRule="auto"/>
        <w:ind w:firstLine="480" w:firstLineChars="200"/>
        <w:rPr>
          <w:rFonts w:hint="eastAsia"/>
          <w:lang w:val="en-US" w:eastAsia="zh-CN"/>
        </w:rPr>
      </w:pPr>
      <w:r>
        <w:t xml:space="preserve">Q031 损失等情况时，乙方应负责更换并承担所有处理费用，并赔偿甲方损失。</w:t>
      </w:r>
    </w:p>
    <w:p>
      <w:pPr>
        <w:spacing w:line="360" w:lineRule="auto"/>
        <w:ind w:firstLine="480" w:firstLineChars="200"/>
        <w:rPr>
          <w:rFonts w:hint="eastAsia"/>
          <w:lang w:val="en-US" w:eastAsia="zh-CN"/>
        </w:rPr>
      </w:pPr>
      <w:r>
        <w:t xml:space="preserve">Q032 乙方出现使用侵权纠纷、出具虚假数据或结论、不及时反馈甲方质量质询等情况时，甲方</w:t>
      </w:r>
    </w:p>
    <w:p>
      <w:pPr>
        <w:spacing w:line="360" w:lineRule="auto"/>
        <w:ind w:firstLine="480" w:firstLineChars="200"/>
        <w:rPr>
          <w:rFonts w:hint="eastAsia"/>
          <w:lang w:val="en-US" w:eastAsia="zh-CN"/>
        </w:rPr>
      </w:pPr>
      <w:r>
        <w:t xml:space="preserve">Q033 有权采取暂停交付或取消供应商资格等措施。</w:t>
      </w:r>
    </w:p>
    <w:p>
      <w:pPr>
        <w:spacing w:line="360" w:lineRule="auto"/>
        <w:ind w:firstLine="480" w:firstLineChars="200"/>
        <w:rPr>
          <w:rFonts w:hint="eastAsia"/>
          <w:lang w:val="en-US" w:eastAsia="zh-CN"/>
        </w:rPr>
      </w:pPr>
      <w:r>
        <w:t xml:space="preserve">Q034 乙方出现弄虚作假，隐瞒重大设计缺陷、制造缺陷、质量问题或隐患，出具虚假数据或结</w:t>
      </w:r>
    </w:p>
    <w:p>
      <w:pPr>
        <w:spacing w:line="360" w:lineRule="auto"/>
        <w:ind w:firstLine="480" w:firstLineChars="200"/>
        <w:rPr>
          <w:rFonts w:hint="eastAsia"/>
          <w:lang w:val="en-US" w:eastAsia="zh-CN"/>
        </w:rPr>
      </w:pPr>
      <w:r>
        <w:t xml:space="preserve">Q035 论，产品重大质量事故隐瞒不报、谎报或故意延误报告，故意将不合格品交付，存在以次充好、</w:t>
      </w:r>
    </w:p>
    <w:p>
      <w:pPr>
        <w:spacing w:line="360" w:lineRule="auto"/>
        <w:ind w:firstLine="480" w:firstLineChars="200"/>
        <w:rPr>
          <w:rFonts w:hint="eastAsia"/>
          <w:lang w:val="en-US" w:eastAsia="zh-CN"/>
        </w:rPr>
      </w:pPr>
      <w:r>
        <w:t xml:space="preserve">Q036 以假充真等情形时，构成犯罪的，依法追究刑事责任。</w:t>
      </w:r>
    </w:p>
    <w:p ns2: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黑体"/>
          <w:bCs/>
          <w:kern w:val="44"/>
          <w:sz w:val="30"/>
          <w:szCs w:val="44"/>
        </w:rPr>
        <w:t>技术方案</w:t>
      </w:r>
      <w:bookmarkEnd w:id="13"/>
    </w:p>
    <w:p ns2: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ns2:paraId="42C34A86">
      <w:pPr>
        <w:keepNext/>
        <w:keepLines/>
        <w:numPr>
          <w:ilvl w:val="2"/>
          <w:numId w:val="11"/>
        </w:numPr>
        <w:tabs>
          <w:tab w:val="left" w:pos="0"/>
        </w:tabs>
        <w:spacing w:line="360" w:lineRule="auto"/>
        <w:outlineLvl w:val="2"/>
        <w:rPr>
          <w:rFonts w:hint="eastAsia" w:eastAsia="黑体"/>
          <w:bCs/>
          <w:szCs w:val="32"/>
        </w:rPr>
      </w:pPr>
      <w:r>
        <w:rPr>
          <w:rFonts w:hint="eastAsia" w:eastAsia="黑体"/>
          <w:bCs/>
          <w:szCs w:val="32"/>
        </w:rPr>
        <w:t>系统总体架构</w:t>
      </w:r>
    </w:p>
    <w:p>
      <w:pPr>
        <w:numPr>
          <w:ilvl w:val="0"/>
          <w:numId w:val="0"/>
        </w:numPr>
        <w:adjustRightInd w:val="0"/>
        <w:spacing w:line="360" w:lineRule="auto"/>
        <w:ind w:leftChars="200"/>
        <w:rPr>
          <w:szCs w:val="28"/>
        </w:rPr>
      </w:pPr>
      <w:r>
        <w:t xml:space="preserve">电子海图显示与信息系统采用面向航行态势感知的分层组件架构，整体由数据接入与标准化处理层、海图与目标态势融合层、导航业务与安全决策层、显示交互与控制层、平台运行与质量保障层组成。各层围绕“标准海图数据接入、多源目标融合、航线与告警计算、图形化态势呈现、运行记录追溯”的主链路展开，使系统能够在统一的海图空间中持续处理航行相关数据，并向船员提供稳定、清晰、可操作的综合导航界面。</w:t>
      </w:r>
    </w:p>
    <w:p>
      <w:pPr>
        <w:numPr>
          <w:ilvl w:val="0"/>
          <w:numId w:val="0"/>
        </w:numPr>
        <w:adjustRightInd w:val="0"/>
        <w:spacing w:line="360" w:lineRule="auto"/>
        <w:ind w:leftChars="200"/>
        <w:rPr>
          <w:szCs w:val="28"/>
        </w:rPr>
      </w:pPr>
      <w:r>
        <w:t xml:space="preserve">数据接入与标准化处理层负责接收S-57/S-63电子海图、S-52显示库、AIS、雷达、ARPA、本船导航状态、NMEA报文以及数据库中的业务数据。该层对不同来源的数据进行格式解析、坐标转换、时间戳对齐、数据校验和状态缓存，将外部设备与文件输入转化为系统内部统一的数据对象，为上层海图渲染、目标叠加、航线计算和安全判断提供一致的数据基础。</w:t>
      </w:r>
    </w:p>
    <w:p>
      <w:pPr>
        <w:numPr>
          <w:ilvl w:val="0"/>
          <w:numId w:val="0"/>
        </w:numPr>
        <w:adjustRightInd w:val="0"/>
        <w:spacing w:line="360" w:lineRule="auto"/>
        <w:ind w:leftChars="200"/>
        <w:rPr>
          <w:szCs w:val="28"/>
        </w:rPr>
      </w:pPr>
      <w:r>
        <w:t xml:space="preserve">海图与目标态势融合层是系统的核心数据加工单元，负责将标准海图要素、雷达回波、AIS目标、ARPA跟踪目标、本船符号、航线对象和自定义GIS要素叠加到同一地理坐标空间。系统在该层维护目标位置、航向、航速、跟踪状态和显示优先级，并通过缓冲队列、空间配准和刷新控制机制处理多源数据在频率、精度和来源上的差异，形成可实时更新的综合航行态势。</w:t>
      </w:r>
    </w:p>
    <w:p>
      <w:pPr>
        <w:numPr>
          <w:ilvl w:val="0"/>
          <w:numId w:val="0"/>
        </w:numPr>
        <w:adjustRightInd w:val="0"/>
        <w:spacing w:line="360" w:lineRule="auto"/>
        <w:ind w:leftChars="200"/>
        <w:rPr>
          <w:szCs w:val="28"/>
        </w:rPr>
      </w:pPr>
      <w:r>
        <w:t xml:space="preserve">导航业务与安全决策层围绕航线规划、航行监控、安全等深线、水深告警、偏航判断、危险区域识别和目标态势预警开展业务计算。用户规划航线后，系统对航点、航段、安全参数和航行规则进行检查；船舶航行过程中，系统持续获取本船位置和目标态势，对偏航、浅水、禁航区、危险物接近等风险进行判断，并将告警事件推送至显示交互层进行提示和确认。</w:t>
      </w:r>
    </w:p>
    <w:p>
      <w:pPr>
        <w:numPr>
          <w:ilvl w:val="0"/>
          <w:numId w:val="0"/>
        </w:numPr>
        <w:adjustRightInd w:val="0"/>
        <w:spacing w:line="360" w:lineRule="auto"/>
        <w:ind w:leftChars="200"/>
        <w:rPr>
          <w:szCs w:val="28"/>
        </w:rPr>
      </w:pPr>
      <w:r>
        <w:t xml:space="preserve">显示交互与控制层面向船员实际操作场景，提供海图缩放、漫游、图层开关、昼夜配色、正北向上/船艏向上、真实位移/相对位移、目标信息查看、航线编辑和告警确认等功能。界面层通过OpenGL图形渲染能力完成海图、目标、航线和告警信息的实时叠加显示，并将用户操作转化为业务指令发送至相应模块，形成“显示-操作-计算-反馈”的闭环。</w:t>
      </w:r>
    </w:p>
    <w:p>
      <w:pPr>
        <w:numPr>
          <w:ilvl w:val="0"/>
          <w:numId w:val="0"/>
        </w:numPr>
        <w:adjustRightInd w:val="0"/>
        <w:spacing w:line="360" w:lineRule="auto"/>
        <w:ind w:leftChars="200"/>
        <w:rPr>
          <w:szCs w:val="28"/>
        </w:rPr>
      </w:pPr>
      <w:r>
        <w:t xml:space="preserve">平台运行与质量保障层负责跨硬件平台和操作系统环境的适配、配置管理、日志审计、权限控制、异常记录、测试验证和交付资料管理。系统将图形渲染、设备接口、文件访问、数据库连接和日志路径等平台相关能力封装在适配层中，上层业务模块通过统一接口调用，降低硬件架构、操作系统和外设差异对核心业务逻辑的影响。</w:t>
      </w:r>
    </w:p>
    <w:p ns2:paraId="6BB68F78">
      <w:pPr>
        <w:spacing w:line="360" w:lineRule="auto"/>
        <w:ind w:firstLine="480" w:firstLineChars="200"/>
        <w:rPr>
          <w:rFonts w:hint="eastAsia"/>
        </w:rPr>
      </w:pPr>
      <w:r>
        <w:rPr>
          <w:rFonts w:hint="eastAsia"/>
        </w:rPr>
        <w:t>系统架构如下图所示：</w:t>
      </w:r>
    </w:p>
    <w:p>
      <w:r>
        <w:drawing>
          <wp:inline distT="0" distB="0" distL="0" distR="0">
            <wp:extent cx="5486400" cy="3579876"/>
            <wp:effectExtent l="0" t="0" r="0" b="0"/>
            <wp:docPr id="1002" name="总体架构蓝图"/>
            <wp:cNvGraphicFramePr>
              <a:graphicFrameLocks noChangeAspect="1"/>
            </wp:cNvGraphicFramePr>
            <a:graphic>
              <a:graphicData uri="http://schemas.openxmlformats.org/drawingml/2006/picture">
                <pic:pic>
                  <pic:nvPicPr>
                    <pic:cNvPr id="0" name="总体架构蓝图"/>
                    <pic:cNvPicPr/>
                  </pic:nvPicPr>
                  <pic:blipFill>
                    <a:blip r:embed="rId12"/>
                    <a:stretch>
                      <a:fillRect/>
                    </a:stretch>
                  </pic:blipFill>
                  <pic:spPr>
                    <a:xfrm>
                      <a:off x="0" y="0"/>
                      <a:ext cx="5486400" cy="3579876"/>
                    </a:xfrm>
                    <a:prstGeom prst="rect">
                      <a:avLst/>
                    </a:prstGeom>
                  </pic:spPr>
                </pic:pic>
              </a:graphicData>
            </a:graphic>
          </wp:inline>
        </w:drawing>
      </w:r>
    </w:p>
    <w:p>
      <w:pPr>
        <w:spacing w:line="360" w:lineRule="auto"/>
        <w:jc w:val="center"/>
        <w:rPr>
          <w:rFonts w:hint="eastAsia"/>
        </w:rPr>
      </w:pPr>
      <w:r>
        <w:t xml:space="preserve">总体架构蓝图，用于说明本节相关模块、数据流或流程关系。</w:t>
      </w:r>
    </w:p>
    <w:p ns2:paraId="15FA438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pPr>
        <w:spacing w:line="360" w:lineRule="auto"/>
        <w:ind w:firstLine="480" w:firstLineChars="200"/>
        <w:rPr>
          <w:rFonts w:hint="eastAsia"/>
          <w:lang w:val="en-US" w:eastAsia="zh-CN"/>
        </w:rPr>
      </w:pPr>
      <w:r>
        <w:t xml:space="preserve">系统总体架构图以航行态势数据流为主线，外部电子海图文件、AIS、雷达、ARPA、本船导航设备和用户操作首先进入数据接入与标准化处理层。该层完成格式解析、坐标转换、时间对齐和数据校验后，将标准化数据分别提供给海图显示、目标融合、航线规划、航行监控和安全告警等业务组件。</w:t>
      </w:r>
    </w:p>
    <w:p>
      <w:pPr>
        <w:spacing w:line="360" w:lineRule="auto"/>
        <w:ind w:firstLine="480" w:firstLineChars="200"/>
        <w:rPr>
          <w:rFonts w:hint="eastAsia"/>
          <w:lang w:val="en-US" w:eastAsia="zh-CN"/>
        </w:rPr>
      </w:pPr>
      <w:r>
        <w:t xml:space="preserve">业务组件之间通过统一态势数据和控制指令协同工作。海图显示组件负责提供底图和符号化显示环境，目标融合组件负责维护动态目标状态，航线规划与监控组件负责计算航路、偏航和到达状态，安全告警组件负责识别浅水、危险区、目标接近和航线风险。平台支撑、权限控制、日志审计、测试验证和交付记录贯穿各业务组件，为系统运行、问题定位和验收复核提供基础。</w:t>
      </w:r>
    </w:p>
    <w:p ns2:paraId="17AE02FB">
      <w:pPr>
        <w:spacing w:line="360" w:lineRule="auto"/>
        <w:ind w:firstLine="480" w:firstLineChars="200"/>
        <w:rPr>
          <w:rFonts w:hint="eastAsia"/>
          <w:lang w:val="en-US" w:eastAsia="zh-CN"/>
        </w:rPr>
      </w:pPr>
    </w:p>
    <w:p ns2: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黑体"/>
          <w:bCs/>
          <w:szCs w:val="32"/>
          <w:lang w:val="en-US" w:eastAsia="zh-CN"/>
        </w:rPr>
        <w:t>设计原则</w:t>
      </w:r>
      <w:bookmarkEnd w:id="15"/>
      <w:bookmarkEnd w:id="16"/>
    </w:p>
    <w:p>
      <w:pPr>
        <w:spacing w:line="360" w:lineRule="auto"/>
        <w:ind w:firstLine="480" w:firstLineChars="200"/>
        <w:rPr>
          <w:rFonts w:hint="eastAsia"/>
          <w:lang w:val="en-US" w:eastAsia="zh-CN"/>
        </w:rPr>
      </w:pPr>
      <w:r>
        <w:t xml:space="preserve">本系统遵循标准优先、分层解耦、数据一致、可测试可追溯和国产化适配的设计原则。标准优先是指显示、数据保护、符号库、操作性能和文档交付均对齐招标文件列明的IEC、IHO、GB/T和GJB要求；分层解耦是指显示、业务、接口、平台和质量保障分别形成清晰边界。</w:t>
      </w:r>
    </w:p>
    <w:p>
      <w:pPr>
        <w:spacing w:line="360" w:lineRule="auto"/>
        <w:ind w:firstLine="480" w:firstLineChars="200"/>
        <w:rPr>
          <w:rFonts w:hint="eastAsia"/>
          <w:lang w:val="en-US" w:eastAsia="zh-CN"/>
        </w:rPr>
      </w:pPr>
      <w:r>
        <w:t xml:space="preserve">数据一致原则要求海图、AIS、雷达、ARPA、本船状态和用户配置在统一的时间、坐标和显示上下文中处理，避免同一目标在不同模块出现位置或状态不一致。可测试可追溯原则要求关键模块提供日志、接口记录、测试点和验收依据，使功能响应、质量属性和验收条款能够形成清晰对应关系。国产化适配原则要求软件结构与运行依赖避免绑定单一硬件或操作系统，为龙芯、飞腾、瑞芯微及麒麟、Ubuntu环境提供可迁移基础。</w:t>
      </w:r>
    </w:p>
    <w:p ns2: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黑体"/>
          <w:bCs/>
          <w:szCs w:val="32"/>
          <w:lang w:val="en-US" w:eastAsia="zh-CN"/>
        </w:rPr>
        <w:t>部署架构</w:t>
      </w:r>
    </w:p>
    <w:p>
      <w:pPr>
        <w:spacing w:line="360" w:lineRule="auto"/>
        <w:ind w:firstLine="480" w:firstLineChars="200"/>
        <w:rPr>
          <w:rFonts w:hint="eastAsia"/>
          <w:lang w:val="en-US" w:eastAsia="zh-CN"/>
        </w:rPr>
      </w:pPr>
      <w:r>
        <w:t xml:space="preserve">部署架构采用应用模块、数据资源和运行环境分离的方式设计。应用侧按照海图显示、目标融合、航线监控、告警服务、数据维护、配置管理等职责拆分为可独立部署和升级的组件；数据侧保留海图文件、业务数据库、运行日志和配置文件的独立存储边界；运行侧对硬件平台、操作系统、图形驱动和外设接口进行适配封装。</w:t>
      </w:r>
    </w:p>
    <w:p>
      <w:pPr>
        <w:spacing w:line="360" w:lineRule="auto"/>
        <w:ind w:firstLine="480" w:firstLineChars="200"/>
        <w:rPr>
          <w:rFonts w:hint="eastAsia"/>
          <w:lang w:val="en-US" w:eastAsia="zh-CN"/>
        </w:rPr>
      </w:pPr>
      <w:r>
        <w:t xml:space="preserve">面向跨架构与跨操作系统要求，系统将平台相关能力下沉到适配层，例如文件访问、串口/网络接口、图形渲染上下文、输入设备事件和日志路径管理。业务模块通过稳定接口调用适配层能力，避免直接依赖特定平台实现。多设备协同时，运行支撑层维护设备优先级、状态心跳和操作互斥策略，使主备设备或多终端显示保持一致的运行边界。</w:t>
      </w:r>
    </w:p>
    <w:p ns2: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pPr>
        <w:pStyle w:val="3"/>
        <w:numPr>
          <w:ilvl w:val="0"/>
          <w:numId w:val="0"/>
        </w:numPr>
        <w:bidi w:val="0"/>
        <w:ind w:leftChars="200"/>
        <w:rPr>
          <w:rFonts w:hint="eastAsia"/>
          <w:lang w:val="en-US" w:eastAsia="zh-CN"/>
        </w:rPr>
      </w:pPr>
      <w:r>
        <w:t xml:space="preserve">功能设计按照电子海图系统的主业务链路组织：首先接入S-57/S-63等标准海图数据并完成显示库和数据保护处理；随后接入AIS、雷达、ARPA和本船导航状态，完成时间与空间对齐；在统一态势底座上提供海图浏览、目标叠加、航线规划、航行监控、安全等深线和水深告警；最后通过HMI交互、日志记录和配置保存支撑持续运行。</w:t>
      </w:r>
    </w:p>
    <w:p>
      <w:pPr>
        <w:pStyle w:val="3"/>
        <w:numPr>
          <w:ilvl w:val="0"/>
          <w:numId w:val="0"/>
        </w:numPr>
        <w:bidi w:val="0"/>
        <w:ind w:leftChars="200"/>
        <w:rPr>
          <w:rFonts w:hint="eastAsia"/>
          <w:lang w:val="en-US" w:eastAsia="zh-CN"/>
        </w:rPr>
      </w:pPr>
      <w:r>
        <w:t xml:space="preserve">功能模块之间采用“数据标准化-态势融合-业务规则-显示反馈”的调用关系。数据维护模块负责数据导入、校验、版本和接口管理；显示模块负责符号化渲染、配色和图层控制；导航业务模块负责航线和监控计算；告警模块负责风险判断和提示；交互模块负责菜单、快捷键和多输入设备操作。</w:t>
      </w:r>
    </w:p>
    <w:p>
      <w:pPr>
        <w:pStyle w:val="3"/>
        <w:numPr>
          <w:ilvl w:val="0"/>
          <w:numId w:val="0"/>
        </w:numPr>
        <w:bidi w:val="0"/>
        <w:ind w:leftChars="200"/>
        <w:rPr>
          <w:rFonts w:hint="eastAsia" w:eastAsia="宋体"/>
          <w:lang w:eastAsia="zh-CN"/>
        </w:rPr>
      </w:pPr>
      <w:r>
        <w:t xml:space="preserve">1. 海图综合态势展示-标准符合性</w:t>
      </w:r>
    </w:p>
    <w:p>
      <w:pPr>
        <w:pStyle w:val="3"/>
        <w:numPr>
          <w:ilvl w:val="0"/>
          <w:numId w:val="0"/>
        </w:numPr>
        <w:bidi w:val="0"/>
        <w:ind w:leftChars="200"/>
        <w:rPr>
          <w:rFonts w:hint="eastAsia" w:eastAsia="宋体"/>
          <w:lang w:eastAsia="zh-CN"/>
        </w:rPr>
      </w:pPr>
      <w:r>
        <w:t xml:space="preserve">标准符合性控制功能面向电子海图显示、导航数据处理和航行态势呈现场景，主要解决标准符合性：核心显示与操作需符合IEC 61174-2015、IEC 62288-2024、GB/T 43053-2023；海图数据处理需符合IHO S-57 3.1版、IHO S-63 1.2版、IHO S-52 6.1版及IHO S-52 PresLib 4.0版标准。。系统在功能设计上将该能力纳入统一业务链路，使用户操作、外部数据、业务规则和显示反馈之间形成清晰的处理关系。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3" name="T001 海图综合态势展示-标准符合性功能流程图"/>
            <wp:cNvGraphicFramePr>
              <a:graphicFrameLocks noChangeAspect="1"/>
            </wp:cNvGraphicFramePr>
            <a:graphic>
              <a:graphicData uri="http://schemas.openxmlformats.org/drawingml/2006/picture">
                <pic:pic>
                  <pic:nvPicPr>
                    <pic:cNvPr id="0" name="T001 海图综合态势展示-标准符合性功能流程图"/>
                    <pic:cNvPicPr/>
                  </pic:nvPicPr>
                  <pic:blipFill>
                    <a:blip r:embed="rId13"/>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海图综合态势展示-标准符合性功能流程图，用于说明该功能的输入、处理、输出与异常记录关系。</w:t>
      </w:r>
    </w:p>
    <w:p>
      <w:pPr>
        <w:pStyle w:val="3"/>
        <w:numPr>
          <w:ilvl w:val="0"/>
          <w:numId w:val="0"/>
        </w:numPr>
        <w:bidi w:val="0"/>
        <w:ind w:leftChars="200"/>
        <w:rPr>
          <w:rFonts w:hint="eastAsia" w:eastAsia="宋体"/>
          <w:lang w:eastAsia="zh-CN"/>
        </w:rPr>
      </w:pPr>
      <w:r>
        <w:t xml:space="preserve">2. 海图综合态势展示</w:t>
      </w:r>
    </w:p>
    <w:p>
      <w:pPr>
        <w:pStyle w:val="3"/>
        <w:numPr>
          <w:ilvl w:val="0"/>
          <w:numId w:val="0"/>
        </w:numPr>
        <w:bidi w:val="0"/>
        <w:ind w:leftChars="200"/>
        <w:rPr>
          <w:rFonts w:hint="eastAsia" w:eastAsia="宋体"/>
          <w:lang w:eastAsia="zh-CN"/>
        </w:rPr>
      </w:pPr>
      <w:r>
        <w:t xml:space="preserve">海图综合态势展示功能面向电子海图显示、导航数据处理和航行态势呈现场景，主要解决接入并展示标准电子海图（S-57/S-63），支持海图自动匹配、选择、缩放、漫游、图层控制（基础/标准/全部），可开关显示特定要素。。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4" name="T002 海图综合态势展示功能流程图"/>
            <wp:cNvGraphicFramePr>
              <a:graphicFrameLocks noChangeAspect="1"/>
            </wp:cNvGraphicFramePr>
            <a:graphic>
              <a:graphicData uri="http://schemas.openxmlformats.org/drawingml/2006/picture">
                <pic:pic>
                  <pic:nvPicPr>
                    <pic:cNvPr id="0" name="T002 海图综合态势展示功能流程图"/>
                    <pic:cNvPicPr/>
                  </pic:nvPicPr>
                  <pic:blipFill>
                    <a:blip r:embed="rId14"/>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海图综合态势展示功能流程图，用于说明该功能的输入、处理、输出与异常记录关系。</w:t>
      </w:r>
    </w:p>
    <w:p>
      <w:pPr>
        <w:pStyle w:val="3"/>
        <w:numPr>
          <w:ilvl w:val="0"/>
          <w:numId w:val="0"/>
        </w:numPr>
        <w:bidi w:val="0"/>
        <w:ind w:leftChars="200"/>
        <w:rPr>
          <w:rFonts w:hint="eastAsia" w:eastAsia="宋体"/>
          <w:lang w:eastAsia="zh-CN"/>
        </w:rPr>
      </w:pPr>
      <w:r>
        <w:t xml:space="preserve">3. 海图综合态势展示</w:t>
      </w:r>
    </w:p>
    <w:p>
      <w:pPr>
        <w:pStyle w:val="3"/>
        <w:numPr>
          <w:ilvl w:val="0"/>
          <w:numId w:val="0"/>
        </w:numPr>
        <w:bidi w:val="0"/>
        <w:ind w:leftChars="200"/>
        <w:rPr>
          <w:rFonts w:hint="eastAsia" w:eastAsia="宋体"/>
          <w:lang w:eastAsia="zh-CN"/>
        </w:rPr>
      </w:pPr>
      <w:r>
        <w:t xml:space="preserve">海图综合态势展示功能面向电子海图显示、导航数据处理和航行态势呈现场景，主要解决支持IMO要求的多种配色模式（白天、黄昏、夜晚），夜间模式亮度需符合规范。。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5" name="T003 海图综合态势展示功能流程图"/>
            <wp:cNvGraphicFramePr>
              <a:graphicFrameLocks noChangeAspect="1"/>
            </wp:cNvGraphicFramePr>
            <a:graphic>
              <a:graphicData uri="http://schemas.openxmlformats.org/drawingml/2006/picture">
                <pic:pic>
                  <pic:nvPicPr>
                    <pic:cNvPr id="0" name="T003 海图综合态势展示功能流程图"/>
                    <pic:cNvPicPr/>
                  </pic:nvPicPr>
                  <pic:blipFill>
                    <a:blip r:embed="rId15"/>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海图综合态势展示功能流程图，用于说明该功能的输入、处理、输出与异常记录关系。</w:t>
      </w:r>
    </w:p>
    <w:p>
      <w:pPr>
        <w:pStyle w:val="3"/>
        <w:numPr>
          <w:ilvl w:val="0"/>
          <w:numId w:val="0"/>
        </w:numPr>
        <w:bidi w:val="0"/>
        <w:ind w:leftChars="200"/>
        <w:rPr>
          <w:rFonts w:hint="eastAsia" w:eastAsia="宋体"/>
          <w:lang w:eastAsia="zh-CN"/>
        </w:rPr>
      </w:pPr>
      <w:r>
        <w:t xml:space="preserve">4. 海图综合态势展示</w:t>
      </w:r>
    </w:p>
    <w:p>
      <w:pPr>
        <w:pStyle w:val="3"/>
        <w:numPr>
          <w:ilvl w:val="0"/>
          <w:numId w:val="0"/>
        </w:numPr>
        <w:bidi w:val="0"/>
        <w:ind w:leftChars="200"/>
        <w:rPr>
          <w:rFonts w:hint="eastAsia" w:eastAsia="宋体"/>
          <w:lang w:eastAsia="zh-CN"/>
        </w:rPr>
      </w:pPr>
      <w:r>
        <w:t xml:space="preserve">海图综合态势展示功能面向电子海图显示、导航数据处理和航行态势呈现场景，主要解决支持“正北向上”和“船艏向上”模式切换，以及“真实位移”和“相对位移”模式。。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6" name="T004 海图综合态势展示功能流程图"/>
            <wp:cNvGraphicFramePr>
              <a:graphicFrameLocks noChangeAspect="1"/>
            </wp:cNvGraphicFramePr>
            <a:graphic>
              <a:graphicData uri="http://schemas.openxmlformats.org/drawingml/2006/picture">
                <pic:pic>
                  <pic:nvPicPr>
                    <pic:cNvPr id="0" name="T004 海图综合态势展示功能流程图"/>
                    <pic:cNvPicPr/>
                  </pic:nvPicPr>
                  <pic:blipFill>
                    <a:blip r:embed="rId16"/>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海图综合态势展示功能流程图，用于说明该功能的输入、处理、输出与异常记录关系。</w:t>
      </w:r>
    </w:p>
    <w:p>
      <w:pPr>
        <w:pStyle w:val="3"/>
        <w:numPr>
          <w:ilvl w:val="0"/>
          <w:numId w:val="0"/>
        </w:numPr>
        <w:bidi w:val="0"/>
        <w:ind w:leftChars="200"/>
        <w:rPr>
          <w:rFonts w:hint="eastAsia" w:eastAsia="宋体"/>
          <w:lang w:eastAsia="zh-CN"/>
        </w:rPr>
      </w:pPr>
      <w:r>
        <w:t xml:space="preserve">5. AIS/雷达等目标信息的处理与显示</w:t>
      </w:r>
    </w:p>
    <w:p>
      <w:pPr>
        <w:pStyle w:val="3"/>
        <w:numPr>
          <w:ilvl w:val="0"/>
          <w:numId w:val="0"/>
        </w:numPr>
        <w:bidi w:val="0"/>
        <w:ind w:leftChars="200"/>
        <w:rPr>
          <w:rFonts w:hint="eastAsia" w:eastAsia="宋体"/>
          <w:lang w:eastAsia="zh-CN"/>
        </w:rPr>
      </w:pPr>
      <w:r>
        <w:t xml:space="preserve">目标信息处理与显示功能面向多源目标接入、融合叠加和态势识别场景，主要解决基于OpenGL技术实现雷达回波图像在电子海图上的实时叠加，集成并处理来自雷达、AIS、ARPA等导航设备的动态数据。。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将目标符号、雷达回波、ARPA跟踪结果、本船状态和可选目标信息叠加到海图相应位置，并支持根据用户选择查看航向、航速、船名、MMSI或预测信息。输出结果同时服务于避碰判断、航行监控和安全告警。</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7" name="T005 AIS/雷达等目标信息的处理与显示功能流程图"/>
            <wp:cNvGraphicFramePr>
              <a:graphicFrameLocks noChangeAspect="1"/>
            </wp:cNvGraphicFramePr>
            <a:graphic>
              <a:graphicData uri="http://schemas.openxmlformats.org/drawingml/2006/picture">
                <pic:pic>
                  <pic:nvPicPr>
                    <pic:cNvPr id="0" name="T005 AIS/雷达等目标信息的处理与显示功能流程图"/>
                    <pic:cNvPicPr/>
                  </pic:nvPicPr>
                  <pic:blipFill>
                    <a:blip r:embed="rId17"/>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AIS/雷达等目标信息的处理与显示功能流程图，用于说明该功能的输入、处理、输出与异常记录关系。</w:t>
      </w:r>
    </w:p>
    <w:p>
      <w:pPr>
        <w:pStyle w:val="3"/>
        <w:numPr>
          <w:ilvl w:val="0"/>
          <w:numId w:val="0"/>
        </w:numPr>
        <w:bidi w:val="0"/>
        <w:ind w:leftChars="200"/>
        <w:rPr>
          <w:rFonts w:hint="eastAsia" w:eastAsia="宋体"/>
          <w:lang w:eastAsia="zh-CN"/>
        </w:rPr>
      </w:pPr>
      <w:r>
        <w:t xml:space="preserve">6. AIS/雷达等目标信息的处理与显示</w:t>
      </w:r>
    </w:p>
    <w:p>
      <w:pPr>
        <w:pStyle w:val="3"/>
        <w:numPr>
          <w:ilvl w:val="0"/>
          <w:numId w:val="0"/>
        </w:numPr>
        <w:bidi w:val="0"/>
        <w:ind w:leftChars="200"/>
        <w:rPr>
          <w:rFonts w:hint="eastAsia" w:eastAsia="宋体"/>
          <w:lang w:eastAsia="zh-CN"/>
        </w:rPr>
      </w:pPr>
      <w:r>
        <w:t xml:space="preserve">目标信息处理与显示功能面向多源目标接入、融合叠加和态势识别场景，主要解决将AIS目标符号、雷达回波、ARPA跟踪目标与本船符号，准确叠加在电子海图上的相应地理位置。。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将目标符号、雷达回波、ARPA跟踪结果、本船状态和可选目标信息叠加到海图相应位置，并支持根据用户选择查看航向、航速、船名、MMSI或预测信息。输出结果同时服务于避碰判断、航行监控和安全告警。</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8" name="T006 AIS/雷达等目标信息的处理与显示功能流程图"/>
            <wp:cNvGraphicFramePr>
              <a:graphicFrameLocks noChangeAspect="1"/>
            </wp:cNvGraphicFramePr>
            <a:graphic>
              <a:graphicData uri="http://schemas.openxmlformats.org/drawingml/2006/picture">
                <pic:pic>
                  <pic:nvPicPr>
                    <pic:cNvPr id="0" name="T006 AIS/雷达等目标信息的处理与显示功能流程图"/>
                    <pic:cNvPicPr/>
                  </pic:nvPicPr>
                  <pic:blipFill>
                    <a:blip r:embed="rId18"/>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AIS/雷达等目标信息的处理与显示功能流程图，用于说明该功能的输入、处理、输出与异常记录关系。</w:t>
      </w:r>
    </w:p>
    <w:p>
      <w:pPr>
        <w:pStyle w:val="3"/>
        <w:numPr>
          <w:ilvl w:val="0"/>
          <w:numId w:val="0"/>
        </w:numPr>
        <w:bidi w:val="0"/>
        <w:ind w:leftChars="200"/>
        <w:rPr>
          <w:rFonts w:hint="eastAsia" w:eastAsia="宋体"/>
          <w:lang w:eastAsia="zh-CN"/>
        </w:rPr>
      </w:pPr>
      <w:r>
        <w:t xml:space="preserve">7. AIS/雷达等目标信息的处理与显示</w:t>
      </w:r>
    </w:p>
    <w:p>
      <w:pPr>
        <w:pStyle w:val="3"/>
        <w:numPr>
          <w:ilvl w:val="0"/>
          <w:numId w:val="0"/>
        </w:numPr>
        <w:bidi w:val="0"/>
        <w:ind w:leftChars="200"/>
        <w:rPr>
          <w:rFonts w:hint="eastAsia" w:eastAsia="宋体"/>
          <w:lang w:eastAsia="zh-CN"/>
        </w:rPr>
      </w:pPr>
      <w:r>
        <w:t xml:space="preserve">目标信息处理与显示功能面向多源目标接入、融合叠加和态势识别场景，主要解决可选显示AIS目标船舶的关键信息（航向、航速、船名、MMSI等）和ARPA跟踪预测信息。。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通过标准接口接收AIS、雷达、ARPA及本船导航状态，对目标编号、位置、航向、航速、时间戳和跟踪状态进行统一维护。融合处理模块以电子海图坐标体系为基准完成空间配准和刷新控制，再通过图形渲染链路将目标态势与海图底图同步呈现。</w:t>
      </w:r>
    </w:p>
    <w:p>
      <w:pPr>
        <w:pStyle w:val="3"/>
        <w:numPr>
          <w:ilvl w:val="0"/>
          <w:numId w:val="0"/>
        </w:numPr>
        <w:bidi w:val="0"/>
        <w:ind w:leftChars="200"/>
        <w:rPr>
          <w:rFonts w:hint="eastAsia" w:eastAsia="宋体"/>
          <w:lang w:eastAsia="zh-CN"/>
        </w:rPr>
      </w:pPr>
      <w:r>
        <w:t xml:space="preserve">输出方面，系统将目标符号、雷达回波、ARPA跟踪结果、本船状态和可选目标信息叠加到海图相应位置，并支持根据用户选择查看航向、航速、船名、MMSI或预测信息。输出结果同时服务于避碰判断、航行监控和安全告警。</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9" name="T007 AIS/雷达等目标信息的处理与显示功能流程图"/>
            <wp:cNvGraphicFramePr>
              <a:graphicFrameLocks noChangeAspect="1"/>
            </wp:cNvGraphicFramePr>
            <a:graphic>
              <a:graphicData uri="http://schemas.openxmlformats.org/drawingml/2006/picture">
                <pic:pic>
                  <pic:nvPicPr>
                    <pic:cNvPr id="0" name="T007 AIS/雷达等目标信息的处理与显示功能流程图"/>
                    <pic:cNvPicPr/>
                  </pic:nvPicPr>
                  <pic:blipFill>
                    <a:blip r:embed="rId19"/>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AIS/雷达等目标信息的处理与显示功能流程图，用于说明该功能的输入、处理、输出与异常记录关系。</w:t>
      </w:r>
    </w:p>
    <w:p>
      <w:pPr>
        <w:pStyle w:val="3"/>
        <w:numPr>
          <w:ilvl w:val="0"/>
          <w:numId w:val="0"/>
        </w:numPr>
        <w:bidi w:val="0"/>
        <w:ind w:leftChars="200"/>
        <w:rPr>
          <w:rFonts w:hint="eastAsia" w:eastAsia="宋体"/>
          <w:lang w:eastAsia="zh-CN"/>
        </w:rPr>
      </w:pPr>
      <w:r>
        <w:t xml:space="preserve">8. AIS/雷达等目标信息的处理与显示</w:t>
      </w:r>
    </w:p>
    <w:p>
      <w:pPr>
        <w:pStyle w:val="3"/>
        <w:numPr>
          <w:ilvl w:val="0"/>
          <w:numId w:val="0"/>
        </w:numPr>
        <w:bidi w:val="0"/>
        <w:ind w:leftChars="200"/>
        <w:rPr>
          <w:rFonts w:hint="eastAsia" w:eastAsia="宋体"/>
          <w:lang w:eastAsia="zh-CN"/>
        </w:rPr>
      </w:pPr>
      <w:r>
        <w:t xml:space="preserve">目标信息处理与显示功能面向多源目标接入、融合叠加和态势识别场景，主要解决支持叠加显示自定义GIS要素，如电子围栏、风险区域等。。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0" name="T008 AIS/雷达等目标信息的处理与显示功能流程图"/>
            <wp:cNvGraphicFramePr>
              <a:graphicFrameLocks noChangeAspect="1"/>
            </wp:cNvGraphicFramePr>
            <a:graphic>
              <a:graphicData uri="http://schemas.openxmlformats.org/drawingml/2006/picture">
                <pic:pic>
                  <pic:nvPicPr>
                    <pic:cNvPr id="0" name="T008 AIS/雷达等目标信息的处理与显示功能流程图"/>
                    <pic:cNvPicPr/>
                  </pic:nvPicPr>
                  <pic:blipFill>
                    <a:blip r:embed="rId20"/>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AIS/雷达等目标信息的处理与显示功能流程图，用于说明该功能的输入、处理、输出与异常记录关系。</w:t>
      </w:r>
    </w:p>
    <w:p>
      <w:pPr>
        <w:pStyle w:val="3"/>
        <w:numPr>
          <w:ilvl w:val="0"/>
          <w:numId w:val="0"/>
        </w:numPr>
        <w:bidi w:val="0"/>
        <w:ind w:leftChars="200"/>
        <w:rPr>
          <w:rFonts w:hint="eastAsia" w:eastAsia="宋体"/>
          <w:lang w:eastAsia="zh-CN"/>
        </w:rPr>
      </w:pPr>
      <w:r>
        <w:t xml:space="preserve">9. AIS/雷达等目标信息的处理与显示</w:t>
      </w:r>
    </w:p>
    <w:p>
      <w:pPr>
        <w:pStyle w:val="3"/>
        <w:numPr>
          <w:ilvl w:val="0"/>
          <w:numId w:val="0"/>
        </w:numPr>
        <w:bidi w:val="0"/>
        <w:ind w:leftChars="200"/>
        <w:rPr>
          <w:rFonts w:hint="eastAsia" w:eastAsia="宋体"/>
          <w:lang w:eastAsia="zh-CN"/>
        </w:rPr>
      </w:pPr>
      <w:r>
        <w:t xml:space="preserve">目标信息处理与显示功能面向多源目标接入、融合叠加和态势识别场景，主要解决可叠加显示潮汐、海流、气象信息以及海道测量局发布的临时通告（AIO等）。。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1" name="T009 AIS/雷达等目标信息的处理与显示功能流程图"/>
            <wp:cNvGraphicFramePr>
              <a:graphicFrameLocks noChangeAspect="1"/>
            </wp:cNvGraphicFramePr>
            <a:graphic>
              <a:graphicData uri="http://schemas.openxmlformats.org/drawingml/2006/picture">
                <pic:pic>
                  <pic:nvPicPr>
                    <pic:cNvPr id="0" name="T009 AIS/雷达等目标信息的处理与显示功能流程图"/>
                    <pic:cNvPicPr/>
                  </pic:nvPicPr>
                  <pic:blipFill>
                    <a:blip r:embed="rId21"/>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AIS/雷达等目标信息的处理与显示功能流程图，用于说明该功能的输入、处理、输出与异常记录关系。</w:t>
      </w:r>
    </w:p>
    <w:p>
      <w:pPr>
        <w:pStyle w:val="3"/>
        <w:numPr>
          <w:ilvl w:val="0"/>
          <w:numId w:val="0"/>
        </w:numPr>
        <w:bidi w:val="0"/>
        <w:ind w:leftChars="200"/>
        <w:rPr>
          <w:rFonts w:hint="eastAsia" w:eastAsia="宋体"/>
          <w:lang w:eastAsia="zh-CN"/>
        </w:rPr>
      </w:pPr>
      <w:r>
        <w:t xml:space="preserve">10. 航线规划</w:t>
      </w:r>
    </w:p>
    <w:p>
      <w:pPr>
        <w:pStyle w:val="3"/>
        <w:numPr>
          <w:ilvl w:val="0"/>
          <w:numId w:val="0"/>
        </w:numPr>
        <w:bidi w:val="0"/>
        <w:ind w:leftChars="200"/>
        <w:rPr>
          <w:rFonts w:hint="eastAsia" w:eastAsia="宋体"/>
          <w:lang w:eastAsia="zh-CN"/>
        </w:rPr>
      </w:pPr>
      <w:r>
        <w:t xml:space="preserve">航线规划与监控功能面向航线设计、航行计划检查和航行过程监控场景，主要解决支持手动或自动航线设计，允许灵活地添加、删除、拖动、排序航向点和航段。。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2" name="T010 航线规划功能流程图"/>
            <wp:cNvGraphicFramePr>
              <a:graphicFrameLocks noChangeAspect="1"/>
            </wp:cNvGraphicFramePr>
            <a:graphic>
              <a:graphicData uri="http://schemas.openxmlformats.org/drawingml/2006/picture">
                <pic:pic>
                  <pic:nvPicPr>
                    <pic:cNvPr id="0" name="T010 航线规划功能流程图"/>
                    <pic:cNvPicPr/>
                  </pic:nvPicPr>
                  <pic:blipFill>
                    <a:blip r:embed="rId22"/>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航线规划功能流程图，用于说明该功能的输入、处理、输出与异常记录关系。</w:t>
      </w:r>
    </w:p>
    <w:p>
      <w:pPr>
        <w:pStyle w:val="3"/>
        <w:numPr>
          <w:ilvl w:val="0"/>
          <w:numId w:val="0"/>
        </w:numPr>
        <w:bidi w:val="0"/>
        <w:ind w:leftChars="200"/>
        <w:rPr>
          <w:rFonts w:hint="eastAsia" w:eastAsia="宋体"/>
          <w:lang w:eastAsia="zh-CN"/>
        </w:rPr>
      </w:pPr>
      <w:r>
        <w:t xml:space="preserve">11. 航线规划</w:t>
      </w:r>
    </w:p>
    <w:p>
      <w:pPr>
        <w:pStyle w:val="3"/>
        <w:numPr>
          <w:ilvl w:val="0"/>
          <w:numId w:val="0"/>
        </w:numPr>
        <w:bidi w:val="0"/>
        <w:ind w:leftChars="200"/>
        <w:rPr>
          <w:rFonts w:hint="eastAsia" w:eastAsia="宋体"/>
          <w:lang w:eastAsia="zh-CN"/>
        </w:rPr>
      </w:pPr>
      <w:r>
        <w:t xml:space="preserve">航线规划与监控功能面向航线设计、航行计划检查和航行过程监控场景，主要解决自动执行航线安全检查，在规划阶段提示航线段是否穿过浅水、禁航区或接近危险物。。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3" name="T011 航线规划功能流程图"/>
            <wp:cNvGraphicFramePr>
              <a:graphicFrameLocks noChangeAspect="1"/>
            </wp:cNvGraphicFramePr>
            <a:graphic>
              <a:graphicData uri="http://schemas.openxmlformats.org/drawingml/2006/picture">
                <pic:pic>
                  <pic:nvPicPr>
                    <pic:cNvPr id="0" name="T011 航线规划功能流程图"/>
                    <pic:cNvPicPr/>
                  </pic:nvPicPr>
                  <pic:blipFill>
                    <a:blip r:embed="rId23"/>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航线规划功能流程图，用于说明该功能的输入、处理、输出与异常记录关系。</w:t>
      </w:r>
    </w:p>
    <w:p>
      <w:pPr>
        <w:pStyle w:val="3"/>
        <w:numPr>
          <w:ilvl w:val="0"/>
          <w:numId w:val="0"/>
        </w:numPr>
        <w:bidi w:val="0"/>
        <w:ind w:leftChars="200"/>
        <w:rPr>
          <w:rFonts w:hint="eastAsia" w:eastAsia="宋体"/>
          <w:lang w:eastAsia="zh-CN"/>
        </w:rPr>
      </w:pPr>
      <w:r>
        <w:t xml:space="preserve">12. 航线规划</w:t>
      </w:r>
    </w:p>
    <w:p>
      <w:pPr>
        <w:pStyle w:val="3"/>
        <w:numPr>
          <w:ilvl w:val="0"/>
          <w:numId w:val="0"/>
        </w:numPr>
        <w:bidi w:val="0"/>
        <w:ind w:leftChars="200"/>
        <w:rPr>
          <w:rFonts w:hint="eastAsia" w:eastAsia="宋体"/>
          <w:lang w:eastAsia="zh-CN"/>
        </w:rPr>
      </w:pPr>
      <w:r>
        <w:t xml:space="preserve">航线规划与监控功能面向航线设计、航行计划检查和航行过程监控场景，主要解决允许用户为航线设定安全参数，包括吃水、安全等深线、偏航阈值（XTD）、船舶尺寸等。。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4" name="T012 航线规划功能流程图"/>
            <wp:cNvGraphicFramePr>
              <a:graphicFrameLocks noChangeAspect="1"/>
            </wp:cNvGraphicFramePr>
            <a:graphic>
              <a:graphicData uri="http://schemas.openxmlformats.org/drawingml/2006/picture">
                <pic:pic>
                  <pic:nvPicPr>
                    <pic:cNvPr id="0" name="T012 航线规划功能流程图"/>
                    <pic:cNvPicPr/>
                  </pic:nvPicPr>
                  <pic:blipFill>
                    <a:blip r:embed="rId24"/>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航线规划功能流程图，用于说明该功能的输入、处理、输出与异常记录关系。</w:t>
      </w:r>
    </w:p>
    <w:p>
      <w:pPr>
        <w:pStyle w:val="3"/>
        <w:numPr>
          <w:ilvl w:val="0"/>
          <w:numId w:val="0"/>
        </w:numPr>
        <w:bidi w:val="0"/>
        <w:ind w:leftChars="200"/>
        <w:rPr>
          <w:rFonts w:hint="eastAsia" w:eastAsia="宋体"/>
          <w:lang w:eastAsia="zh-CN"/>
        </w:rPr>
      </w:pPr>
      <w:r>
        <w:t xml:space="preserve">13. 航线规划</w:t>
      </w:r>
    </w:p>
    <w:p>
      <w:pPr>
        <w:pStyle w:val="3"/>
        <w:numPr>
          <w:ilvl w:val="0"/>
          <w:numId w:val="0"/>
        </w:numPr>
        <w:bidi w:val="0"/>
        <w:ind w:leftChars="200"/>
        <w:rPr>
          <w:rFonts w:hint="eastAsia" w:eastAsia="宋体"/>
          <w:lang w:eastAsia="zh-CN"/>
        </w:rPr>
      </w:pPr>
      <w:r>
        <w:t xml:space="preserve">航线规划与监控功能面向航线设计、航行计划检查和航行过程监控场景，主要解决具备航行计算能力，包括两个地理位置间的真距离和方位、航行时间估算（ETA）。。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5" name="T013 航线规划功能流程图"/>
            <wp:cNvGraphicFramePr>
              <a:graphicFrameLocks noChangeAspect="1"/>
            </wp:cNvGraphicFramePr>
            <a:graphic>
              <a:graphicData uri="http://schemas.openxmlformats.org/drawingml/2006/picture">
                <pic:pic>
                  <pic:nvPicPr>
                    <pic:cNvPr id="0" name="T013 航线规划功能流程图"/>
                    <pic:cNvPicPr/>
                  </pic:nvPicPr>
                  <pic:blipFill>
                    <a:blip r:embed="rId25"/>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航线规划功能流程图，用于说明该功能的输入、处理、输出与异常记录关系。</w:t>
      </w:r>
    </w:p>
    <w:p>
      <w:pPr>
        <w:pStyle w:val="3"/>
        <w:numPr>
          <w:ilvl w:val="0"/>
          <w:numId w:val="0"/>
        </w:numPr>
        <w:bidi w:val="0"/>
        <w:ind w:leftChars="200"/>
        <w:rPr>
          <w:rFonts w:hint="eastAsia" w:eastAsia="宋体"/>
          <w:lang w:eastAsia="zh-CN"/>
        </w:rPr>
      </w:pPr>
      <w:r>
        <w:t xml:space="preserve">14. 航线规划</w:t>
      </w:r>
    </w:p>
    <w:p>
      <w:pPr>
        <w:pStyle w:val="3"/>
        <w:numPr>
          <w:ilvl w:val="0"/>
          <w:numId w:val="0"/>
        </w:numPr>
        <w:bidi w:val="0"/>
        <w:ind w:leftChars="200"/>
        <w:rPr>
          <w:rFonts w:hint="eastAsia" w:eastAsia="宋体"/>
          <w:lang w:eastAsia="zh-CN"/>
        </w:rPr>
      </w:pPr>
      <w:r>
        <w:t xml:space="preserve">航线规划与监控功能面向航线设计、航行计划检查和航行过程监控场景，主要解决实时叠加船舶位置（基于GPS/DGPS），连续监控船舶是否严格按照计划航线行驶。。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6" name="T014 航线规划功能流程图"/>
            <wp:cNvGraphicFramePr>
              <a:graphicFrameLocks noChangeAspect="1"/>
            </wp:cNvGraphicFramePr>
            <a:graphic>
              <a:graphicData uri="http://schemas.openxmlformats.org/drawingml/2006/picture">
                <pic:pic>
                  <pic:nvPicPr>
                    <pic:cNvPr id="0" name="T014 航线规划功能流程图"/>
                    <pic:cNvPicPr/>
                  </pic:nvPicPr>
                  <pic:blipFill>
                    <a:blip r:embed="rId26"/>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航线规划功能流程图，用于说明该功能的输入、处理、输出与异常记录关系。</w:t>
      </w:r>
    </w:p>
    <w:p>
      <w:pPr>
        <w:pStyle w:val="3"/>
        <w:numPr>
          <w:ilvl w:val="0"/>
          <w:numId w:val="0"/>
        </w:numPr>
        <w:bidi w:val="0"/>
        <w:ind w:leftChars="200"/>
        <w:rPr>
          <w:rFonts w:hint="eastAsia" w:eastAsia="宋体"/>
          <w:lang w:eastAsia="zh-CN"/>
        </w:rPr>
      </w:pPr>
      <w:r>
        <w:t xml:space="preserve">15. 航线规划</w:t>
      </w:r>
    </w:p>
    <w:p>
      <w:pPr>
        <w:pStyle w:val="3"/>
        <w:numPr>
          <w:ilvl w:val="0"/>
          <w:numId w:val="0"/>
        </w:numPr>
        <w:bidi w:val="0"/>
        <w:ind w:leftChars="200"/>
        <w:rPr>
          <w:rFonts w:hint="eastAsia" w:eastAsia="宋体"/>
          <w:lang w:eastAsia="zh-CN"/>
        </w:rPr>
      </w:pPr>
      <w:r>
        <w:t xml:space="preserve">航线规划与监控功能面向航线设计、航行计划检查和航行过程监控场景，主要解决具备连续记录并存储历史航迹、船位、速度、航向和报警事件的能力，用于航后分析和VDR备份。。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7" name="T015 航线规划功能流程图"/>
            <wp:cNvGraphicFramePr>
              <a:graphicFrameLocks noChangeAspect="1"/>
            </wp:cNvGraphicFramePr>
            <a:graphic>
              <a:graphicData uri="http://schemas.openxmlformats.org/drawingml/2006/picture">
                <pic:pic>
                  <pic:nvPicPr>
                    <pic:cNvPr id="0" name="T015 航线规划功能流程图"/>
                    <pic:cNvPicPr/>
                  </pic:nvPicPr>
                  <pic:blipFill>
                    <a:blip r:embed="rId27"/>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航线规划功能流程图，用于说明该功能的输入、处理、输出与异常记录关系。</w:t>
      </w:r>
    </w:p>
    <w:p>
      <w:pPr>
        <w:pStyle w:val="3"/>
        <w:numPr>
          <w:ilvl w:val="0"/>
          <w:numId w:val="0"/>
        </w:numPr>
        <w:bidi w:val="0"/>
        <w:ind w:leftChars="200"/>
        <w:rPr>
          <w:rFonts w:hint="eastAsia" w:eastAsia="宋体"/>
          <w:lang w:eastAsia="zh-CN"/>
        </w:rPr>
      </w:pPr>
      <w:r>
        <w:t xml:space="preserve">16. 安全等深线与水深告警</w:t>
      </w:r>
    </w:p>
    <w:p>
      <w:pPr>
        <w:pStyle w:val="3"/>
        <w:numPr>
          <w:ilvl w:val="0"/>
          <w:numId w:val="0"/>
        </w:numPr>
        <w:bidi w:val="0"/>
        <w:ind w:leftChars="200"/>
        <w:rPr>
          <w:rFonts w:hint="eastAsia" w:eastAsia="宋体"/>
          <w:lang w:eastAsia="zh-CN"/>
        </w:rPr>
      </w:pPr>
      <w:r>
        <w:t xml:space="preserve">安全告警与风险预警功能面向复杂水域航行风险识别与安全提示场景，主要解决允许用户输入船舶吃水和富裕水深，系统自动计算并设置安全等深线和安全轮廓线。。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本船状态、计划航线、海图水深、危险区域、目标态势和用户安全参数输入规则判断模块。规则模块按照安全等深线、偏航阈值、禁航区、CPA/TCPA等条件识别风险，并将风险位置、类型、等级和触发原因形成告警事件。</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8" name="T016 安全等深线与水深告警功能流程图"/>
            <wp:cNvGraphicFramePr>
              <a:graphicFrameLocks noChangeAspect="1"/>
            </wp:cNvGraphicFramePr>
            <a:graphic>
              <a:graphicData uri="http://schemas.openxmlformats.org/drawingml/2006/picture">
                <pic:pic>
                  <pic:nvPicPr>
                    <pic:cNvPr id="0" name="T016 安全等深线与水深告警功能流程图"/>
                    <pic:cNvPicPr/>
                  </pic:nvPicPr>
                  <pic:blipFill>
                    <a:blip r:embed="rId28"/>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安全等深线与水深告警功能流程图，用于说明该功能的输入、处理、输出与异常记录关系。</w:t>
      </w:r>
    </w:p>
    <w:p>
      <w:pPr>
        <w:pStyle w:val="3"/>
        <w:numPr>
          <w:ilvl w:val="0"/>
          <w:numId w:val="0"/>
        </w:numPr>
        <w:bidi w:val="0"/>
        <w:ind w:leftChars="200"/>
        <w:rPr>
          <w:rFonts w:hint="eastAsia" w:eastAsia="宋体"/>
          <w:lang w:eastAsia="zh-CN"/>
        </w:rPr>
      </w:pPr>
      <w:r>
        <w:t xml:space="preserve">17. 安全等深线与水深告警</w:t>
      </w:r>
    </w:p>
    <w:p>
      <w:pPr>
        <w:pStyle w:val="3"/>
        <w:numPr>
          <w:ilvl w:val="0"/>
          <w:numId w:val="0"/>
        </w:numPr>
        <w:bidi w:val="0"/>
        <w:ind w:leftChars="200"/>
        <w:rPr>
          <w:rFonts w:hint="eastAsia" w:eastAsia="宋体"/>
          <w:lang w:eastAsia="zh-CN"/>
        </w:rPr>
      </w:pPr>
      <w:r>
        <w:t xml:space="preserve">海图综合态势展示功能面向复杂水域航行风险识别与安全提示场景，主要解决在海图上突出显示浅于安全等深线的水域（通常为蓝色），将安全水域显示为白色或其他安全色。。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9" name="T017 安全等深线与水深告警功能流程图"/>
            <wp:cNvGraphicFramePr>
              <a:graphicFrameLocks noChangeAspect="1"/>
            </wp:cNvGraphicFramePr>
            <a:graphic>
              <a:graphicData uri="http://schemas.openxmlformats.org/drawingml/2006/picture">
                <pic:pic>
                  <pic:nvPicPr>
                    <pic:cNvPr id="0" name="T017 安全等深线与水深告警功能流程图"/>
                    <pic:cNvPicPr/>
                  </pic:nvPicPr>
                  <pic:blipFill>
                    <a:blip r:embed="rId29"/>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安全等深线与水深告警功能流程图，用于说明该功能的输入、处理、输出与异常记录关系。</w:t>
      </w:r>
    </w:p>
    <w:p>
      <w:pPr>
        <w:pStyle w:val="3"/>
        <w:numPr>
          <w:ilvl w:val="0"/>
          <w:numId w:val="0"/>
        </w:numPr>
        <w:bidi w:val="0"/>
        <w:ind w:leftChars="200"/>
        <w:rPr>
          <w:rFonts w:hint="eastAsia" w:eastAsia="宋体"/>
          <w:lang w:eastAsia="zh-CN"/>
        </w:rPr>
      </w:pPr>
      <w:r>
        <w:t xml:space="preserve">18. 安全等深线与水深告警</w:t>
      </w:r>
    </w:p>
    <w:p>
      <w:pPr>
        <w:pStyle w:val="3"/>
        <w:numPr>
          <w:ilvl w:val="0"/>
          <w:numId w:val="0"/>
        </w:numPr>
        <w:bidi w:val="0"/>
        <w:ind w:leftChars="200"/>
        <w:rPr>
          <w:rFonts w:hint="eastAsia" w:eastAsia="宋体"/>
          <w:lang w:eastAsia="zh-CN"/>
        </w:rPr>
      </w:pPr>
      <w:r>
        <w:t xml:space="preserve">安全告警与风险预警功能面向复杂水域航行风险识别与安全提示场景，主要解决当本船或其安全轮廓线即将进入不安全水域时，系统需立即发出声光告警（防搁浅告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本船状态、计划航线、海图水深、危险区域、目标态势和用户安全参数输入规则判断模块。规则模块按照安全等深线、偏航阈值、禁航区、CPA/TCPA等条件识别风险，并将风险位置、类型、等级和触发原因形成告警事件。</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0" name="T018 安全等深线与水深告警功能流程图"/>
            <wp:cNvGraphicFramePr>
              <a:graphicFrameLocks noChangeAspect="1"/>
            </wp:cNvGraphicFramePr>
            <a:graphic>
              <a:graphicData uri="http://schemas.openxmlformats.org/drawingml/2006/picture">
                <pic:pic>
                  <pic:nvPicPr>
                    <pic:cNvPr id="0" name="T018 安全等深线与水深告警功能流程图"/>
                    <pic:cNvPicPr/>
                  </pic:nvPicPr>
                  <pic:blipFill>
                    <a:blip r:embed="rId30"/>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安全等深线与水深告警功能流程图，用于说明该功能的输入、处理、输出与异常记录关系。</w:t>
      </w:r>
    </w:p>
    <w:p>
      <w:pPr>
        <w:pStyle w:val="3"/>
        <w:numPr>
          <w:ilvl w:val="0"/>
          <w:numId w:val="0"/>
        </w:numPr>
        <w:bidi w:val="0"/>
        <w:ind w:leftChars="200"/>
        <w:rPr>
          <w:rFonts w:hint="eastAsia" w:eastAsia="宋体"/>
          <w:lang w:eastAsia="zh-CN"/>
        </w:rPr>
      </w:pPr>
      <w:r>
        <w:t xml:space="preserve">19. 安全等深线与水深告警</w:t>
      </w:r>
    </w:p>
    <w:p>
      <w:pPr>
        <w:pStyle w:val="3"/>
        <w:numPr>
          <w:ilvl w:val="0"/>
          <w:numId w:val="0"/>
        </w:numPr>
        <w:bidi w:val="0"/>
        <w:ind w:leftChars="200"/>
        <w:rPr>
          <w:rFonts w:hint="eastAsia" w:eastAsia="宋体"/>
          <w:lang w:eastAsia="zh-CN"/>
        </w:rPr>
      </w:pPr>
      <w:r>
        <w:t xml:space="preserve">安全告警与风险预警功能面向复杂水域航行风险识别与安全提示场景，主要解决当船舶即将穿越或进入预设的禁航区、限航区、港口报告区、或自定义电子围栏时，立即报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本船状态、计划航线、海图水深、危险区域、目标态势和用户安全参数输入规则判断模块。规则模块按照安全等深线、偏航阈值、禁航区、CPA/TCPA等条件识别风险，并将风险位置、类型、等级和触发原因形成告警事件。</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1" name="T019 安全等深线与水深告警功能流程图"/>
            <wp:cNvGraphicFramePr>
              <a:graphicFrameLocks noChangeAspect="1"/>
            </wp:cNvGraphicFramePr>
            <a:graphic>
              <a:graphicData uri="http://schemas.openxmlformats.org/drawingml/2006/picture">
                <pic:pic>
                  <pic:nvPicPr>
                    <pic:cNvPr id="0" name="T019 安全等深线与水深告警功能流程图"/>
                    <pic:cNvPicPr/>
                  </pic:nvPicPr>
                  <pic:blipFill>
                    <a:blip r:embed="rId31"/>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安全等深线与水深告警功能流程图，用于说明该功能的输入、处理、输出与异常记录关系。</w:t>
      </w:r>
    </w:p>
    <w:p>
      <w:pPr>
        <w:pStyle w:val="3"/>
        <w:numPr>
          <w:ilvl w:val="0"/>
          <w:numId w:val="0"/>
        </w:numPr>
        <w:bidi w:val="0"/>
        <w:ind w:leftChars="200"/>
        <w:rPr>
          <w:rFonts w:hint="eastAsia" w:eastAsia="宋体"/>
          <w:lang w:eastAsia="zh-CN"/>
        </w:rPr>
      </w:pPr>
      <w:r>
        <w:t xml:space="preserve">20. 安全等深线与水深告警</w:t>
      </w:r>
    </w:p>
    <w:p>
      <w:pPr>
        <w:pStyle w:val="3"/>
        <w:numPr>
          <w:ilvl w:val="0"/>
          <w:numId w:val="0"/>
        </w:numPr>
        <w:bidi w:val="0"/>
        <w:ind w:leftChars="200"/>
        <w:rPr>
          <w:rFonts w:hint="eastAsia" w:eastAsia="宋体"/>
          <w:lang w:eastAsia="zh-CN"/>
        </w:rPr>
      </w:pPr>
      <w:r>
        <w:t xml:space="preserve">安全告警与风险预警功能面向复杂水域航行风险识别与安全提示场景，主要解决在船舶运动方向上，预测船舶未来安全矢量将接近孤立危险物或未知的浅水区时，触发报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本船状态、计划航线、海图水深、危险区域、目标态势和用户安全参数输入规则判断模块。规则模块按照安全等深线、偏航阈值、禁航区、CPA/TCPA等条件识别风险，并将风险位置、类型、等级和触发原因形成告警事件。</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2" name="T020 安全等深线与水深告警功能流程图"/>
            <wp:cNvGraphicFramePr>
              <a:graphicFrameLocks noChangeAspect="1"/>
            </wp:cNvGraphicFramePr>
            <a:graphic>
              <a:graphicData uri="http://schemas.openxmlformats.org/drawingml/2006/picture">
                <pic:pic>
                  <pic:nvPicPr>
                    <pic:cNvPr id="0" name="T020 安全等深线与水深告警功能流程图"/>
                    <pic:cNvPicPr/>
                  </pic:nvPicPr>
                  <pic:blipFill>
                    <a:blip r:embed="rId32"/>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安全等深线与水深告警功能流程图，用于说明该功能的输入、处理、输出与异常记录关系。</w:t>
      </w:r>
    </w:p>
    <w:p>
      <w:pPr>
        <w:pStyle w:val="3"/>
        <w:numPr>
          <w:ilvl w:val="0"/>
          <w:numId w:val="0"/>
        </w:numPr>
        <w:bidi w:val="0"/>
        <w:ind w:leftChars="200"/>
        <w:rPr>
          <w:rFonts w:hint="eastAsia" w:eastAsia="宋体"/>
          <w:lang w:eastAsia="zh-CN"/>
        </w:rPr>
      </w:pPr>
      <w:r>
        <w:t xml:space="preserve">21. 安全等深线与水深告警</w:t>
      </w:r>
    </w:p>
    <w:p>
      <w:pPr>
        <w:pStyle w:val="3"/>
        <w:numPr>
          <w:ilvl w:val="0"/>
          <w:numId w:val="0"/>
        </w:numPr>
        <w:bidi w:val="0"/>
        <w:ind w:leftChars="200"/>
        <w:rPr>
          <w:rFonts w:hint="eastAsia" w:eastAsia="宋体"/>
          <w:lang w:eastAsia="zh-CN"/>
        </w:rPr>
      </w:pPr>
      <w:r>
        <w:t xml:space="preserve">目标信息处理与显示功能面向复杂水域航行风险识别与安全提示场景，主要解决根据AIS/雷达目标数据，提供CPA/TCPA（最近会遇点/时间计算），并在风险超过阈值时触发碰撞预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通过标准接口接收AIS、雷达、ARPA及本船导航状态，对目标编号、位置、航向、航速、时间戳和跟踪状态进行统一维护。融合处理模块以电子海图坐标体系为基准完成空间配准和刷新控制，再通过图形渲染链路将目标态势与海图底图同步呈现。</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3" name="T021 安全等深线与水深告警功能流程图"/>
            <wp:cNvGraphicFramePr>
              <a:graphicFrameLocks noChangeAspect="1"/>
            </wp:cNvGraphicFramePr>
            <a:graphic>
              <a:graphicData uri="http://schemas.openxmlformats.org/drawingml/2006/picture">
                <pic:pic>
                  <pic:nvPicPr>
                    <pic:cNvPr id="0" name="T021 安全等深线与水深告警功能流程图"/>
                    <pic:cNvPicPr/>
                  </pic:nvPicPr>
                  <pic:blipFill>
                    <a:blip r:embed="rId33"/>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安全等深线与水深告警功能流程图，用于说明该功能的输入、处理、输出与异常记录关系。</w:t>
      </w:r>
    </w:p>
    <w:p>
      <w:pPr>
        <w:pStyle w:val="3"/>
        <w:numPr>
          <w:ilvl w:val="0"/>
          <w:numId w:val="0"/>
        </w:numPr>
        <w:bidi w:val="0"/>
        <w:ind w:leftChars="200"/>
        <w:rPr>
          <w:rFonts w:hint="eastAsia" w:eastAsia="宋体"/>
          <w:lang w:eastAsia="zh-CN"/>
        </w:rPr>
      </w:pPr>
      <w:r>
        <w:t xml:space="preserve">22. 航行监控导航与安全预警</w:t>
      </w:r>
    </w:p>
    <w:p>
      <w:pPr>
        <w:pStyle w:val="3"/>
        <w:numPr>
          <w:ilvl w:val="0"/>
          <w:numId w:val="0"/>
        </w:numPr>
        <w:bidi w:val="0"/>
        <w:ind w:leftChars="200"/>
        <w:rPr>
          <w:rFonts w:hint="eastAsia" w:eastAsia="宋体"/>
          <w:lang w:eastAsia="zh-CN"/>
        </w:rPr>
      </w:pPr>
      <w:r>
        <w:t xml:space="preserve">安全告警与风险预警功能面向电子海图显示、导航数据处理和航行态势呈现场景，主要解决当船舶实时位置偏离计划航线超过设定的偏航阈值（XTD）时，立即发出告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4" name="T022 航行监控导航与安全预警功能流程图"/>
            <wp:cNvGraphicFramePr>
              <a:graphicFrameLocks noChangeAspect="1"/>
            </wp:cNvGraphicFramePr>
            <a:graphic>
              <a:graphicData uri="http://schemas.openxmlformats.org/drawingml/2006/picture">
                <pic:pic>
                  <pic:nvPicPr>
                    <pic:cNvPr id="0" name="T022 航行监控导航与安全预警功能流程图"/>
                    <pic:cNvPicPr/>
                  </pic:nvPicPr>
                  <pic:blipFill>
                    <a:blip r:embed="rId34"/>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航行监控导航与安全预警功能流程图，用于说明该功能的输入、处理、输出与异常记录关系。</w:t>
      </w:r>
    </w:p>
    <w:p>
      <w:pPr>
        <w:pStyle w:val="3"/>
        <w:numPr>
          <w:ilvl w:val="0"/>
          <w:numId w:val="0"/>
        </w:numPr>
        <w:bidi w:val="0"/>
        <w:ind w:leftChars="200"/>
        <w:rPr>
          <w:rFonts w:hint="eastAsia" w:eastAsia="宋体"/>
          <w:lang w:eastAsia="zh-CN"/>
        </w:rPr>
      </w:pPr>
      <w:r>
        <w:t xml:space="preserve">23. 航行监控导航与安全预警</w:t>
      </w:r>
    </w:p>
    <w:p>
      <w:pPr>
        <w:pStyle w:val="3"/>
        <w:numPr>
          <w:ilvl w:val="0"/>
          <w:numId w:val="0"/>
        </w:numPr>
        <w:bidi w:val="0"/>
        <w:ind w:leftChars="200"/>
        <w:rPr>
          <w:rFonts w:hint="eastAsia" w:eastAsia="宋体"/>
          <w:lang w:eastAsia="zh-CN"/>
        </w:rPr>
      </w:pPr>
      <w:r>
        <w:t xml:space="preserve">安全告警与风险预警功能面向电子海图显示、导航数据处理和航行态势呈现场景，主要解决对传感器故障（如GPS信号丢失、陀螺罗经数据异常）、海图更新延迟、电源切换等系统级故障发出告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5" name="T023 航行监控导航与安全预警功能流程图"/>
            <wp:cNvGraphicFramePr>
              <a:graphicFrameLocks noChangeAspect="1"/>
            </wp:cNvGraphicFramePr>
            <a:graphic>
              <a:graphicData uri="http://schemas.openxmlformats.org/drawingml/2006/picture">
                <pic:pic>
                  <pic:nvPicPr>
                    <pic:cNvPr id="0" name="T023 航行监控导航与安全预警功能流程图"/>
                    <pic:cNvPicPr/>
                  </pic:nvPicPr>
                  <pic:blipFill>
                    <a:blip r:embed="rId35"/>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航行监控导航与安全预警功能流程图，用于说明该功能的输入、处理、输出与异常记录关系。</w:t>
      </w:r>
    </w:p>
    <w:p>
      <w:pPr>
        <w:pStyle w:val="3"/>
        <w:numPr>
          <w:ilvl w:val="0"/>
          <w:numId w:val="0"/>
        </w:numPr>
        <w:bidi w:val="0"/>
        <w:ind w:leftChars="200"/>
        <w:rPr>
          <w:rFonts w:hint="eastAsia" w:eastAsia="宋体"/>
          <w:lang w:eastAsia="zh-CN"/>
        </w:rPr>
      </w:pPr>
      <w:r>
        <w:t xml:space="preserve">24. 航行监控导航与安全预警</w:t>
      </w:r>
    </w:p>
    <w:p>
      <w:pPr>
        <w:pStyle w:val="3"/>
        <w:numPr>
          <w:ilvl w:val="0"/>
          <w:numId w:val="0"/>
        </w:numPr>
        <w:bidi w:val="0"/>
        <w:ind w:leftChars="200"/>
        <w:rPr>
          <w:rFonts w:hint="eastAsia" w:eastAsia="宋体"/>
          <w:lang w:eastAsia="zh-CN"/>
        </w:rPr>
      </w:pPr>
      <w:r>
        <w:t xml:space="preserve">安全告警与风险预警功能面向电子海图显示、导航数据处理和航行态势呈现场景，主要解决遵循IMO/IHO规范，对报警进行优先级分类（紧急、警报、指示），并采用不同声光模式。。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本船状态、计划航线、海图水深、危险区域、目标态势和用户安全参数输入规则判断模块。规则模块按照安全等深线、偏航阈值、禁航区、CPA/TCPA等条件识别风险，并将风险位置、类型、等级和触发原因形成告警事件。</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6" name="T024 航行监控导航与安全预警功能流程图"/>
            <wp:cNvGraphicFramePr>
              <a:graphicFrameLocks noChangeAspect="1"/>
            </wp:cNvGraphicFramePr>
            <a:graphic>
              <a:graphicData uri="http://schemas.openxmlformats.org/drawingml/2006/picture">
                <pic:pic>
                  <pic:nvPicPr>
                    <pic:cNvPr id="0" name="T024 航行监控导航与安全预警功能流程图"/>
                    <pic:cNvPicPr/>
                  </pic:nvPicPr>
                  <pic:blipFill>
                    <a:blip r:embed="rId36"/>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航行监控导航与安全预警功能流程图，用于说明该功能的输入、处理、输出与异常记录关系。</w:t>
      </w:r>
    </w:p>
    <w:p>
      <w:pPr>
        <w:pStyle w:val="3"/>
        <w:numPr>
          <w:ilvl w:val="0"/>
          <w:numId w:val="0"/>
        </w:numPr>
        <w:bidi w:val="0"/>
        <w:ind w:leftChars="200"/>
        <w:rPr>
          <w:rFonts w:hint="eastAsia" w:eastAsia="宋体"/>
          <w:lang w:eastAsia="zh-CN"/>
        </w:rPr>
      </w:pPr>
      <w:r>
        <w:t xml:space="preserve">25. 航行监控导航与安全预警</w:t>
      </w:r>
    </w:p>
    <w:p>
      <w:pPr>
        <w:pStyle w:val="3"/>
        <w:numPr>
          <w:ilvl w:val="0"/>
          <w:numId w:val="0"/>
        </w:numPr>
        <w:bidi w:val="0"/>
        <w:ind w:leftChars="200"/>
        <w:rPr>
          <w:rFonts w:hint="eastAsia" w:eastAsia="宋体"/>
          <w:lang w:eastAsia="zh-CN"/>
        </w:rPr>
      </w:pPr>
      <w:r>
        <w:t xml:space="preserve">安全告警与风险预警功能面向电子海图显示、导航数据处理和航行态势呈现场景，主要解决提供告警/预警信息列表，允许船员确认、消除告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本船状态、计划航线、海图水深、危险区域、目标态势和用户安全参数输入规则判断模块。规则模块按照安全等深线、偏航阈值、禁航区、CPA/TCPA等条件识别风险，并将风险位置、类型、等级和触发原因形成告警事件。</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7" name="T025 航行监控导航与安全预警功能流程图"/>
            <wp:cNvGraphicFramePr>
              <a:graphicFrameLocks noChangeAspect="1"/>
            </wp:cNvGraphicFramePr>
            <a:graphic>
              <a:graphicData uri="http://schemas.openxmlformats.org/drawingml/2006/picture">
                <pic:pic>
                  <pic:nvPicPr>
                    <pic:cNvPr id="0" name="T025 航行监控导航与安全预警功能流程图"/>
                    <pic:cNvPicPr/>
                  </pic:nvPicPr>
                  <pic:blipFill>
                    <a:blip r:embed="rId37"/>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航行监控导航与安全预警功能流程图，用于说明该功能的输入、处理、输出与异常记录关系。</w:t>
      </w:r>
    </w:p>
    <w:p>
      <w:pPr>
        <w:pStyle w:val="3"/>
        <w:numPr>
          <w:ilvl w:val="0"/>
          <w:numId w:val="0"/>
        </w:numPr>
        <w:bidi w:val="0"/>
        <w:ind w:leftChars="200"/>
        <w:rPr>
          <w:rFonts w:hint="eastAsia" w:eastAsia="宋体"/>
          <w:lang w:eastAsia="zh-CN"/>
        </w:rPr>
      </w:pPr>
      <w:r>
        <w:t xml:space="preserve">26. 个性化设置需求</w:t>
      </w:r>
    </w:p>
    <w:p>
      <w:pPr>
        <w:pStyle w:val="3"/>
        <w:numPr>
          <w:ilvl w:val="0"/>
          <w:numId w:val="0"/>
        </w:numPr>
        <w:bidi w:val="0"/>
        <w:ind w:leftChars="200"/>
        <w:rPr>
          <w:rFonts w:hint="eastAsia" w:eastAsia="宋体"/>
          <w:lang w:eastAsia="zh-CN"/>
        </w:rPr>
      </w:pPr>
      <w:r>
        <w:t xml:space="preserve">人机交互与个性化配置功能面向船员高频操作、界面控制和误操作防护场景，主要解决提供直观的图形化界面，菜单层级简洁明了，支持常用功能快捷键访问。。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8" name="T026 个性化设置需求功能流程图"/>
            <wp:cNvGraphicFramePr>
              <a:graphicFrameLocks noChangeAspect="1"/>
            </wp:cNvGraphicFramePr>
            <a:graphic>
              <a:graphicData uri="http://schemas.openxmlformats.org/drawingml/2006/picture">
                <pic:pic>
                  <pic:nvPicPr>
                    <pic:cNvPr id="0" name="T026 个性化设置需求功能流程图"/>
                    <pic:cNvPicPr/>
                  </pic:nvPicPr>
                  <pic:blipFill>
                    <a:blip r:embed="rId38"/>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个性化设置需求功能流程图，用于说明该功能的输入、处理、输出与异常记录关系。</w:t>
      </w:r>
    </w:p>
    <w:p>
      <w:pPr>
        <w:pStyle w:val="3"/>
        <w:numPr>
          <w:ilvl w:val="0"/>
          <w:numId w:val="0"/>
        </w:numPr>
        <w:bidi w:val="0"/>
        <w:ind w:leftChars="200"/>
        <w:rPr>
          <w:rFonts w:hint="eastAsia" w:eastAsia="宋体"/>
          <w:lang w:eastAsia="zh-CN"/>
        </w:rPr>
      </w:pPr>
      <w:r>
        <w:t xml:space="preserve">27. 个性化设置需求</w:t>
      </w:r>
    </w:p>
    <w:p>
      <w:pPr>
        <w:pStyle w:val="3"/>
        <w:numPr>
          <w:ilvl w:val="0"/>
          <w:numId w:val="0"/>
        </w:numPr>
        <w:bidi w:val="0"/>
        <w:ind w:leftChars="200"/>
        <w:rPr>
          <w:rFonts w:hint="eastAsia" w:eastAsia="宋体"/>
          <w:lang w:eastAsia="zh-CN"/>
        </w:rPr>
      </w:pPr>
      <w:r>
        <w:t xml:space="preserve">人机交互与个性化配置功能面向船员高频操作、界面控制和误操作防护场景，主要解决软件界面需适配高分辨率显示，支持通过软件指令调节背景亮度以适应夜间模式。。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9" name="T027 个性化设置需求功能流程图"/>
            <wp:cNvGraphicFramePr>
              <a:graphicFrameLocks noChangeAspect="1"/>
            </wp:cNvGraphicFramePr>
            <a:graphic>
              <a:graphicData uri="http://schemas.openxmlformats.org/drawingml/2006/picture">
                <pic:pic>
                  <pic:nvPicPr>
                    <pic:cNvPr id="0" name="T027 个性化设置需求功能流程图"/>
                    <pic:cNvPicPr/>
                  </pic:nvPicPr>
                  <pic:blipFill>
                    <a:blip r:embed="rId39"/>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个性化设置需求功能流程图，用于说明该功能的输入、处理、输出与异常记录关系。</w:t>
      </w:r>
    </w:p>
    <w:p>
      <w:pPr>
        <w:pStyle w:val="3"/>
        <w:numPr>
          <w:ilvl w:val="0"/>
          <w:numId w:val="0"/>
        </w:numPr>
        <w:bidi w:val="0"/>
        <w:ind w:leftChars="200"/>
        <w:rPr>
          <w:rFonts w:hint="eastAsia" w:eastAsia="宋体"/>
          <w:lang w:eastAsia="zh-CN"/>
        </w:rPr>
      </w:pPr>
      <w:r>
        <w:t xml:space="preserve">28. 个性化设置需求</w:t>
      </w:r>
    </w:p>
    <w:p>
      <w:pPr>
        <w:pStyle w:val="3"/>
        <w:numPr>
          <w:ilvl w:val="0"/>
          <w:numId w:val="0"/>
        </w:numPr>
        <w:bidi w:val="0"/>
        <w:ind w:leftChars="200"/>
        <w:rPr>
          <w:rFonts w:hint="eastAsia" w:eastAsia="宋体"/>
          <w:lang w:eastAsia="zh-CN"/>
        </w:rPr>
      </w:pPr>
      <w:r>
        <w:t xml:space="preserve">人机交互与个性化配置功能面向船员高频操作、界面控制和误操作防护场景，主要解决对删除航线、修改安全参数等重要操作，需弹出确认对话框，要求船员进行二次确认，防止误操作。。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0" name="T028 个性化设置需求功能流程图"/>
            <wp:cNvGraphicFramePr>
              <a:graphicFrameLocks noChangeAspect="1"/>
            </wp:cNvGraphicFramePr>
            <a:graphic>
              <a:graphicData uri="http://schemas.openxmlformats.org/drawingml/2006/picture">
                <pic:pic>
                  <pic:nvPicPr>
                    <pic:cNvPr id="0" name="T028 个性化设置需求功能流程图"/>
                    <pic:cNvPicPr/>
                  </pic:nvPicPr>
                  <pic:blipFill>
                    <a:blip r:embed="rId40"/>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个性化设置需求功能流程图，用于说明该功能的输入、处理、输出与异常记录关系。</w:t>
      </w:r>
    </w:p>
    <w:p>
      <w:pPr>
        <w:pStyle w:val="3"/>
        <w:numPr>
          <w:ilvl w:val="0"/>
          <w:numId w:val="0"/>
        </w:numPr>
        <w:bidi w:val="0"/>
        <w:ind w:leftChars="200"/>
        <w:rPr>
          <w:rFonts w:hint="eastAsia" w:eastAsia="宋体"/>
          <w:lang w:eastAsia="zh-CN"/>
        </w:rPr>
      </w:pPr>
      <w:r>
        <w:t xml:space="preserve">29. 基础平台与架构要求-跨平台兼容性</w:t>
      </w:r>
    </w:p>
    <w:p>
      <w:pPr>
        <w:pStyle w:val="3"/>
        <w:numPr>
          <w:ilvl w:val="0"/>
          <w:numId w:val="0"/>
        </w:numPr>
        <w:bidi w:val="0"/>
        <w:ind w:leftChars="200"/>
        <w:rPr>
          <w:rFonts w:hint="eastAsia" w:eastAsia="宋体"/>
          <w:lang w:eastAsia="zh-CN"/>
        </w:rPr>
      </w:pPr>
      <w:r>
        <w:t xml:space="preserve">平台适配与模块化运行功能面向电子海图显示、导航数据处理和航行态势呈现场景，主要解决跨平台兼容性：软件必须支持跨架构与跨操作系统部署，具体包括硬件平台（龙芯、飞腾、瑞芯微）和操作系统（麒麟、Ubuntu），并保障长期稳定运行。。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1" name="T029 基础平台与架构要求-跨平台兼容性功能流程图"/>
            <wp:cNvGraphicFramePr>
              <a:graphicFrameLocks noChangeAspect="1"/>
            </wp:cNvGraphicFramePr>
            <a:graphic>
              <a:graphicData uri="http://schemas.openxmlformats.org/drawingml/2006/picture">
                <pic:pic>
                  <pic:nvPicPr>
                    <pic:cNvPr id="0" name="T029 基础平台与架构要求-跨平台兼容性功能流程图"/>
                    <pic:cNvPicPr/>
                  </pic:nvPicPr>
                  <pic:blipFill>
                    <a:blip r:embed="rId41"/>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基础平台与架构要求-跨平台兼容性功能流程图，用于说明该功能的输入、处理、输出与异常记录关系。</w:t>
      </w:r>
    </w:p>
    <w:p>
      <w:pPr>
        <w:pStyle w:val="3"/>
        <w:numPr>
          <w:ilvl w:val="0"/>
          <w:numId w:val="0"/>
        </w:numPr>
        <w:bidi w:val="0"/>
        <w:ind w:leftChars="200"/>
        <w:rPr>
          <w:rFonts w:hint="eastAsia" w:eastAsia="宋体"/>
          <w:lang w:eastAsia="zh-CN"/>
        </w:rPr>
      </w:pPr>
      <w:r>
        <w:t xml:space="preserve">30. 基础平台与架构要求-多设备协同</w:t>
      </w:r>
    </w:p>
    <w:p>
      <w:pPr>
        <w:pStyle w:val="3"/>
        <w:numPr>
          <w:ilvl w:val="0"/>
          <w:numId w:val="0"/>
        </w:numPr>
        <w:bidi w:val="0"/>
        <w:ind w:leftChars="200"/>
        <w:rPr>
          <w:rFonts w:hint="eastAsia" w:eastAsia="宋体"/>
          <w:lang w:eastAsia="zh-CN"/>
        </w:rPr>
      </w:pPr>
      <w:r>
        <w:t xml:space="preserve">平台适配与模块化运行功能面向电子海图显示、导航数据处理和航行态势呈现场景，主要解决多设备协同：软件架构需支持多台设备按优先级运行。。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通过接口适配层屏蔽外部设备、文件系统和数据库之间的差异，对串口、网络、文件导入导出和数据库读写进行统一封装。业务模块只调用稳定的数据访问接口，从而降低新增设备、协议或数据格式对既有功能的影响。</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2" name="T030 基础平台与架构要求-多设备协同功能流程图"/>
            <wp:cNvGraphicFramePr>
              <a:graphicFrameLocks noChangeAspect="1"/>
            </wp:cNvGraphicFramePr>
            <a:graphic>
              <a:graphicData uri="http://schemas.openxmlformats.org/drawingml/2006/picture">
                <pic:pic>
                  <pic:nvPicPr>
                    <pic:cNvPr id="0" name="T030 基础平台与架构要求-多设备协同功能流程图"/>
                    <pic:cNvPicPr/>
                  </pic:nvPicPr>
                  <pic:blipFill>
                    <a:blip r:embed="rId42"/>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基础平台与架构要求-多设备协同功能流程图，用于说明该功能的输入、处理、输出与异常记录关系。</w:t>
      </w:r>
    </w:p>
    <w:p>
      <w:pPr>
        <w:pStyle w:val="3"/>
        <w:numPr>
          <w:ilvl w:val="0"/>
          <w:numId w:val="0"/>
        </w:numPr>
        <w:bidi w:val="0"/>
        <w:ind w:leftChars="200"/>
        <w:rPr>
          <w:rFonts w:hint="eastAsia" w:eastAsia="宋体"/>
          <w:lang w:eastAsia="zh-CN"/>
        </w:rPr>
      </w:pPr>
      <w:r>
        <w:t xml:space="preserve">31. 基础平台与架构要求</w:t>
      </w:r>
    </w:p>
    <w:p>
      <w:pPr>
        <w:pStyle w:val="3"/>
        <w:numPr>
          <w:ilvl w:val="0"/>
          <w:numId w:val="0"/>
        </w:numPr>
        <w:bidi w:val="0"/>
        <w:ind w:leftChars="200"/>
        <w:rPr>
          <w:rFonts w:hint="eastAsia" w:eastAsia="宋体"/>
          <w:lang w:eastAsia="zh-CN"/>
        </w:rPr>
      </w:pPr>
      <w:r>
        <w:t xml:space="preserve">平台适配与模块化运行功能面向电子海图显示、导航数据处理和航行态势呈现场景，主要解决采用模块化软件架构，预留标准数据接口，支持后续接入新型号导航传感器或功能模块。。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3" name="T031 基础平台与架构要求功能流程图"/>
            <wp:cNvGraphicFramePr>
              <a:graphicFrameLocks noChangeAspect="1"/>
            </wp:cNvGraphicFramePr>
            <a:graphic>
              <a:graphicData uri="http://schemas.openxmlformats.org/drawingml/2006/picture">
                <pic:pic>
                  <pic:nvPicPr>
                    <pic:cNvPr id="0" name="T031 基础平台与架构要求功能流程图"/>
                    <pic:cNvPicPr/>
                  </pic:nvPicPr>
                  <pic:blipFill>
                    <a:blip r:embed="rId43"/>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基础平台与架构要求功能流程图，用于说明该功能的输入、处理、输出与异常记录关系。</w:t>
      </w:r>
    </w:p>
    <w:p>
      <w:pPr>
        <w:pStyle w:val="3"/>
        <w:numPr>
          <w:ilvl w:val="0"/>
          <w:numId w:val="0"/>
        </w:numPr>
        <w:bidi w:val="0"/>
        <w:ind w:leftChars="200"/>
        <w:rPr>
          <w:rFonts w:hint="eastAsia" w:eastAsia="宋体"/>
          <w:lang w:eastAsia="zh-CN"/>
        </w:rPr>
      </w:pPr>
      <w:r>
        <w:t xml:space="preserve">32. 数据维护与合规</w:t>
      </w:r>
    </w:p>
    <w:p>
      <w:pPr>
        <w:pStyle w:val="3"/>
        <w:numPr>
          <w:ilvl w:val="0"/>
          <w:numId w:val="0"/>
        </w:numPr>
        <w:bidi w:val="0"/>
        <w:ind w:leftChars="200"/>
        <w:rPr>
          <w:rFonts w:hint="eastAsia" w:eastAsia="宋体"/>
          <w:lang w:eastAsia="zh-CN"/>
        </w:rPr>
      </w:pPr>
      <w:r>
        <w:t xml:space="preserve">数据维护与接口管理功能面向电子海图显示、导航数据处理和航行态势呈现场景，主要解决具备接收、解析和应用官方发布的S-63加密格式海图更新数据的能力，并生成更新记录。。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4" name="T032 数据维护与合规功能流程图"/>
            <wp:cNvGraphicFramePr>
              <a:graphicFrameLocks noChangeAspect="1"/>
            </wp:cNvGraphicFramePr>
            <a:graphic>
              <a:graphicData uri="http://schemas.openxmlformats.org/drawingml/2006/picture">
                <pic:pic>
                  <pic:nvPicPr>
                    <pic:cNvPr id="0" name="T032 数据维护与合规功能流程图"/>
                    <pic:cNvPicPr/>
                  </pic:nvPicPr>
                  <pic:blipFill>
                    <a:blip r:embed="rId44"/>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数据维护与合规功能流程图，用于说明该功能的输入、处理、输出与异常记录关系。</w:t>
      </w:r>
    </w:p>
    <w:p>
      <w:pPr>
        <w:pStyle w:val="3"/>
        <w:numPr>
          <w:ilvl w:val="0"/>
          <w:numId w:val="0"/>
        </w:numPr>
        <w:bidi w:val="0"/>
        <w:ind w:leftChars="200"/>
        <w:rPr>
          <w:rFonts w:hint="eastAsia" w:eastAsia="宋体"/>
          <w:lang w:eastAsia="zh-CN"/>
        </w:rPr>
      </w:pPr>
      <w:r>
        <w:t xml:space="preserve">33. 数据维护与合规</w:t>
      </w:r>
    </w:p>
    <w:p>
      <w:pPr>
        <w:pStyle w:val="3"/>
        <w:numPr>
          <w:ilvl w:val="0"/>
          <w:numId w:val="0"/>
        </w:numPr>
        <w:bidi w:val="0"/>
        <w:ind w:leftChars="200"/>
        <w:rPr>
          <w:rFonts w:hint="eastAsia" w:eastAsia="宋体"/>
          <w:lang w:eastAsia="zh-CN"/>
        </w:rPr>
      </w:pPr>
      <w:r>
        <w:t xml:space="preserve">数据维护与接口管理功能面向电子海图显示、导航数据处理和航行态势呈现场景，主要解决定期自动备份系统内部存储结构（SENC）和所有航行记录，支撑数据安全。。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5" name="T033 数据维护与合规功能流程图"/>
            <wp:cNvGraphicFramePr>
              <a:graphicFrameLocks noChangeAspect="1"/>
            </wp:cNvGraphicFramePr>
            <a:graphic>
              <a:graphicData uri="http://schemas.openxmlformats.org/drawingml/2006/picture">
                <pic:pic>
                  <pic:nvPicPr>
                    <pic:cNvPr id="0" name="T033 数据维护与合规功能流程图"/>
                    <pic:cNvPicPr/>
                  </pic:nvPicPr>
                  <pic:blipFill>
                    <a:blip r:embed="rId45"/>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数据维护与合规功能流程图，用于说明该功能的输入、处理、输出与异常记录关系。</w:t>
      </w:r>
    </w:p>
    <w:p>
      <w:pPr>
        <w:pStyle w:val="3"/>
        <w:numPr>
          <w:ilvl w:val="0"/>
          <w:numId w:val="0"/>
        </w:numPr>
        <w:bidi w:val="0"/>
        <w:ind w:leftChars="200"/>
        <w:rPr>
          <w:rFonts w:hint="eastAsia" w:eastAsia="宋体"/>
          <w:lang w:eastAsia="zh-CN"/>
        </w:rPr>
      </w:pPr>
      <w:r>
        <w:t xml:space="preserve">34. 数据维护与合规</w:t>
      </w:r>
    </w:p>
    <w:p>
      <w:pPr>
        <w:pStyle w:val="3"/>
        <w:numPr>
          <w:ilvl w:val="0"/>
          <w:numId w:val="0"/>
        </w:numPr>
        <w:bidi w:val="0"/>
        <w:ind w:leftChars="200"/>
        <w:rPr>
          <w:rFonts w:hint="eastAsia" w:eastAsia="宋体"/>
          <w:lang w:eastAsia="zh-CN"/>
        </w:rPr>
      </w:pPr>
      <w:r>
        <w:t xml:space="preserve">数据维护与接口管理功能面向电子海图显示、导航数据处理和航行态势呈现场景，主要解决软件接口需遵循NMEA0183/2000协议与船载设备进行数据通信。。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通过接口适配层屏蔽外部设备、文件系统和数据库之间的差异，对串口、网络、文件导入导出和数据库读写进行统一封装。业务模块只调用稳定的数据访问接口，从而降低新增设备、协议或数据格式对既有功能的影响。</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6" name="T034 数据维护与合规功能流程图"/>
            <wp:cNvGraphicFramePr>
              <a:graphicFrameLocks noChangeAspect="1"/>
            </wp:cNvGraphicFramePr>
            <a:graphic>
              <a:graphicData uri="http://schemas.openxmlformats.org/drawingml/2006/picture">
                <pic:pic>
                  <pic:nvPicPr>
                    <pic:cNvPr id="0" name="T034 数据维护与合规功能流程图"/>
                    <pic:cNvPicPr/>
                  </pic:nvPicPr>
                  <pic:blipFill>
                    <a:blip r:embed="rId46"/>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数据维护与合规功能流程图，用于说明该功能的输入、处理、输出与异常记录关系。</w:t>
      </w:r>
    </w:p>
    <w:p>
      <w:pPr>
        <w:pStyle w:val="3"/>
        <w:numPr>
          <w:ilvl w:val="0"/>
          <w:numId w:val="0"/>
        </w:numPr>
        <w:bidi w:val="0"/>
        <w:ind w:leftChars="200"/>
        <w:rPr>
          <w:rFonts w:hint="eastAsia" w:eastAsia="宋体"/>
          <w:lang w:eastAsia="zh-CN"/>
        </w:rPr>
      </w:pPr>
      <w:r>
        <w:t xml:space="preserve">35. 安全告警与风险接口</w:t>
      </w:r>
    </w:p>
    <w:p>
      <w:pPr>
        <w:pStyle w:val="3"/>
        <w:numPr>
          <w:ilvl w:val="0"/>
          <w:numId w:val="0"/>
        </w:numPr>
        <w:bidi w:val="0"/>
        <w:ind w:leftChars="200"/>
        <w:rPr>
          <w:rFonts w:hint="eastAsia" w:eastAsia="宋体"/>
          <w:lang w:eastAsia="zh-CN"/>
        </w:rPr>
      </w:pPr>
      <w:r>
        <w:t xml:space="preserve">安全告警与风险预警功能面向复杂水域航行风险识别与安全提示场景，主要解决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7" name="T035 安全告警与风险接口功能流程图"/>
            <wp:cNvGraphicFramePr>
              <a:graphicFrameLocks noChangeAspect="1"/>
            </wp:cNvGraphicFramePr>
            <a:graphic>
              <a:graphicData uri="http://schemas.openxmlformats.org/drawingml/2006/picture">
                <pic:pic>
                  <pic:nvPicPr>
                    <pic:cNvPr id="0" name="T035 安全告警与风险接口功能流程图"/>
                    <pic:cNvPicPr/>
                  </pic:nvPicPr>
                  <pic:blipFill>
                    <a:blip r:embed="rId47"/>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安全告警与风险接口功能流程图，用于说明该功能的输入、处理、输出与异常记录关系。</w:t>
      </w:r>
    </w:p>
    <w:p>
      <w:pPr>
        <w:pStyle w:val="3"/>
        <w:numPr>
          <w:ilvl w:val="0"/>
          <w:numId w:val="0"/>
        </w:numPr>
        <w:bidi w:val="0"/>
        <w:ind w:leftChars="200"/>
        <w:rPr>
          <w:rFonts w:hint="eastAsia" w:eastAsia="宋体"/>
          <w:lang w:eastAsia="zh-CN"/>
        </w:rPr>
      </w:pPr>
      <w:r>
        <w:t xml:space="preserve">36. 航线规划与监控接口</w:t>
      </w:r>
    </w:p>
    <w:p>
      <w:pPr>
        <w:pStyle w:val="3"/>
        <w:numPr>
          <w:ilvl w:val="0"/>
          <w:numId w:val="0"/>
        </w:numPr>
        <w:bidi w:val="0"/>
        <w:ind w:leftChars="200"/>
        <w:rPr>
          <w:rFonts w:hint="eastAsia" w:eastAsia="宋体"/>
          <w:lang w:eastAsia="zh-CN"/>
        </w:rPr>
      </w:pPr>
      <w:r>
        <w:t xml:space="preserve">海图综合态势展示功能面向航线设计、航行计划检查和航行过程监控场景，主要解决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8" name="T036 航线规划与监控接口功能流程图"/>
            <wp:cNvGraphicFramePr>
              <a:graphicFrameLocks noChangeAspect="1"/>
            </wp:cNvGraphicFramePr>
            <a:graphic>
              <a:graphicData uri="http://schemas.openxmlformats.org/drawingml/2006/picture">
                <pic:pic>
                  <pic:nvPicPr>
                    <pic:cNvPr id="0" name="T036 航线规划与监控接口功能流程图"/>
                    <pic:cNvPicPr/>
                  </pic:nvPicPr>
                  <pic:blipFill>
                    <a:blip r:embed="rId48"/>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航线规划与监控接口功能流程图，用于说明该功能的输入、处理、输出与异常记录关系。</w:t>
      </w:r>
    </w:p>
    <w:p>
      <w:pPr>
        <w:pStyle w:val="3"/>
        <w:numPr>
          <w:ilvl w:val="0"/>
          <w:numId w:val="0"/>
        </w:numPr>
        <w:bidi w:val="0"/>
        <w:ind w:leftChars="200"/>
        <w:rPr>
          <w:rFonts w:hint="eastAsia" w:eastAsia="宋体"/>
          <w:lang w:eastAsia="zh-CN"/>
        </w:rPr>
      </w:pPr>
      <w:r>
        <w:t xml:space="preserve">37. 数据库数据读写接口</w:t>
      </w:r>
    </w:p>
    <w:p>
      <w:pPr>
        <w:pStyle w:val="3"/>
        <w:numPr>
          <w:ilvl w:val="0"/>
          <w:numId w:val="0"/>
        </w:numPr>
        <w:bidi w:val="0"/>
        <w:ind w:leftChars="200"/>
        <w:rPr>
          <w:rFonts w:hint="eastAsia" w:eastAsia="宋体"/>
          <w:lang w:eastAsia="zh-CN"/>
        </w:rPr>
      </w:pPr>
      <w:r>
        <w:t xml:space="preserve">数据维护与接口管理功能面向电子海图显示、导航数据处理和航行态势呈现场景，主要解决数据库数据读写接口：海图底图存储或载遵循IHO S-57标准，实现与电子海图数据（ENC）的交互，将ENC数据转换为系统内部存储结构（SENC）。支持官方发布的海图更新数据（如S-63加密格式）的接收、解析和应用，支撑海图信息的及时性和准确性。。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9" name="T037 数据库数据读写接口功能流程图"/>
            <wp:cNvGraphicFramePr>
              <a:graphicFrameLocks noChangeAspect="1"/>
            </wp:cNvGraphicFramePr>
            <a:graphic>
              <a:graphicData uri="http://schemas.openxmlformats.org/drawingml/2006/picture">
                <pic:pic>
                  <pic:nvPicPr>
                    <pic:cNvPr id="0" name="T037 数据库数据读写接口功能流程图"/>
                    <pic:cNvPicPr/>
                  </pic:nvPicPr>
                  <pic:blipFill>
                    <a:blip r:embed="rId49"/>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数据库数据读写接口功能流程图，用于说明该功能的输入、处理、输出与异常记录关系。</w:t>
      </w:r>
    </w:p>
    <w:p>
      <w:pPr>
        <w:pStyle w:val="3"/>
        <w:numPr>
          <w:ilvl w:val="0"/>
          <w:numId w:val="0"/>
        </w:numPr>
        <w:bidi w:val="0"/>
        <w:ind w:leftChars="200"/>
        <w:rPr>
          <w:rFonts w:hint="eastAsia" w:eastAsia="宋体"/>
          <w:lang w:eastAsia="zh-CN"/>
        </w:rPr>
      </w:pPr>
      <w:r>
        <w:t xml:space="preserve">38. 海图显示与态势融合接口</w:t>
      </w:r>
    </w:p>
    <w:p>
      <w:pPr>
        <w:pStyle w:val="3"/>
        <w:numPr>
          <w:ilvl w:val="0"/>
          <w:numId w:val="0"/>
        </w:numPr>
        <w:bidi w:val="0"/>
        <w:ind w:leftChars="200"/>
        <w:rPr>
          <w:rFonts w:hint="eastAsia" w:eastAsia="宋体"/>
          <w:lang w:eastAsia="zh-CN"/>
        </w:rPr>
      </w:pPr>
      <w:r>
        <w:t xml:space="preserve">海图综合态势展示功能面向电子海图显示、导航数据处理和航行态势呈现场景，主要解决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40" name="T038 海图显示与态势融合接口功能流程图"/>
            <wp:cNvGraphicFramePr>
              <a:graphicFrameLocks noChangeAspect="1"/>
            </wp:cNvGraphicFramePr>
            <a:graphic>
              <a:graphicData uri="http://schemas.openxmlformats.org/drawingml/2006/picture">
                <pic:pic>
                  <pic:nvPicPr>
                    <pic:cNvPr id="0" name="T038 海图显示与态势融合接口功能流程图"/>
                    <pic:cNvPicPr/>
                  </pic:nvPicPr>
                  <pic:blipFill>
                    <a:blip r:embed="rId50"/>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海图显示与态势融合接口功能流程图，用于说明该功能的输入、处理、输出与异常记录关系。</w:t>
      </w:r>
    </w:p>
    <w:p>
      <w:pPr>
        <w:pStyle w:val="3"/>
        <w:numPr>
          <w:ilvl w:val="0"/>
          <w:numId w:val="0"/>
        </w:numPr>
        <w:bidi w:val="0"/>
        <w:ind w:leftChars="200"/>
        <w:rPr>
          <w:rFonts w:hint="eastAsia" w:eastAsia="宋体"/>
          <w:lang w:eastAsia="zh-CN"/>
        </w:rPr>
      </w:pPr>
      <w:r>
        <w:t xml:space="preserve">39. 外部数据与文件系统</w:t>
      </w:r>
    </w:p>
    <w:p>
      <w:pPr>
        <w:pStyle w:val="3"/>
        <w:numPr>
          <w:ilvl w:val="0"/>
          <w:numId w:val="0"/>
        </w:numPr>
        <w:bidi w:val="0"/>
        <w:ind w:leftChars="200"/>
        <w:rPr>
          <w:rFonts w:hint="eastAsia" w:eastAsia="宋体"/>
          <w:lang w:eastAsia="zh-CN"/>
        </w:rPr>
      </w:pPr>
      <w:r>
        <w:t xml:space="preserve">海图综合态势展示功能面向电子海图显示、导航数据处理和航行态势呈现场景，主要解决外部数据与文件系统：支持与外部设备（如USB存储设备、便携式电脑）的数据交换，便于海图数据的备份、航线文件的导入导出。采用通用的数据格式（如CSV、XML），支撑与其他系统的数据兼容性。例如，船员可将规划好的航线导出为CSV文件，通过USB存储设备传输到其他船舶的电子海图显示与信息系统系统中。。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41" name="T039 外部数据与文件系统功能流程图"/>
            <wp:cNvGraphicFramePr>
              <a:graphicFrameLocks noChangeAspect="1"/>
            </wp:cNvGraphicFramePr>
            <a:graphic>
              <a:graphicData uri="http://schemas.openxmlformats.org/drawingml/2006/picture">
                <pic:pic>
                  <pic:nvPicPr>
                    <pic:cNvPr id="0" name="T039 外部数据与文件系统功能流程图"/>
                    <pic:cNvPicPr/>
                  </pic:nvPicPr>
                  <pic:blipFill>
                    <a:blip r:embed="rId51"/>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外部数据与文件系统功能流程图，用于说明该功能的输入、处理、输出与异常记录关系。</w:t>
      </w:r>
    </w:p>
    <w:p>
      <w:pPr>
        <w:pStyle w:val="3"/>
        <w:numPr>
          <w:ilvl w:val="0"/>
          <w:numId w:val="0"/>
        </w:numPr>
        <w:bidi w:val="0"/>
        <w:ind w:leftChars="200"/>
        <w:rPr>
          <w:rFonts w:hint="eastAsia" w:eastAsia="宋体"/>
          <w:lang w:eastAsia="zh-CN"/>
        </w:rPr>
      </w:pPr>
      <w:r>
        <w:t xml:space="preserve">40. 传感器与导航设备</w:t>
      </w:r>
    </w:p>
    <w:p>
      <w:pPr>
        <w:pStyle w:val="3"/>
        <w:numPr>
          <w:ilvl w:val="0"/>
          <w:numId w:val="0"/>
        </w:numPr>
        <w:bidi w:val="0"/>
        <w:ind w:leftChars="200"/>
        <w:rPr>
          <w:rFonts w:hint="eastAsia" w:eastAsia="宋体"/>
          <w:lang w:eastAsia="zh-CN"/>
        </w:rPr>
      </w:pPr>
      <w:r>
        <w:t xml:space="preserve">海图综合态势展示功能面向电子海图显示、导航数据处理和航行态势呈现场景，主要解决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BAM（船舶安保报警系统）、MSI（航海气象信息系统）、INS（惯性导航系统）等系统的接口。通过这些接口，实现数据共享和功能协同。如与MSI系统连接，获取气象预报信息，并在海图上叠加显示风浪、台风路径等气象数据，辅助船员进行航线决策。。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42" name="T040 传感器与导航设备功能流程图"/>
            <wp:cNvGraphicFramePr>
              <a:graphicFrameLocks noChangeAspect="1"/>
            </wp:cNvGraphicFramePr>
            <a:graphic>
              <a:graphicData uri="http://schemas.openxmlformats.org/drawingml/2006/picture">
                <pic:pic>
                  <pic:nvPicPr>
                    <pic:cNvPr id="0" name="T040 传感器与导航设备功能流程图"/>
                    <pic:cNvPicPr/>
                  </pic:nvPicPr>
                  <pic:blipFill>
                    <a:blip r:embed="rId52"/>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传感器与导航设备功能流程图，用于说明该功能的输入、处理、输出与异常记录关系。</w:t>
      </w:r>
    </w:p>
    <w:p>
      <w:pPr>
        <w:pStyle w:val="3"/>
        <w:numPr>
          <w:ilvl w:val="0"/>
          <w:numId w:val="0"/>
        </w:numPr>
        <w:bidi w:val="0"/>
        <w:ind w:leftChars="200"/>
        <w:rPr>
          <w:rFonts w:hint="eastAsia" w:eastAsia="宋体"/>
          <w:lang w:eastAsia="zh-CN"/>
        </w:rPr>
      </w:pPr>
      <w:r>
        <w:t xml:space="preserve">41. 人机交互与控制HMI</w:t>
      </w:r>
    </w:p>
    <w:p>
      <w:pPr>
        <w:pStyle w:val="3"/>
        <w:numPr>
          <w:ilvl w:val="0"/>
          <w:numId w:val="0"/>
        </w:numPr>
        <w:bidi w:val="0"/>
        <w:ind w:leftChars="200"/>
        <w:rPr>
          <w:rFonts w:hint="eastAsia" w:eastAsia="宋体"/>
          <w:lang w:eastAsia="zh-CN"/>
        </w:rPr>
      </w:pPr>
      <w:r>
        <w:t xml:space="preserve">人机交互与个性化配置功能面向船员高频操作、界面控制和误操作防护场景，主要解决人机交互与控制HMI：支持多种输入方式，如触摸屏、鼠标、键盘、轨迹球等。触摸屏操作直观便捷，适合快速调整显示参数或选择功能；鼠标和键盘则便于进行复杂的文字输入和精确操作，如输入港口名称进行搜索。。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43" name="T041 人机交互与控制HMI功能流程图"/>
            <wp:cNvGraphicFramePr>
              <a:graphicFrameLocks noChangeAspect="1"/>
            </wp:cNvGraphicFramePr>
            <a:graphic>
              <a:graphicData uri="http://schemas.openxmlformats.org/drawingml/2006/picture">
                <pic:pic>
                  <pic:nvPicPr>
                    <pic:cNvPr id="0" name="T041 人机交互与控制HMI功能流程图"/>
                    <pic:cNvPicPr/>
                  </pic:nvPicPr>
                  <pic:blipFill>
                    <a:blip r:embed="rId53"/>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人机交互与控制HMI功能流程图，用于说明该功能的输入、处理、输出与异常记录关系。</w:t>
      </w:r>
    </w:p>
    <w:p ns2: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来源ID</w:t>
            </w:r>
          </w:p>
        </w:tc>
        <w:tc>
          <w:tcPr>
            <w:tcW w:w="2400" w:type="dxa"/>
          </w:tcPr>
          <w:p>
            <w:r>
              <w:t xml:space="preserve">响应对象</w:t>
            </w:r>
          </w:p>
        </w:tc>
        <w:tc>
          <w:tcPr>
            <w:tcW w:w="2400" w:type="dxa"/>
          </w:tcPr>
          <w:p>
            <w:r>
              <w:t xml:space="preserve">正文响应要点</w:t>
            </w:r>
          </w:p>
        </w:tc>
      </w:tr>
      <w:tr>
        <w:tc>
          <w:tcPr>
            <w:tcW w:w="2400" w:type="dxa"/>
          </w:tcPr>
          <w:p>
            <w:r>
              <w:t xml:space="preserve">P001</w:t>
            </w:r>
          </w:p>
        </w:tc>
        <w:tc>
          <w:tcPr>
            <w:tcW w:w="2400" w:type="dxa"/>
          </w:tcPr>
          <w:p>
            <w:r>
              <w:t xml:space="preserve">1）一般操作响应时间（数据查阅、图表显示等操作）：＜2s；</w:t>
            </w:r>
          </w:p>
        </w:tc>
        <w:tc>
          <w:tcPr>
            <w:tcW w:w="2400" w:type="dxa"/>
          </w:tcPr>
          <w:p>
            <w:r>
              <w:t xml:space="preserve">1）一般操作响应时间（数据查阅、图表显示等操作）：＜2s；</w:t>
            </w:r>
          </w:p>
        </w:tc>
      </w:tr>
      <w:tr>
        <w:tc>
          <w:tcPr>
            <w:tcW w:w="2400" w:type="dxa"/>
          </w:tcPr>
          <w:p>
            <w:r>
              <w:t xml:space="preserve">P002</w:t>
            </w:r>
          </w:p>
        </w:tc>
        <w:tc>
          <w:tcPr>
            <w:tcW w:w="2400" w:type="dxa"/>
          </w:tcPr>
          <w:p>
            <w:r>
              <w:t xml:space="preserve">2）系统初始化时间：＜10s；-2）系统初始化时间</w:t>
            </w:r>
          </w:p>
        </w:tc>
        <w:tc>
          <w:tcPr>
            <w:tcW w:w="2400" w:type="dxa"/>
          </w:tcPr>
          <w:p>
            <w:r>
              <w:t xml:space="preserve">2）系统初始化时间：＜10s；</w:t>
            </w:r>
          </w:p>
        </w:tc>
      </w:tr>
      <w:tr>
        <w:tc>
          <w:tcPr>
            <w:tcW w:w="2400" w:type="dxa"/>
          </w:tcPr>
          <w:p>
            <w:r>
              <w:t xml:space="preserve">P003</w:t>
            </w:r>
          </w:p>
        </w:tc>
        <w:tc>
          <w:tcPr>
            <w:tcW w:w="2400" w:type="dxa"/>
          </w:tcPr>
          <w:p>
            <w:r>
              <w:t xml:space="preserve">3）一般数据查询时间：＜5s；-3）一般数据查询时间</w:t>
            </w:r>
          </w:p>
        </w:tc>
        <w:tc>
          <w:tcPr>
            <w:tcW w:w="2400" w:type="dxa"/>
          </w:tcPr>
          <w:p>
            <w:r>
              <w:t xml:space="preserve">3）一般数据查询时间：＜5s；</w:t>
            </w:r>
          </w:p>
        </w:tc>
      </w:tr>
      <w:tr>
        <w:tc>
          <w:tcPr>
            <w:tcW w:w="2400" w:type="dxa"/>
          </w:tcPr>
          <w:p>
            <w:r>
              <w:t xml:space="preserve">P004</w:t>
            </w:r>
          </w:p>
        </w:tc>
        <w:tc>
          <w:tcPr>
            <w:tcW w:w="2400" w:type="dxa"/>
          </w:tcPr>
          <w:p>
            <w:r>
              <w:t xml:space="preserve">4）一般数据汇总时间：&lt;10s；-4）一般数据汇总时间</w:t>
            </w:r>
          </w:p>
        </w:tc>
        <w:tc>
          <w:tcPr>
            <w:tcW w:w="2400" w:type="dxa"/>
          </w:tcPr>
          <w:p>
            <w:r>
              <w:t xml:space="preserve">4）一般数据汇总时间：&lt;10s；</w:t>
            </w:r>
          </w:p>
        </w:tc>
      </w:tr>
      <w:tr>
        <w:tc>
          <w:tcPr>
            <w:tcW w:w="2400" w:type="dxa"/>
          </w:tcPr>
          <w:p>
            <w:r>
              <w:t xml:space="preserve">P005</w:t>
            </w:r>
          </w:p>
        </w:tc>
        <w:tc>
          <w:tcPr>
            <w:tcW w:w="2400" w:type="dxa"/>
          </w:tcPr>
          <w:p>
            <w:r>
              <w:t xml:space="preserve">5）指令响应率：100%；-5）指令响应率</w:t>
            </w:r>
          </w:p>
        </w:tc>
        <w:tc>
          <w:tcPr>
            <w:tcW w:w="2400" w:type="dxa"/>
          </w:tcPr>
          <w:p>
            <w:r>
              <w:t xml:space="preserve">5）指令响应率：100%；</w:t>
            </w:r>
          </w:p>
        </w:tc>
      </w:tr>
      <w:tr>
        <w:tc>
          <w:tcPr>
            <w:tcW w:w="2400" w:type="dxa"/>
          </w:tcPr>
          <w:p>
            <w:r>
              <w:t xml:space="preserve">P006</w:t>
            </w:r>
          </w:p>
        </w:tc>
        <w:tc>
          <w:tcPr>
            <w:tcW w:w="2400" w:type="dxa"/>
          </w:tcPr>
          <w:p>
            <w:r>
              <w:t xml:space="preserve">6）系统服务稳定性：99%；-6）系统服务稳定性</w:t>
            </w:r>
          </w:p>
        </w:tc>
        <w:tc>
          <w:tcPr>
            <w:tcW w:w="2400" w:type="dxa"/>
          </w:tcPr>
          <w:p>
            <w:r>
              <w:t xml:space="preserve">6）系统服务稳定性：99%；</w:t>
            </w:r>
          </w:p>
        </w:tc>
      </w:tr>
      <w:tr>
        <w:tc>
          <w:tcPr>
            <w:tcW w:w="2400" w:type="dxa"/>
          </w:tcPr>
          <w:p>
            <w:r>
              <w:t xml:space="preserve">P007</w:t>
            </w:r>
          </w:p>
        </w:tc>
        <w:tc>
          <w:tcPr>
            <w:tcW w:w="2400" w:type="dxa"/>
          </w:tcPr>
          <w:p>
            <w:r>
              <w:t xml:space="preserve">7）特殊操作超过该时间则需要给予用户明确的等待时间或进度条提示。</w:t>
            </w:r>
          </w:p>
        </w:tc>
        <w:tc>
          <w:tcPr>
            <w:tcW w:w="2400" w:type="dxa"/>
          </w:tcPr>
          <w:p>
            <w:r>
              <w:t xml:space="preserve">7）特殊操作超过该时间则需要给予用户明确的等待时间或进度条提示。</w:t>
            </w:r>
          </w:p>
        </w:tc>
      </w:tr>
      <w:tr>
        <w:tc>
          <w:tcPr>
            <w:tcW w:w="2400" w:type="dxa"/>
          </w:tcPr>
          <w:p>
            <w:r>
              <w:t xml:space="preserve">S010</w:t>
            </w:r>
          </w:p>
        </w:tc>
        <w:tc>
          <w:tcPr>
            <w:tcW w:w="2400" w:type="dxa"/>
          </w:tcPr>
          <w:p>
            <w:r>
              <w:t xml:space="preserve">评分项：技术指标</w:t>
            </w:r>
          </w:p>
        </w:tc>
        <w:tc>
          <w:tcPr>
            <w:tcW w:w="2400" w:type="dxa"/>
          </w:tcPr>
          <w:p>
            <w:r>
              <w:t xml:space="preserve">1.技术指标正偏离评分按数量评分，设基准分值为5分，一般技术指标正偏离一项加 1分，最高得标准分值。（三分之二以上技术专家认定正偏离对产品性能没有实质意义的指标值，不得分，但须备注：正偏离无实质意义）正偏离须提供产品规格表或产品宣传彩页或…</w:t>
            </w:r>
          </w:p>
        </w:tc>
      </w:tr>
      <w:tr>
        <w:tc>
          <w:tcPr>
            <w:tcW w:w="2400" w:type="dxa"/>
          </w:tcPr>
          <w:p>
            <w:r>
              <w:t xml:space="preserve">S011</w:t>
            </w:r>
          </w:p>
        </w:tc>
        <w:tc>
          <w:tcPr>
            <w:tcW w:w="2400" w:type="dxa"/>
          </w:tcPr>
          <w:p>
            <w:r>
              <w:t xml:space="preserve">评分项：技术指标</w:t>
            </w:r>
          </w:p>
        </w:tc>
        <w:tc>
          <w:tcPr>
            <w:tcW w:w="2400" w:type="dxa"/>
          </w:tcPr>
          <w:p>
            <w:r>
              <w:t xml:space="preserve">2.技术指标负偏离评分 全部满足采购文件要求的得标准分值，一般技术指标负偏离一项扣1分，最低为0分。</w:t>
            </w:r>
          </w:p>
        </w:tc>
      </w:tr>
    </w:tbl>
    <w:p ns2:paraId="29318CA3">
      <w:pPr>
        <w:spacing w:line="360" w:lineRule="auto"/>
        <w:ind w:firstLine="480" w:firstLineChars="200"/>
        <w:rPr>
          <w:rFonts w:hint="eastAsia"/>
        </w:rPr>
      </w:pPr>
    </w:p>
    <w:p ns2: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pPr>
        <w:pStyle w:val="3"/>
        <w:numPr>
          <w:ilvl w:val="0"/>
          <w:numId w:val="0"/>
        </w:numPr>
        <w:bidi w:val="0"/>
        <w:ind w:leftChars="200"/>
        <w:rPr>
          <w:rFonts w:hint="eastAsia" w:ascii="黑体" w:hAnsi="黑体" w:eastAsia="黑体" w:cs="黑体"/>
          <w:sz w:val="28"/>
          <w:szCs w:val="32"/>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pStyle w:val="3"/>
        <w:numPr>
          <w:ilvl w:val="0"/>
          <w:numId w:val="0"/>
        </w:numPr>
        <w:bidi w:val="0"/>
        <w:ind w:leftChars="200"/>
        <w:rPr>
          <w:rFonts w:hint="eastAsia" w:ascii="黑体" w:hAnsi="黑体" w:eastAsia="黑体" w:cs="黑体"/>
          <w:sz w:val="28"/>
          <w:szCs w:val="32"/>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核心业务设计</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pPr>
        <w:adjustRightInd w:val="0"/>
        <w:spacing w:line="360" w:lineRule="auto"/>
        <w:ind w:firstLine="480" w:firstLineChars="200"/>
        <w:rPr>
          <w:szCs w:val="2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80" w:firstLineChars="200"/>
        <w:rPr>
          <w:szCs w:val="2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9876"/>
      <w:bookmarkStart w:id="19" w:name="_Toc11462"/>
      <w:r>
        <w:rPr>
          <w:rFonts w:hint="eastAsia" w:ascii="黑体" w:hAnsi="黑体" w:eastAsia="黑体" w:cs="黑体"/>
          <w:sz w:val="28"/>
          <w:szCs w:val="32"/>
          <w:lang w:val="en-US" w:eastAsia="zh-CN"/>
        </w:rPr>
        <w:t>通用质量特性设计</w:t>
      </w:r>
      <w:bookmarkEnd w:id="1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黑体"/>
          <w:bCs/>
          <w:szCs w:val="32"/>
          <w:lang w:val="en-US" w:eastAsia="zh-CN"/>
        </w:rPr>
        <w:t>可靠性设计</w:t>
      </w:r>
      <w:bookmarkEnd w:id="2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可靠性设计从数据、进程和操作三个层面展开。数据层对海图文件、航线计划、用户配置和日志记录进行校验与异常处理；进程层对关键模块运行状态、接口连接和多设备协同状态进行监测；操作层对高风险操作提供确认、回退或记录机制，降低误操作对航行显示和监控的影响。</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系统在异常情况下应优先保持核心显示与告警能力可用。对于外部接口中断、海图文件不可读、目标数据异常或设备优先级切换等情况，系统应记录原因并给出明确提示，便于运维人员定位问题并进行恢复。</w:t>
      </w:r>
    </w:p>
    <w:p ns2: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黑体"/>
          <w:bCs/>
          <w:szCs w:val="32"/>
          <w:lang w:val="en-US" w:eastAsia="zh-CN"/>
        </w:rPr>
        <w:t>维修性设计</w:t>
      </w:r>
      <w:bookmarkEnd w:id="21"/>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黑体"/>
          <w:bCs/>
          <w:szCs w:val="32"/>
          <w:lang w:val="en-US" w:eastAsia="zh-CN"/>
        </w:rPr>
        <w:t>保障性设计</w:t>
      </w:r>
      <w:bookmarkEnd w:id="22"/>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黑体"/>
          <w:bCs/>
          <w:szCs w:val="32"/>
          <w:lang w:val="en-US" w:eastAsia="zh-CN"/>
        </w:rPr>
        <w:t>测试性设计</w:t>
      </w:r>
      <w:bookmarkEnd w:id="2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性设计要求各模块在设计阶段预留可验证接口和测试数据入口。海图显示可通过标准海图样例、比例尺切换、配色模式和图层开关进行验证；目标融合可通过AIS、雷达、ARPA模拟数据验证坐标叠加；航线规划和告警模块可通过典型航线、安全等深线和水深场景验证规则判断。</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测试过程按单元测试、集成测试、系统测试和验收测试分层实施。每类测试都应保留输入条件、执行步骤、输出结果和问题闭环记录，使需求、评分项和测试证据之间形成可追溯关系。</w:t>
      </w:r>
    </w:p>
    <w:p ns2: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黑体"/>
          <w:bCs/>
          <w:szCs w:val="32"/>
          <w:lang w:val="en-US" w:eastAsia="zh-CN"/>
        </w:rPr>
        <w:t>安全性设计</w:t>
      </w:r>
      <w:bookmarkEnd w:id="24"/>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安全性设计从访问控制、运行环境、数据边界和操作审计四个方面落实。用户访问按照岗位和业务权限授权，正式运行系统与数据库不混入测试操作；网络与主机环境按照军用计算机网络安全防护要求进行配置；海图数据、航线数据、配置和日志按权限访问。</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系统对关键操作、接口异常、告警确认和配置变更进行审计记录。对于涉密、知识产权或外包管理要求，正文只描述控制机制和交付边界，不自动生成投标人资质或确定性服务事实。</w:t>
      </w:r>
    </w:p>
    <w:p ns2: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8"/>
    <w:bookmarkEnd w:id="19"/>
    <w:p>
      <w:pPr>
        <w:spacing w:line="360" w:lineRule="auto"/>
        <w:ind w:firstLine="480" w:firstLineChars="200"/>
      </w:pPr>
      <w:r>
        <w:t xml:space="preserve">环境适应性设计面向国产化软硬件环境、不同处理器架构和不同操作系统版本展开。系统将图形渲染、文件访问、设备接口和系统服务调用纳入平台适配层，业务模块通过统一接口调用，降低迁移成本。</w:t>
      </w:r>
    </w:p>
    <w:p>
      <w:pPr>
        <w:spacing w:line="360" w:lineRule="auto"/>
        <w:ind w:firstLine="480" w:firstLineChars="200"/>
      </w:pPr>
      <w:r>
        <w:t xml:space="preserve">对于龙芯、飞腾、瑞芯微及麒麟、Ubuntu等目标环境，设计上重点关注编译依赖、图形驱动、外设输入、网络配置、日志路径和权限策略的一致性。部署验收阶段应形成环境配置清单和兼容性测试记录。</w:t>
      </w:r>
    </w:p>
    <w:p ns2: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pPr>
        <w:widowControl/>
        <w:spacing w:line="360" w:lineRule="auto"/>
        <w:ind w:firstLine="480" w:firstLineChars="200"/>
        <w:jc w:val="left"/>
        <w:textAlignment w:val="center"/>
        <w:rPr>
          <w:rFonts w:hint="eastAsia"/>
          <w:szCs w:val="18"/>
        </w:rPr>
      </w:pPr>
      <w:r>
        <w:t xml:space="preserve">关键技术包括标准电子海图解析与符号化显示、动态目标时空融合、OpenGL实时叠加、航线与告警规则引擎、跨平台适配和质量可追溯机制。上述技术共同支撑系统从标准数据输入到航行态势输出的完整链路。</w:t>
      </w:r>
    </w:p>
    <w:p>
      <w:pPr>
        <w:widowControl/>
        <w:spacing w:line="360" w:lineRule="auto"/>
        <w:ind w:firstLine="480" w:firstLineChars="200"/>
        <w:jc w:val="left"/>
        <w:textAlignment w:val="center"/>
        <w:rPr>
          <w:rFonts w:hint="eastAsia"/>
          <w:szCs w:val="18"/>
        </w:rPr>
      </w:pPr>
      <w:r>
        <w:t xml:space="preserve">海图解析与显示技术负责S-57/S-63数据、S-52显示规则和配色模式的落地；目标融合技术负责AIS、雷达、ARPA和本船状态的一致化处理；规则引擎负责航线、安全等深线、水深和偏航等风险判断；跨平台适配技术负责软硬件环境差异屏蔽；质量追溯机制负责将测试、日志、交付物和需求来源关联起来。</w:t>
      </w:r>
    </w:p>
    <w:p ns2: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黑体"/>
          <w:bCs/>
          <w:kern w:val="44"/>
          <w:sz w:val="30"/>
          <w:szCs w:val="44"/>
          <w:lang w:val="en-US" w:eastAsia="zh-CN"/>
        </w:rPr>
        <w:t>质量控制</w:t>
      </w:r>
      <w:bookmarkEnd w:id="26"/>
      <w:bookmarkEnd w:id="2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bookmarkEnd w:id="43"/>
    <w:p ns2: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黑体" w:hAnsi="黑体" w:eastAsia="黑体" w:cs="黑体"/>
          <w:sz w:val="28"/>
          <w:szCs w:val="32"/>
          <w:lang w:val="en-US" w:eastAsia="zh-CN"/>
        </w:rPr>
        <w:t>风险评估与控制</w:t>
      </w:r>
      <w:bookmarkEnd w:id="2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19435"/>
      <w:bookmarkStart w:id="30" w:name="_Toc26513"/>
      <w:r>
        <w:rPr>
          <w:rFonts w:hint="eastAsia" w:ascii="黑体" w:hAnsi="黑体" w:eastAsia="黑体" w:cs="黑体"/>
          <w:sz w:val="28"/>
          <w:szCs w:val="32"/>
          <w:lang w:val="en-US" w:eastAsia="zh-CN"/>
        </w:rPr>
        <w:t>质量保证措施</w:t>
      </w:r>
      <w:bookmarkEnd w:id="29"/>
      <w:bookmarkEnd w:id="3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1" w:name="_Ref3150"/>
      <w:bookmarkStart w:id="32" w:name="_Toc18355"/>
      <w:bookmarkStart w:id="33" w:name="_Toc24827"/>
      <w:r>
        <w:rPr>
          <w:rFonts w:hint="eastAsia" w:ascii="黑体" w:hAnsi="黑体" w:eastAsia="黑体" w:cs="黑体"/>
          <w:sz w:val="28"/>
          <w:szCs w:val="32"/>
          <w:lang w:val="en-US" w:eastAsia="zh-CN"/>
        </w:rPr>
        <w:t>项目进度计划</w:t>
      </w:r>
      <w:bookmarkEnd w:id="31"/>
      <w:bookmarkEnd w:id="32"/>
      <w:bookmarkEnd w:id="3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ns2: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4" w:name="_Ref881"/>
      <w:bookmarkStart w:id="35" w:name="_Toc24805"/>
      <w:bookmarkStart w:id="36" w:name="_Toc30998"/>
      <w:r>
        <w:rPr>
          <w:rFonts w:hint="eastAsia" w:ascii="黑体" w:hAnsi="黑体" w:eastAsia="黑体" w:cs="黑体"/>
          <w:sz w:val="28"/>
          <w:szCs w:val="32"/>
          <w:lang w:val="en-US" w:eastAsia="zh-CN"/>
        </w:rPr>
        <w:t>项目人员组成</w:t>
      </w:r>
      <w:bookmarkEnd w:id="34"/>
      <w:bookmarkEnd w:id="35"/>
      <w:bookmarkEnd w:id="36"/>
    </w:p>
    <w:p ns2: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ns2:ligatures ns2:val="none"/>
        </w:rPr>
      </w:pPr>
      <w:r>
        <w:rPr>
          <w:rFonts w:hint="eastAsia" w:eastAsia="宋体" w:cs="Times New Roman"/>
          <w:color w:val="auto"/>
          <w:sz w:val="24"/>
          <w:szCs w:val="24"/>
          <w:lang w:val="en-US" w:eastAsia="zh-CN"/>
          <ns2:ligatures ns2:val="none"/>
        </w:rPr>
        <w:t>【CONFIRM:项目团队人员说明】</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ns2: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1D3632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拟担任</w:t>
            </w:r>
          </w:p>
          <w:p ns2:paraId="103247DA">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职务、分工</w:t>
            </w:r>
          </w:p>
        </w:tc>
        <w:tc>
          <w:tcPr>
            <w:tcW w:w="1026" w:type="dxa"/>
            <w:vAlign w:val="center"/>
          </w:tcPr>
          <w:p ns2:paraId="10E840ED">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姓名</w:t>
            </w:r>
          </w:p>
        </w:tc>
        <w:tc>
          <w:tcPr>
            <w:tcW w:w="1156" w:type="dxa"/>
            <w:vAlign w:val="center"/>
          </w:tcPr>
          <w:p ns2:paraId="1650095B">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职称</w:t>
            </w:r>
          </w:p>
        </w:tc>
        <w:tc>
          <w:tcPr>
            <w:tcW w:w="1156" w:type="dxa"/>
            <w:vAlign w:val="center"/>
          </w:tcPr>
          <w:p ns2:paraId="0B2EF57E">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专业</w:t>
            </w:r>
          </w:p>
        </w:tc>
        <w:tc>
          <w:tcPr>
            <w:tcW w:w="1545" w:type="dxa"/>
            <w:vAlign w:val="center"/>
          </w:tcPr>
          <w:p ns2:paraId="77AA6A57">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从业资格</w:t>
            </w:r>
          </w:p>
        </w:tc>
        <w:tc>
          <w:tcPr>
            <w:tcW w:w="2173" w:type="dxa"/>
            <w:vAlign w:val="center"/>
          </w:tcPr>
          <w:p ns2:paraId="1374BFC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相关工作年限</w:t>
            </w:r>
          </w:p>
        </w:tc>
      </w:tr>
      <w:tr ns2: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AF77F92">
            <w:r>
              <w:t>【CONFIRM:项目团队-职务分工】</w:t>
            </w:r>
          </w:p>
        </w:tc>
        <w:tc>
          <w:tcPr>
            <w:tcW w:w="1026" w:type="dxa"/>
            <w:vAlign w:val="center"/>
          </w:tcPr>
          <w:p ns2:paraId="2E93EAFB">
            <w:r>
              <w:t>【CONFIRM:项目团队-姓名】</w:t>
            </w:r>
          </w:p>
        </w:tc>
        <w:tc>
          <w:tcPr>
            <w:tcW w:w="1156" w:type="dxa"/>
            <w:vAlign w:val="center"/>
          </w:tcPr>
          <w:p ns2:paraId="219A385F">
            <w:r>
              <w:t>【CONFIRM:项目团队-职称】</w:t>
            </w:r>
          </w:p>
        </w:tc>
        <w:tc>
          <w:tcPr>
            <w:tcW w:w="1156" w:type="dxa"/>
            <w:vAlign w:val="center"/>
          </w:tcPr>
          <w:p ns2:paraId="7B4CAADD">
            <w:r>
              <w:t>【CONFIRM:项目团队-专业】</w:t>
            </w:r>
          </w:p>
        </w:tc>
        <w:tc>
          <w:tcPr>
            <w:tcW w:w="1545" w:type="dxa"/>
            <w:vAlign w:val="center"/>
          </w:tcPr>
          <w:p ns2:paraId="4BFE498B">
            <w:r>
              <w:t>【CONFIRM:项目团队-从业资格】</w:t>
            </w:r>
          </w:p>
        </w:tc>
        <w:tc>
          <w:tcPr>
            <w:tcW w:w="2173" w:type="dxa"/>
            <w:vAlign w:val="center"/>
          </w:tcPr>
          <w:p ns2:paraId="35DDD5F1">
            <w:r>
              <w:t>【CONFIRM:项目团队-相关工作年限】</w:t>
            </w:r>
          </w:p>
        </w:tc>
      </w:tr>
      <w:tr ns2: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9F98E6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1AFF85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5F57F7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22E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5E7435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032C327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0646FE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7525C8C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62D66A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F6925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5A9637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68D0DCA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37A6462">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3C7F4C7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40D73F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0B194E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B21376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790A059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2D9C102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AC25F3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1039056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58CE53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3E0B74A">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752FE7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F8FDD7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DF8443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4BE20C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55FF4C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9B960E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4A35E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53106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06060A0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781E0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4E8C7AA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A98591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5FBC21C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791BB5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44E2F1E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4B51EB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912856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9A6AF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8784F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5E71D29">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40E509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FA51A8B">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CB831B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F4903D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924E77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bl>
    <w:p ns2: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7" w:name="_Toc11424"/>
      <w:bookmarkStart w:id="38" w:name="_Toc10496"/>
      <w:r>
        <w:rPr>
          <w:rFonts w:hint="eastAsia" w:ascii="黑体" w:hAnsi="黑体" w:eastAsia="黑体" w:cs="黑体"/>
          <w:sz w:val="28"/>
          <w:szCs w:val="32"/>
          <w:lang w:val="en-US" w:eastAsia="zh-CN"/>
        </w:rPr>
        <w:t>成果交付及验收</w:t>
      </w:r>
      <w:bookmarkEnd w:id="37"/>
      <w:bookmarkEnd w:id="3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交付物管理应将软件、文档、测试资料、配置清单、使用说明和验收材料建立对应关系。对于交付时间、地点、人员、质保期或服务响应等需要投标主体确认的信息，继续保留人工确认或复核边界。</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A71C771">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6A40C8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BFB5F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3AC4C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375E58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22F3E02">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F16724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D069A1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E51BBE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F5530F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D549A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271F89A">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EA49B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77848A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9" w:name="_Toc13693"/>
      <w:bookmarkStart w:id="40" w:name="_Toc3244"/>
      <w:r>
        <w:rPr>
          <w:rFonts w:hint="eastAsia" w:ascii="黑体" w:hAnsi="黑体" w:eastAsia="黑体" w:cs="黑体"/>
          <w:sz w:val="28"/>
          <w:szCs w:val="32"/>
          <w:lang w:val="en-US" w:eastAsia="zh-CN"/>
        </w:rPr>
        <w:t>售后服务及承诺</w:t>
      </w:r>
      <w:bookmarkEnd w:id="39"/>
      <w:bookmarkEnd w:id="40"/>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售后与应急支援设计以问题受理、影响判断、远程诊断、现场处理、复盘记录和知识沉淀为闭环。具体响应时限、质保期、人员安排等属于投标人需确认事项，不在本地草稿中自动写成确定事实。</w:t>
      </w:r>
    </w:p>
    <w:p ns2: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eastAsia="宋体" w:cs="Times New Roman"/>
          <w:szCs w:val="18"/>
          <w:lang w:val="en-US" w:eastAsia="zh-CN"/>
          <ns2:ligatures ns2:val="none"/>
        </w:rPr>
        <w:t>【CONFIRM:质量保证期承诺】</w:t>
      </w:r>
    </w:p>
    <w:p ns2: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ascii="Times New Roman" w:hAnsi="Times New Roman" w:eastAsia="宋体" w:cs="Times New Roman"/>
          <w:szCs w:val="18"/>
          <w:lang w:val="en-US" w:eastAsia="zh-CN"/>
          <ns2:ligatures ns2:val="none"/>
        </w:rPr>
        <w:t>【CONFIRM:售后服务响应承诺】</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1">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2">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4">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8">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0">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3">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2"/>
  </w:num>
  <w:num w:numId="2">
    <w:abstractNumId w:val="8"/>
  </w:num>
  <w:num w:numId="3">
    <w:abstractNumId w:val="13"/>
  </w:num>
  <w:num w:numId="4">
    <w:abstractNumId w:val="14"/>
  </w:num>
  <w:num w:numId="5">
    <w:abstractNumId w:val="10"/>
  </w:num>
  <w:num w:numId="6">
    <w:abstractNumId w:val="11"/>
  </w:num>
  <w:num w:numId="7">
    <w:abstractNumId w:val="6"/>
  </w:num>
  <w:num w:numId="8">
    <w:abstractNumId w:val="15"/>
  </w:num>
  <w:num w:numId="9">
    <w:abstractNumId w:val="5"/>
  </w:num>
  <w:num w:numId="10">
    <w:abstractNumId w:val="4"/>
  </w:num>
  <w:num w:numId="11">
    <w:abstractNumId w:val="12"/>
  </w:num>
  <w:num w:numId="12">
    <w:abstractNumId w:val="7"/>
  </w:num>
  <w:num w:numId="13">
    <w:abstractNumId w:val="9"/>
  </w:num>
  <w:num w:numId="14">
    <w:abstractNumId w:val="3"/>
  </w:num>
  <w:num w:numId="15">
    <w:abstractNumId w:val="0"/>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ns0:Relationships xmlns:ns0="http://schemas.openxmlformats.org/package/2006/relationships"><ns0:Relationship Id="rId9" Type="http://schemas.openxmlformats.org/officeDocument/2006/relationships/numbering" Target="numbering.xml" /><ns0:Relationship Id="rId8" Type="http://schemas.openxmlformats.org/officeDocument/2006/relationships/customXml" Target="../customXml/item1.xml"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footer" Target="footer2.xml" /><ns0:Relationship Id="rId4" Type="http://schemas.openxmlformats.org/officeDocument/2006/relationships/footer" Target="footer1.xml" /><ns0:Relationship Id="rId3" Type="http://schemas.openxmlformats.org/officeDocument/2006/relationships/header" Target="header1.xml" /><ns0:Relationship Id="rId2" Type="http://schemas.openxmlformats.org/officeDocument/2006/relationships/settings" Target="settings.xml" /><ns0:Relationship Id="rId11" Type="http://schemas.openxmlformats.org/officeDocument/2006/relationships/fontTable" Target="fontTable.xml" /><ns0:Relationship Id="rId10" Type="http://schemas.openxmlformats.org/officeDocument/2006/relationships/customXml" Target="../customXml/item2.xml" /><ns0:Relationship Id="rId1" Type="http://schemas.openxmlformats.org/officeDocument/2006/relationships/styles" Target="styles.xml" /><ns0:Relationship Id="rId12" Type="http://schemas.openxmlformats.org/officeDocument/2006/relationships/image" Target="media/image1.png" /><ns0:Relationship Id="rId13" Type="http://schemas.openxmlformats.org/officeDocument/2006/relationships/image" Target="media/image2.png" /><ns0:Relationship Id="rId14" Type="http://schemas.openxmlformats.org/officeDocument/2006/relationships/image" Target="media/image3.png" /><ns0:Relationship Id="rId15" Type="http://schemas.openxmlformats.org/officeDocument/2006/relationships/image" Target="media/image4.png" /><ns0:Relationship Id="rId16" Type="http://schemas.openxmlformats.org/officeDocument/2006/relationships/image" Target="media/image5.png" /><ns0:Relationship Id="rId17" Type="http://schemas.openxmlformats.org/officeDocument/2006/relationships/image" Target="media/image6.png" /><ns0:Relationship Id="rId18" Type="http://schemas.openxmlformats.org/officeDocument/2006/relationships/image" Target="media/image7.png" /><ns0:Relationship Id="rId19" Type="http://schemas.openxmlformats.org/officeDocument/2006/relationships/image" Target="media/image8.png" /><ns0:Relationship Id="rId20" Type="http://schemas.openxmlformats.org/officeDocument/2006/relationships/image" Target="media/image9.png" /><ns0:Relationship Id="rId21" Type="http://schemas.openxmlformats.org/officeDocument/2006/relationships/image" Target="media/image10.png" /><ns0:Relationship Id="rId22" Type="http://schemas.openxmlformats.org/officeDocument/2006/relationships/image" Target="media/image11.png" /><ns0:Relationship Id="rId23" Type="http://schemas.openxmlformats.org/officeDocument/2006/relationships/image" Target="media/image12.png" /><ns0:Relationship Id="rId24" Type="http://schemas.openxmlformats.org/officeDocument/2006/relationships/image" Target="media/image13.png" /><ns0:Relationship Id="rId25" Type="http://schemas.openxmlformats.org/officeDocument/2006/relationships/image" Target="media/image14.png" /><ns0:Relationship Id="rId26" Type="http://schemas.openxmlformats.org/officeDocument/2006/relationships/image" Target="media/image15.png" /><ns0:Relationship Id="rId27" Type="http://schemas.openxmlformats.org/officeDocument/2006/relationships/image" Target="media/image16.png" /><ns0:Relationship Id="rId28" Type="http://schemas.openxmlformats.org/officeDocument/2006/relationships/image" Target="media/image17.png" /><ns0:Relationship Id="rId29" Type="http://schemas.openxmlformats.org/officeDocument/2006/relationships/image" Target="media/image18.png" /><ns0:Relationship Id="rId30" Type="http://schemas.openxmlformats.org/officeDocument/2006/relationships/image" Target="media/image19.png" /><ns0:Relationship Id="rId31" Type="http://schemas.openxmlformats.org/officeDocument/2006/relationships/image" Target="media/image20.png" /><ns0:Relationship Id="rId32" Type="http://schemas.openxmlformats.org/officeDocument/2006/relationships/image" Target="media/image21.png" /><ns0:Relationship Id="rId33" Type="http://schemas.openxmlformats.org/officeDocument/2006/relationships/image" Target="media/image22.png" /><ns0:Relationship Id="rId34" Type="http://schemas.openxmlformats.org/officeDocument/2006/relationships/image" Target="media/image23.png" /><ns0:Relationship Id="rId35" Type="http://schemas.openxmlformats.org/officeDocument/2006/relationships/image" Target="media/image24.png" /><ns0:Relationship Id="rId36" Type="http://schemas.openxmlformats.org/officeDocument/2006/relationships/image" Target="media/image25.png" /><ns0:Relationship Id="rId37" Type="http://schemas.openxmlformats.org/officeDocument/2006/relationships/image" Target="media/image26.png" /><ns0:Relationship Id="rId38" Type="http://schemas.openxmlformats.org/officeDocument/2006/relationships/image" Target="media/image27.png" /><ns0:Relationship Id="rId39" Type="http://schemas.openxmlformats.org/officeDocument/2006/relationships/image" Target="media/image28.png" /><ns0:Relationship Id="rId40" Type="http://schemas.openxmlformats.org/officeDocument/2006/relationships/image" Target="media/image29.png" /><ns0:Relationship Id="rId41" Type="http://schemas.openxmlformats.org/officeDocument/2006/relationships/image" Target="media/image30.png" /><ns0:Relationship Id="rId42" Type="http://schemas.openxmlformats.org/officeDocument/2006/relationships/image" Target="media/image31.png" /><ns0:Relationship Id="rId43" Type="http://schemas.openxmlformats.org/officeDocument/2006/relationships/image" Target="media/image32.png" /><ns0:Relationship Id="rId44" Type="http://schemas.openxmlformats.org/officeDocument/2006/relationships/image" Target="media/image33.png" /><ns0:Relationship Id="rId45" Type="http://schemas.openxmlformats.org/officeDocument/2006/relationships/image" Target="media/image34.png" /><ns0:Relationship Id="rId46" Type="http://schemas.openxmlformats.org/officeDocument/2006/relationships/image" Target="media/image35.png" /><ns0:Relationship Id="rId47" Type="http://schemas.openxmlformats.org/officeDocument/2006/relationships/image" Target="media/image36.png" /><ns0:Relationship Id="rId48" Type="http://schemas.openxmlformats.org/officeDocument/2006/relationships/image" Target="media/image37.png" /><ns0:Relationship Id="rId49" Type="http://schemas.openxmlformats.org/officeDocument/2006/relationships/image" Target="media/image38.png" /><ns0:Relationship Id="rId50" Type="http://schemas.openxmlformats.org/officeDocument/2006/relationships/image" Target="media/image39.png" /><ns0:Relationship Id="rId51" Type="http://schemas.openxmlformats.org/officeDocument/2006/relationships/image" Target="media/image40.png" /><ns0:Relationship Id="rId52" Type="http://schemas.openxmlformats.org/officeDocument/2006/relationships/image" Target="media/image41.png" /><ns0:Relationship Id="rId53" Type="http://schemas.openxmlformats.org/officeDocument/2006/relationships/image" Target="media/image42.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10</Pages>
  <Words>1680</Words>
  <Characters>2530</Characters>
  <Lines>1340</Lines>
  <Paragraphs>377</Paragraphs>
  <TotalTime>0</TotalTime>
  <ScaleCrop>false</ScaleCrop>
  <LinksUpToDate>false</LinksUpToDate>
  <CharactersWithSpaces>2577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2026-05-29T13:27:34Z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