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项目建设内容围绕电子海图显示与信息系统的核心业务能力展开，形成海图数据接入、综合态势显示、目标信息融合、航线规划、航行监控、安全告警、数据维护、系统配置和运行保障等功能组合。系统以标准电子海图为基础底图，以AIS、雷达、ARPA和本船导航数据为动态输入，以航线、告警、日志和配置管理为业务支撑，构建覆盖船舶航行全过程的信息化应用平台。</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海图综合态势展示方面，系统建设标准海图加载、自动匹配、缩放漫游、图层控制、昼夜配色、船艏向上/正北向上、真实位移/相对位移等能力，使海图显示能够适配不同航行场景和操作习惯。系统同时支持雷达回波、AIS目标、ARPA目标、本船符号、自定义GIS要素、潮汐海流、气象信息和临时通告等多源信息叠加显示，形成统一的航行态势界面。</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和安全控制方面，系统建设手动与自动航线设计、航点和航段编辑、航线安全检查、航行计算、计划航线监控、偏航监控、安全等深线、水深告警、危险区域提示和告警记录等能力。上述功能以电子海图和实时位置为基础，通过规则判断和图形化提示支持船员进行航行计划制定、风险识别和过程监控。</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数据与运行支撑方面，系统建设海图文件管理、数据版本维护、外部导航设备接口、数据库读写、配置保存、日志审计、跨平台适配和多设备协同运行能力。系统通过模块化设计将显示、数据、业务规则和平台适配解耦，便于后续扩展、测试验证和部署维护。</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电子海图显示与信息系统采用面向航行态势感知的分层组件架构，整体由数据接入与标准化处理层、海图与目标态势融合层、导航业务与安全决策层、显示交互与控制层、平台运行与质量保障层组成。各层围绕“标准海图数据接入、多源目标融合、航线与告警计算、图形化态势呈现、运行记录追溯”的主链路展开，使系统能够在统一的海图空间中持续处理航行相关数据，并向船员提供稳定、清晰、可操作的综合导航界面。</w:t>
      </w:r>
    </w:p>
    <w:p>
      <w:pPr>
        <w:numPr>
          <w:ilvl w:val="0"/>
          <w:numId w:val="0"/>
        </w:numPr>
        <w:adjustRightInd w:val="0"/>
        <w:spacing w:line="360" w:lineRule="auto"/>
        <w:ind w:leftChars="200"/>
        <w:rPr>
          <w:szCs w:val="28"/>
        </w:rPr>
      </w:pPr>
      <w:r>
        <w:t xml:space="preserve">数据接入与标准化处理层负责接收S-57/S-63电子海图、S-52显示库、AIS、雷达、ARPA、本船导航状态、NMEA报文以及数据库中的业务数据。该层对不同来源的数据进行格式解析、坐标转换、时间戳对齐、数据校验和状态缓存，将外部设备与文件输入转化为系统内部统一的数据对象，为上层海图渲染、目标叠加、航线计算和安全判断提供一致的数据基础。</w:t>
      </w:r>
    </w:p>
    <w:p>
      <w:pPr>
        <w:numPr>
          <w:ilvl w:val="0"/>
          <w:numId w:val="0"/>
        </w:numPr>
        <w:adjustRightInd w:val="0"/>
        <w:spacing w:line="360" w:lineRule="auto"/>
        <w:ind w:leftChars="200"/>
        <w:rPr>
          <w:szCs w:val="28"/>
        </w:rPr>
      </w:pPr>
      <w:r>
        <w:t xml:space="preserve">海图与目标态势融合层是系统的核心数据加工单元，负责将标准海图要素、雷达回波、AIS目标、ARPA跟踪目标、本船符号、航线对象和自定义GIS要素叠加到同一地理坐标空间。系统在该层维护目标位置、航向、航速、跟踪状态和显示优先级，并通过缓冲队列、空间配准和刷新控制机制处理多源数据在频率、精度和来源上的差异，形成可实时更新的综合航行态势。</w:t>
      </w:r>
    </w:p>
    <w:p>
      <w:pPr>
        <w:numPr>
          <w:ilvl w:val="0"/>
          <w:numId w:val="0"/>
        </w:numPr>
        <w:adjustRightInd w:val="0"/>
        <w:spacing w:line="360" w:lineRule="auto"/>
        <w:ind w:leftChars="200"/>
        <w:rPr>
          <w:szCs w:val="28"/>
        </w:rPr>
      </w:pPr>
      <w:r>
        <w:t xml:space="preserve">导航业务与安全决策层围绕航线规划、航行监控、安全等深线、水深告警、偏航判断、危险区域识别和目标态势预警开展业务计算。用户规划航线后，系统对航点、航段、安全参数和航行规则进行检查；船舶航行过程中，系统持续获取本船位置和目标态势，对偏航、浅水、禁航区、危险物接近等风险进行判断，并将告警事件推送至显示交互层进行提示和确认。</w:t>
      </w:r>
    </w:p>
    <w:p>
      <w:pPr>
        <w:numPr>
          <w:ilvl w:val="0"/>
          <w:numId w:val="0"/>
        </w:numPr>
        <w:adjustRightInd w:val="0"/>
        <w:spacing w:line="360" w:lineRule="auto"/>
        <w:ind w:leftChars="200"/>
        <w:rPr>
          <w:szCs w:val="28"/>
        </w:rPr>
      </w:pPr>
      <w:r>
        <w:t xml:space="preserve">显示交互与控制层面向船员实际操作场景，提供海图缩放、漫游、图层开关、昼夜配色、正北向上/船艏向上、真实位移/相对位移、目标信息查看、航线编辑和告警确认等功能。界面层通过OpenGL图形渲染能力完成海图、目标、航线和告警信息的实时叠加显示，并将用户操作转化为业务指令发送至相应模块，形成“显示-操作-计算-反馈”的闭环。</w:t>
      </w:r>
    </w:p>
    <w:p>
      <w:pPr>
        <w:numPr>
          <w:ilvl w:val="0"/>
          <w:numId w:val="0"/>
        </w:numPr>
        <w:adjustRightInd w:val="0"/>
        <w:spacing w:line="360" w:lineRule="auto"/>
        <w:ind w:leftChars="200"/>
        <w:rPr>
          <w:szCs w:val="28"/>
        </w:rPr>
      </w:pPr>
      <w:r>
        <w:t xml:space="preserve">平台运行与质量保障层负责跨硬件平台和操作系统环境的适配、配置管理、日志审计、权限控制、异常记录、测试验证和交付资料管理。系统将图形渲染、设备接口、文件访问、数据库连接和日志路径等平台相关能力封装在适配层中，上层业务模块通过统一接口调用，降低硬件架构、操作系统和外设差异对核心业务逻辑的影响。</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657600"/>
            <wp:effectExtent l="0" t="0" r="0" b="0"/>
            <wp:docPr id="1002" name="功能模块划分图"/>
            <wp:cNvGraphicFramePr>
              <a:graphicFrameLocks noChangeAspect="1"/>
            </wp:cNvGraphicFramePr>
            <a:graphic>
              <a:graphicData uri="http://schemas.openxmlformats.org/drawingml/2006/picture">
                <pic:pic>
                  <pic:nvPicPr>
                    <pic:cNvPr id="0" name="功能模块划分图"/>
                    <pic:cNvPicPr/>
                  </pic:nvPicPr>
                  <pic:blipFill>
                    <a:blip r:embed="rId12"/>
                    <a:stretch>
                      <a:fillRect/>
                    </a:stretch>
                  </pic:blipFill>
                  <pic:spPr>
                    <a:xfrm>
                      <a:off x="0" y="0"/>
                      <a:ext cx="5486400" cy="3657600"/>
                    </a:xfrm>
                    <a:prstGeom prst="rect">
                      <a:avLst/>
                    </a:prstGeom>
                  </pic:spPr>
                </pic:pic>
              </a:graphicData>
            </a:graphic>
          </wp:inline>
        </w:drawing>
      </w:r>
    </w:p>
    <w:p>
      <w:pPr>
        <w:spacing w:line="360" w:lineRule="auto"/>
        <w:jc w:val="center"/>
        <w:rPr>
          <w:rFonts w:hint="eastAsia"/>
        </w:rPr>
      </w:pPr>
      <w:r>
        <w:t xml:space="preserve">功能模块划分图，用于说明本节相关模块、数据流或流程关系。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总体架构图应体现五类关系：一是外部海图、传感器、导航设备和用户操作输入；二是数据接入与标准化处理链路；三是海图显示、目标融合、航线规划和安全告警等业务模块；四是跨平台运行、多设备协同、性能监测等支撑能力；五是标准符合、权限保密、测试验收和交付记录形成的质量闭环。</w:t>
      </w:r>
    </w:p>
    <w:p>
      <w:pPr>
        <w:spacing w:line="360" w:lineRule="auto"/>
        <w:ind w:firstLine="480" w:firstLineChars="200"/>
        <w:rPr>
          <w:rFonts w:hint="eastAsia"/>
          <w:lang w:val="en-US" w:eastAsia="zh-CN"/>
        </w:rPr>
      </w:pPr>
      <w:r>
        <w:t xml:space="preserve">图中各业务模块不应孤立呈现，而应通过数据流和控制流连接：海图与目标数据进入接入层后形成统一态势数据，显示引擎负责叠加呈现，航线与监控模块调用态势结果进行规则判断，告警模块输出提示并记录事件，质量与安全模块贯穿运行全过程。该表达方式能够让评审人员看到系统从输入到输出的工作机理。</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电子海图显示与图层控制模块负责标准海图数据的加载、显示范围匹配、比例尺切换、漫游缩放和图层要素控制。模块在显示链路中将S-57/S-63数据、S-52显示规则和PresLib符号表达进行解耦处理，使海图内容、显示样式和用户操作能够独立演进。</w:t>
      </w:r>
    </w:p>
    <w:p>
      <w:pPr>
        <w:pStyle w:val="3"/>
        <w:numPr>
          <w:ilvl w:val="0"/>
          <w:numId w:val="0"/>
        </w:numPr>
        <w:bidi w:val="0"/>
        <w:ind w:leftChars="200"/>
        <w:rPr>
          <w:rFonts w:hint="eastAsia" w:eastAsia="宋体"/>
          <w:lang w:eastAsia="zh-CN"/>
        </w:rPr>
      </w:pPr>
      <w:r>
        <w:t xml:space="preserve">在运行过程中，模块根据当前船位、显示比例尺和用户选择自动匹配可用海图单元，完成基础、标准、全部等图层组合显示，并支持白天、黄昏、夜晚等配色模式。显示输出同时向目标叠加、航线规划和安全告警模块提供统一的地理上下文。</w:t>
      </w:r>
    </w:p>
    <w:p>
      <w:pPr>
        <w:pStyle w:val="3"/>
        <w:numPr>
          <w:ilvl w:val="0"/>
          <w:numId w:val="0"/>
        </w:numPr>
        <w:bidi w:val="0"/>
        <w:ind w:leftChars="200"/>
        <w:rPr>
          <w:rFonts w:hint="eastAsia" w:eastAsia="宋体"/>
          <w:lang w:eastAsia="zh-CN"/>
        </w:rPr>
      </w:pPr>
      <w:r>
        <w:t xml:space="preserve">目标信息融合与态势叠加模块接入雷达、AIS、ARPA及本船状态数据，对目标标识、位置、航向、航速和跟踪状态进行统一维护。模块以电子海图坐标体系为基准，将动态目标转换为可叠加的态势图层。</w:t>
      </w:r>
    </w:p>
    <w:p>
      <w:pPr>
        <w:pStyle w:val="3"/>
        <w:numPr>
          <w:ilvl w:val="0"/>
          <w:numId w:val="0"/>
        </w:numPr>
        <w:bidi w:val="0"/>
        <w:ind w:leftChars="200"/>
        <w:rPr>
          <w:rFonts w:hint="eastAsia" w:eastAsia="宋体"/>
          <w:lang w:eastAsia="zh-CN"/>
        </w:rPr>
      </w:pPr>
      <w:r>
        <w:t xml:space="preserve">针对雷达回波与AIS/ARPA目标在刷新频率、坐标来源和数据精度上的差异，模块采用缓冲队列、时间戳校准和空间配准机制进行融合，并通过OpenGL显示链路完成实时叠加。输出结果服务于航行监控、避碰判断和告警提示。</w:t>
      </w:r>
    </w:p>
    <w:p>
      <w:pPr>
        <w:pStyle w:val="3"/>
        <w:numPr>
          <w:ilvl w:val="0"/>
          <w:numId w:val="0"/>
        </w:numPr>
        <w:bidi w:val="0"/>
        <w:ind w:leftChars="200"/>
        <w:rPr>
          <w:rFonts w:hint="eastAsia" w:eastAsia="宋体"/>
          <w:lang w:eastAsia="zh-CN"/>
        </w:rPr>
      </w:pPr>
      <w:r>
        <w:t xml:space="preserve">航线规划与航行监控模块提供航点新增、删除、拖动、排序和航段编辑能力，支持人工规划与自动辅助规划结合。模块对航线几何关系、航段连通性、关键转向点和安全边界进行校验，形成可保存、可复用、可监控的航线对象。</w:t>
      </w:r>
    </w:p>
    <w:p>
      <w:pPr>
        <w:pStyle w:val="3"/>
        <w:numPr>
          <w:ilvl w:val="0"/>
          <w:numId w:val="0"/>
        </w:numPr>
        <w:bidi w:val="0"/>
        <w:ind w:leftChars="200"/>
        <w:rPr>
          <w:rFonts w:hint="eastAsia" w:eastAsia="宋体"/>
          <w:lang w:eastAsia="zh-CN"/>
        </w:rPr>
      </w:pPr>
      <w:r>
        <w:t xml:space="preserve">航行过程中，模块以本船实时位置和计划航线为输入，计算偏航、到达、转向和航段状态，并将监控结果推送给显示和告警模块。该设计使航线从静态绘制对象转化为运行中的监控对象。</w:t>
      </w:r>
    </w:p>
    <w:p>
      <w:pPr>
        <w:pStyle w:val="3"/>
        <w:numPr>
          <w:ilvl w:val="0"/>
          <w:numId w:val="0"/>
        </w:numPr>
        <w:bidi w:val="0"/>
        <w:ind w:leftChars="200"/>
        <w:rPr>
          <w:rFonts w:hint="eastAsia" w:eastAsia="宋体"/>
          <w:lang w:eastAsia="zh-CN"/>
        </w:rPr>
      </w:pPr>
      <w:r>
        <w:t xml:space="preserve">安全告警与风险预警模块围绕安全等深线、水深、危险区、偏航和目标态势建立规则判断机制。模块从海图、航线、本船状态和目标融合结果中获取输入，按照预设阈值和航行规则生成风险事件。</w:t>
      </w:r>
    </w:p>
    <w:p>
      <w:pPr>
        <w:pStyle w:val="3"/>
        <w:numPr>
          <w:ilvl w:val="0"/>
          <w:numId w:val="0"/>
        </w:numPr>
        <w:bidi w:val="0"/>
        <w:ind w:leftChars="200"/>
        <w:rPr>
          <w:rFonts w:hint="eastAsia" w:eastAsia="宋体"/>
          <w:lang w:eastAsia="zh-CN"/>
        </w:rPr>
      </w:pPr>
      <w:r>
        <w:t xml:space="preserve">告警处理采用“识别-提示-确认-记录”的闭环：识别阶段完成规则匹配，提示阶段在显示界面突出风险位置，确认阶段接收用户操作，记录阶段写入事件日志和后续复核依据。</w:t>
      </w:r>
    </w:p>
    <w:p>
      <w:pPr>
        <w:pStyle w:val="3"/>
        <w:numPr>
          <w:ilvl w:val="0"/>
          <w:numId w:val="0"/>
        </w:numPr>
        <w:bidi w:val="0"/>
        <w:ind w:leftChars="200"/>
        <w:rPr>
          <w:rFonts w:hint="eastAsia" w:eastAsia="宋体"/>
          <w:lang w:eastAsia="zh-CN"/>
        </w:rPr>
      </w:pPr>
      <w:r>
        <w:t xml:space="preserve">人机交互与个性化配置模块面向船员高频操作场景设计菜单、按钮、图标、快捷键和多输入设备适配能力。模块将触摸屏、鼠标、键盘、轨迹球等输入统一抽象为操作事件，再分发至海图显示、航线编辑和配置管理等业务模块。</w:t>
      </w:r>
    </w:p>
    <w:p>
      <w:pPr>
        <w:pStyle w:val="3"/>
        <w:numPr>
          <w:ilvl w:val="0"/>
          <w:numId w:val="0"/>
        </w:numPr>
        <w:bidi w:val="0"/>
        <w:ind w:leftChars="200"/>
        <w:rPr>
          <w:rFonts w:hint="eastAsia" w:eastAsia="宋体"/>
          <w:lang w:eastAsia="zh-CN"/>
        </w:rPr>
      </w:pPr>
      <w:r>
        <w:t xml:space="preserve">个性化设置以用户配置项形式保存，包括显示模式、图层偏好、亮度、告警提示方式和常用操作入口等。配置变更需即时反馈到界面，同时写入持久化存储，便于重启或多设备切换后恢复使用习惯。</w:t>
      </w:r>
    </w:p>
    <w:p>
      <w:pPr>
        <w:pStyle w:val="3"/>
        <w:numPr>
          <w:ilvl w:val="0"/>
          <w:numId w:val="0"/>
        </w:numPr>
        <w:bidi w:val="0"/>
        <w:ind w:leftChars="200"/>
        <w:rPr>
          <w:rFonts w:hint="eastAsia" w:eastAsia="宋体"/>
          <w:lang w:eastAsia="zh-CN"/>
        </w:rPr>
      </w:pPr>
      <w:r>
        <w:t xml:space="preserve">平台适配与模块化运行模块将硬件架构、操作系统、图形驱动、外设接口和运行参数封装在平台支撑层。业务模块只依赖抽象接口，避免与龙芯、飞腾、瑞芯微或麒麟、Ubuntu等具体环境强绑定。</w:t>
      </w:r>
    </w:p>
    <w:p>
      <w:pPr>
        <w:pStyle w:val="3"/>
        <w:numPr>
          <w:ilvl w:val="0"/>
          <w:numId w:val="0"/>
        </w:numPr>
        <w:bidi w:val="0"/>
        <w:ind w:leftChars="200"/>
        <w:rPr>
          <w:rFonts w:hint="eastAsia" w:eastAsia="宋体"/>
          <w:lang w:eastAsia="zh-CN"/>
        </w:rPr>
      </w:pPr>
      <w:r>
        <w:t xml:space="preserve">模块化运行机制将显示、数据、告警、配置和日志等能力拆分为清晰边界，支持按需启停、独立诊断和后续扩展。多设备协同时，系统根据优先级和运行状态进行控制，避免多个终端对关键状态产生冲突。</w:t>
      </w:r>
    </w:p>
    <w:p>
      <w:pPr>
        <w:pStyle w:val="3"/>
        <w:numPr>
          <w:ilvl w:val="0"/>
          <w:numId w:val="0"/>
        </w:numPr>
        <w:bidi w:val="0"/>
        <w:ind w:leftChars="200"/>
        <w:rPr>
          <w:rFonts w:hint="eastAsia" w:eastAsia="宋体"/>
          <w:lang w:eastAsia="zh-CN"/>
        </w:rPr>
      </w:pPr>
      <w:r>
        <w:t xml:space="preserve">数据维护与接口管理模块负责海图数据、航线数据、目标接口数据、日志和配置的统一维护。模块通过导入校验、版本识别、权限控制和异常记录，控制正式运行数据库与测试数据之间的边界。</w:t>
      </w:r>
    </w:p>
    <w:p>
      <w:pPr>
        <w:pStyle w:val="3"/>
        <w:numPr>
          <w:ilvl w:val="0"/>
          <w:numId w:val="0"/>
        </w:numPr>
        <w:bidi w:val="0"/>
        <w:ind w:leftChars="200"/>
        <w:rPr>
          <w:rFonts w:hint="eastAsia" w:eastAsia="宋体"/>
          <w:lang w:eastAsia="zh-CN"/>
        </w:rPr>
      </w:pPr>
      <w:r>
        <w:t xml:space="preserve">接口管理侧对外部导航设备、文件系统和数据库读写进行封装，向业务模块提供稳定的数据访问能力。对于新增传感器或功能模块，系统通过标准接口扩展，降低后续适配对既有功能的影响。</w:t>
      </w:r>
    </w:p>
    <w:p>
      <w:pPr>
        <w:pStyle w:val="3"/>
        <w:numPr>
          <w:ilvl w:val="0"/>
          <w:numId w:val="0"/>
        </w:numPr>
        <w:bidi w:val="0"/>
        <w:ind w:leftChars="200"/>
        <w:rPr>
          <w:rFonts w:hint="eastAsia" w:eastAsia="宋体"/>
          <w:lang w:eastAsia="zh-CN"/>
        </w:rPr>
      </w:pPr>
      <w:r>
        <w:t xml:space="preserve">安全与保密控制模块负责将业务要求转化为可执行的软件能力，设计时按照输入数据、处理规则、输出结果和异常记录四个方面划定功能边界。模块与其他能力通过稳定接口协同，避免将显示、数据、业务规则和运行支撑耦合在同一处理单元中。</w:t>
      </w:r>
    </w:p>
    <w:p>
      <w:pPr>
        <w:pStyle w:val="3"/>
        <w:numPr>
          <w:ilvl w:val="0"/>
          <w:numId w:val="0"/>
        </w:numPr>
        <w:bidi w:val="0"/>
        <w:ind w:leftChars="200"/>
        <w:rPr>
          <w:rFonts w:hint="eastAsia" w:eastAsia="宋体"/>
          <w:lang w:eastAsia="zh-CN"/>
        </w:rPr>
      </w:pPr>
      <w:r>
        <w:t xml:space="preserve">安全与保密控制模块在实现上应保留配置、日志和测试接口，便于后续进行单元测试、集成测试和验收复核。涉及高风险事实或商务服务事项时，保持复核或人工确认状态。</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