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电子海图显示与信息系统采用面向航行态势感知的分层组件架构，整体由数据接入与标准化处理层、海图与目标态势融合层、导航业务与安全决策层、显示交互与控制层、平台运行与质量保障层组成。各层围绕“标准海图数据接入、多源目标融合、航线与告警计算、图形化态势呈现、运行记录追溯”的主链路展开，使系统能够在统一的海图空间中持续处理航行相关数据，并向船员提供稳定、清晰、可操作的综合导航界面。</w:t>
      </w:r>
    </w:p>
    <w:p>
      <w:pPr>
        <w:numPr>
          <w:ilvl w:val="0"/>
          <w:numId w:val="0"/>
        </w:numPr>
        <w:adjustRightInd w:val="0"/>
        <w:spacing w:line="360" w:lineRule="auto"/>
        <w:ind w:leftChars="200"/>
        <w:rPr>
          <w:szCs w:val="28"/>
        </w:rPr>
      </w:pPr>
      <w:r>
        <w:t xml:space="preserve">数据接入与标准化处理层负责接收S-57/S-63电子海图、S-52显示库、AIS、雷达、ARPA、本船导航状态、NMEA报文以及数据库中的业务数据。该层对不同来源的数据进行格式解析、坐标转换、时间戳对齐、数据校验和状态缓存，将外部设备与文件输入转化为系统内部统一的数据对象，为上层海图渲染、目标叠加、航线计算和安全判断提供一致的数据基础。</w:t>
      </w:r>
    </w:p>
    <w:p>
      <w:pPr>
        <w:numPr>
          <w:ilvl w:val="0"/>
          <w:numId w:val="0"/>
        </w:numPr>
        <w:adjustRightInd w:val="0"/>
        <w:spacing w:line="360" w:lineRule="auto"/>
        <w:ind w:leftChars="200"/>
        <w:rPr>
          <w:szCs w:val="28"/>
        </w:rPr>
      </w:pPr>
      <w:r>
        <w:t xml:space="preserve">海图与目标态势融合层是系统的核心数据加工单元，负责将标准海图要素、雷达回波、AIS目标、ARPA跟踪目标、本船符号、航线对象和自定义GIS要素叠加到同一地理坐标空间。系统在该层维护目标位置、航向、航速、跟踪状态和显示优先级，并通过缓冲队列、空间配准和刷新控制机制处理多源数据在频率、精度和来源上的差异，形成可实时更新的综合航行态势。</w:t>
      </w:r>
    </w:p>
    <w:p>
      <w:pPr>
        <w:numPr>
          <w:ilvl w:val="0"/>
          <w:numId w:val="0"/>
        </w:numPr>
        <w:adjustRightInd w:val="0"/>
        <w:spacing w:line="360" w:lineRule="auto"/>
        <w:ind w:leftChars="200"/>
        <w:rPr>
          <w:szCs w:val="28"/>
        </w:rPr>
      </w:pPr>
      <w:r>
        <w:t xml:space="preserve">导航业务与安全决策层围绕航线规划、航行监控、安全等深线、水深告警、偏航判断、危险区域识别和目标态势预警开展业务计算。用户规划航线后，系统对航点、航段、安全参数和航行规则进行检查；船舶航行过程中，系统持续获取本船位置和目标态势，对偏航、浅水、禁航区、危险物接近等风险进行判断，并将告警事件推送至显示交互层进行提示和确认。</w:t>
      </w:r>
    </w:p>
    <w:p>
      <w:pPr>
        <w:numPr>
          <w:ilvl w:val="0"/>
          <w:numId w:val="0"/>
        </w:numPr>
        <w:adjustRightInd w:val="0"/>
        <w:spacing w:line="360" w:lineRule="auto"/>
        <w:ind w:leftChars="200"/>
        <w:rPr>
          <w:szCs w:val="28"/>
        </w:rPr>
      </w:pPr>
      <w:r>
        <w:t xml:space="preserve">显示交互与控制层面向船员实际操作场景，提供海图缩放、漫游、图层开关、昼夜配色、正北向上/船艏向上、真实位移/相对位移、目标信息查看、航线编辑和告警确认等功能。界面层通过OpenGL图形渲染能力完成海图、目标、航线和告警信息的实时叠加显示，并将用户操作转化为业务指令发送至相应模块，形成“显示-操作-计算-反馈”的闭环。</w:t>
      </w:r>
    </w:p>
    <w:p>
      <w:pPr>
        <w:numPr>
          <w:ilvl w:val="0"/>
          <w:numId w:val="0"/>
        </w:numPr>
        <w:adjustRightInd w:val="0"/>
        <w:spacing w:line="360" w:lineRule="auto"/>
        <w:ind w:leftChars="200"/>
        <w:rPr>
          <w:szCs w:val="28"/>
        </w:rPr>
      </w:pPr>
      <w:r>
        <w:t xml:space="preserve">平台运行与质量保障层负责跨硬件平台和操作系统环境的适配、配置管理、日志审计、权限控制、异常记录、测试验证和交付资料管理。系统将图形渲染、设备接口、文件访问、数据库连接和日志路径等平台相关能力封装在适配层中，上层业务模块通过统一接口调用，降低硬件架构、操作系统和外设差异对核心业务逻辑的影响。</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系统总体架构图以航行态势数据流为主线，外部电子海图文件、AIS、雷达、ARPA、本船导航设备和用户操作首先进入数据接入与标准化处理层。该层完成格式解析、坐标转换、时间对齐和数据校验后，将标准化数据分别提供给海图显示、目标融合、航线规划、航行监控和安全告警等业务组件。</w:t>
      </w:r>
    </w:p>
    <w:p>
      <w:pPr>
        <w:spacing w:line="360" w:lineRule="auto"/>
        <w:ind w:firstLine="480" w:firstLineChars="200"/>
        <w:rPr>
          <w:rFonts w:hint="eastAsia"/>
          <w:lang w:val="en-US" w:eastAsia="zh-CN"/>
        </w:rPr>
      </w:pPr>
      <w:r>
        <w:t xml:space="preserve">业务组件之间通过统一态势数据和控制指令协同工作。海图显示组件负责提供底图和符号化显示环境，目标融合组件负责维护动态目标状态，航线规划与监控组件负责计算航路、偏航和到达状态，安全告警组件负责识别浅水、危险区、目标接近和航线风险。平台支撑、权限控制、日志审计、测试验证和交付记录贯穿各业务组件，为系统运行、问题定位和验收复核提供基础。</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w:t>
      </w:r>
    </w:p>
    <w:p>
      <w:pPr>
        <w:pStyle w:val="3"/>
        <w:numPr>
          <w:ilvl w:val="0"/>
          <w:numId w:val="0"/>
        </w:numPr>
        <w:bidi w:val="0"/>
        <w:ind w:leftChars="200"/>
        <w:rPr>
          <w:rFonts w:hint="eastAsia" w:eastAsia="宋体"/>
          <w:lang w:eastAsia="zh-CN"/>
        </w:rPr>
      </w:pPr>
      <w:r>
        <w:t xml:space="preserve">安全与保密控制模块负责将业务要求转化为可执行的软件能力，设计时按照输入数据、处理规则、输出结果和异常记录四个方面划定功能边界。模块与其他能力通过稳定接口协同，避免将显示、数据、业务规则和运行支撑耦合在同一处理单元中。</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