
<file path=[Content_Types].xml><?xml version="1.0" encoding="utf-8"?>
<ns0:Types xmlns:ns0="http://schemas.openxmlformats.org/package/2006/content-types">
  <ns0:Default Extension="xml" ContentType="application/xml"/>
  <ns0:Default Extension="rels" ContentType="application/vnd.openxmlformats-package.relationships+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Default Extension="png" ContentType="image/png"/>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Shape" xmlns:ns6="urn:schemas-microsoft-com:vml" xmlns:ns7="urn:schemas-microsoft-com:office:office" xmlns:ns8="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ns2:paraId="50F4E0A5">
        <w:trPr>
          <w:cantSplit/>
        </w:trPr>
        <w:tc>
          <w:tcPr>
            <w:tcW w:w="8145" w:type="dxa"/>
          </w:tcPr>
          <w:p ns2: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ns2:paraId="05E24A59">
        <w:tblPrEx>
          <w:tblCellMar>
            <w:top w:w="0" w:type="dxa"/>
            <w:left w:w="0" w:type="dxa"/>
            <w:bottom w:w="0" w:type="dxa"/>
            <w:right w:w="0" w:type="dxa"/>
          </w:tblCellMar>
        </w:tblPrEx>
        <w:trPr>
          <w:cantSplit/>
        </w:trPr>
        <w:tc>
          <w:tcPr>
            <w:tcW w:w="8145" w:type="dxa"/>
          </w:tcPr>
          <w:p>
            <w:pPr>
              <w:widowControl/>
              <w:spacing w:before="120"/>
              <w:jc w:val="center"/>
              <w:rPr>
                <w:rFonts w:hint="eastAsia" w:ascii="宋体" w:hAnsi="宋体" w:cs="宋体"/>
                <w:b/>
                <w:bCs/>
                <w:spacing w:val="20"/>
                <w:kern w:val="0"/>
                <w:sz w:val="48"/>
                <w:szCs w:val="48"/>
              </w:rPr>
            </w:pPr>
            <w:r>
              <w:t xml:space="preserve">海图综合态势展示</w:t>
            </w:r>
          </w:p>
        </w:tc>
      </w:tr>
      <w:tr ns2:paraId="37592975">
        <w:tblPrEx>
          <w:tblCellMar>
            <w:top w:w="0" w:type="dxa"/>
            <w:left w:w="0" w:type="dxa"/>
            <w:bottom w:w="0" w:type="dxa"/>
            <w:right w:w="0" w:type="dxa"/>
          </w:tblCellMar>
        </w:tblPrEx>
        <w:trPr>
          <w:cantSplit/>
        </w:trPr>
        <w:tc>
          <w:tcPr>
            <w:tcW w:w="8145" w:type="dxa"/>
          </w:tcPr>
          <w:p ns2: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ns2: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rPr>
          <w:sz w:val="28"/>
        </w:rPr>
        <ns1:AlternateContent>
          <ns1:Choice Requires="wps">
            <w:drawing>
              <wp:anchor distT="0" distB="0" distL="114300" distR="114300" simplePos="0" relativeHeight="251660288" behindDoc="0" locked="0" layoutInCell="1" allowOverlap="1">
                <wp:simplePos x="0" y="0"/>
                <wp:positionH relativeFrom="column">
                  <wp:posOffset>3347720</wp:posOffset>
                </wp:positionH>
                <wp:positionV relativeFrom="paragraph">
                  <wp:posOffset>133985</wp:posOffset>
                </wp:positionV>
                <wp:extent cx="1989455" cy="1219200"/>
                <wp:effectExtent l="0" t="0" r="10795" b="0"/>
                <wp:wrapNone/>
                <wp:docPr id="1049926588" name="文本框 4"/>
                <wp:cNvGraphicFramePr/>
                <a:graphic>
                  <a:graphicData uri="http://schemas.microsoft.com/office/word/2010/wordprocessingShape">
                    <ns5:wsp>
                      <ns5:cNvSpPr txBox="1">
                        <a:spLocks noChangeArrowheads="1"/>
                      </ns5:cNvSpPr>
                      <ns5:spPr bwMode="auto">
                        <a:xfrm>
                          <a:off x="0" y="0"/>
                          <a:ext cx="1989455" cy="1219200"/>
                        </a:xfrm>
                        <a:prstGeom prst="rect">
                          <a:avLst/>
                        </a:prstGeom>
                        <a:solidFill>
                          <a:srgbClr val="FFFFFF"/>
                        </a:solidFill>
                        <a:ln>
                          <a:noFill/>
                        </a:ln>
                      </ns5:spPr>
                      <ns5:txb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5:txbx>
                      <ns5:bodyPr rot="0" vert="horz" wrap="square" lIns="91440" tIns="45720" rIns="91440" bIns="45720" anchor="t" anchorCtr="0" upright="1">
                        <a:noAutofit/>
                      </ns5:bodyPr>
                    </ns5:wsp>
                  </a:graphicData>
                </a:graphic>
              </wp:anchor>
            </w:drawing>
          </ns1:Choice>
          <ns1:Fallback>
            <w:pict>
              <ns6:shape id="文本框 4" ns7:spid="_x0000_s1026" ns7:spt="202" type="#_x0000_t202" style="position:absolute;left:0pt;margin-left:263.6pt;margin-top:10.55pt;height:96pt;width:156.65pt;z-index:251660288;mso-width-relative:page;mso-height-relative:page;" fillcolor="#FFFFFF" filled="t" stroked="f" coordsize="21600,21600" ns7: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ns6:fill on="t" focussize="0,0"/>
                <ns6:stroke on="f"/>
                <ns6:imagedata ns7:title=""/>
                <ns7:lock ns6:ext="edit" aspectratio="f"/>
                <ns6:textbo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6:textbox>
              </ns6:shape>
            </w:pict>
          </ns1:Fallback>
        </ns1:AlternateContent>
      </w:r>
      <w:r>
        <w:rPr>
          <w:sz w:val="28"/>
        </w:rPr>
        <ns1:AlternateContent>
          <ns1:Choice Requires="wps">
            <w:drawing>
              <wp:anchor distT="0" distB="0" distL="114300" distR="114300" simplePos="0" relativeHeight="251659264" behindDoc="0" locked="0" layoutInCell="1" allowOverlap="1">
                <wp:simplePos x="0" y="0"/>
                <wp:positionH relativeFrom="column">
                  <wp:posOffset>233045</wp:posOffset>
                </wp:positionH>
                <wp:positionV relativeFrom="paragraph">
                  <wp:posOffset>48895</wp:posOffset>
                </wp:positionV>
                <wp:extent cx="2924810" cy="1551940"/>
                <wp:effectExtent l="0" t="0" r="8890" b="10160"/>
                <wp:wrapNone/>
                <wp:docPr id="764867187" name="文本框 1"/>
                <wp:cNvGraphicFramePr/>
                <a:graphic>
                  <a:graphicData uri="http://schemas.microsoft.com/office/word/2010/wordprocessingShape">
                    <ns5:wsp>
                      <ns5:cNvSpPr txBox="1">
                        <a:spLocks noChangeArrowheads="1"/>
                      </ns5:cNvSpPr>
                      <ns5:spPr bwMode="auto">
                        <a:xfrm>
                          <a:off x="0" y="0"/>
                          <a:ext cx="2924810" cy="1551940"/>
                        </a:xfrm>
                        <a:prstGeom prst="rect">
                          <a:avLst/>
                        </a:prstGeom>
                        <a:solidFill>
                          <a:srgbClr val="FFFFFF"/>
                        </a:solidFill>
                        <a:ln>
                          <a:noFill/>
                        </a:ln>
                      </ns5:spPr>
                      <ns5:txb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5:txbx>
                      <ns5:bodyPr rot="0" vert="horz" wrap="square" lIns="91440" tIns="45720" rIns="91440" bIns="45720" anchor="t" anchorCtr="0" upright="1">
                        <a:noAutofit/>
                      </ns5:bodyPr>
                    </ns5:wsp>
                  </a:graphicData>
                </a:graphic>
              </wp:anchor>
            </w:drawing>
          </ns1:Choice>
          <ns1:Fallback>
            <w:pict>
              <ns6:shape id="文本框 1" ns7:spid="_x0000_s1026" ns7:spt="202" type="#_x0000_t202" style="position:absolute;left:0pt;margin-left:18.35pt;margin-top:3.85pt;height:122.2pt;width:230.3pt;z-index:251659264;mso-width-relative:page;mso-height-relative:page;" fillcolor="#FFFFFF" filled="t" stroked="f" coordsize="21600,21600" ns7: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ns6:fill on="t" focussize="0,0"/>
                <ns6:stroke on="f"/>
                <ns6:imagedata ns7:title=""/>
                <ns7:lock ns6:ext="edit" aspectratio="f"/>
                <ns6:textbo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6:textbox>
              </ns6:shape>
            </w:pict>
          </ns1:Fallback>
        </ns1:AlternateContent>
      </w:r>
      <w:r>
        <ns1:AlternateContent>
          <ns1:Choice Requires="wps">
            <w:drawing>
              <wp:anchor distT="0" distB="0" distL="114300" distR="114300" simplePos="0" relativeHeight="251661312" behindDoc="0" locked="0" layoutInCell="1" allowOverlap="1">
                <wp:simplePos x="0" y="0"/>
                <wp:positionH relativeFrom="column">
                  <wp:posOffset>742950</wp:posOffset>
                </wp:positionH>
                <wp:positionV relativeFrom="paragraph">
                  <wp:posOffset>4025900</wp:posOffset>
                </wp:positionV>
                <wp:extent cx="4057015" cy="3639820"/>
                <wp:effectExtent l="0" t="0" r="19685" b="17780"/>
                <wp:wrapTopAndBottom/>
                <wp:docPr id="588002945" name="文本框 3"/>
                <wp:cNvGraphicFramePr/>
                <a:graphic>
                  <a:graphicData uri="http://schemas.microsoft.com/office/word/2010/wordprocessingShape">
                    <ns5:wsp>
                      <ns5:cNvSpPr txBox="1">
                        <a:spLocks noChangeArrowheads="1"/>
                      </ns5:cNvSpPr>
                      <ns5:spPr bwMode="auto">
                        <a:xfrm>
                          <a:off x="0" y="0"/>
                          <a:ext cx="4057015" cy="3639820"/>
                        </a:xfrm>
                        <a:prstGeom prst="rect">
                          <a:avLst/>
                        </a:prstGeom>
                        <a:solidFill>
                          <a:srgbClr val="FFFFFF"/>
                        </a:solidFill>
                        <a:ln w="9525">
                          <a:solidFill>
                            <a:srgbClr val="FFFFFF"/>
                          </a:solidFill>
                          <a:miter lim="800000"/>
                        </a:ln>
                      </ns5:spPr>
                      <ns5:txb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5:txbx>
                      <ns5:bodyPr rot="0" vert="horz" wrap="square" lIns="91440" tIns="45720" rIns="91440" bIns="45720" anchor="t" anchorCtr="0" upright="1">
                        <a:noAutofit/>
                      </ns5:bodyPr>
                    </ns5:wsp>
                  </a:graphicData>
                </a:graphic>
              </wp:anchor>
            </w:drawing>
          </ns1:Choice>
          <ns1:Fallback>
            <w:pict>
              <ns6:shape id="文本框 3" ns7:spid="_x0000_s1026" ns7:spt="202" type="#_x0000_t202" style="position:absolute;left:0pt;margin-left:58.5pt;margin-top:317pt;height:286.6pt;width:319.45pt;mso-wrap-distance-bottom:0pt;mso-wrap-distance-top:0pt;z-index:251661312;mso-width-relative:page;mso-height-relative:page;" fillcolor="#FFFFFF" filled="t" stroked="t" coordsize="21600,21600" ns7: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ns6:fill on="t" focussize="0,0"/>
                <ns6:stroke color="#FFFFFF" miterlimit="8" joinstyle="miter"/>
                <ns6:imagedata ns7:title=""/>
                <ns7:lock ns6:ext="edit" aspectratio="f"/>
                <ns6:textbo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6:textbox>
                <ns8:wrap type="topAndBottom"/>
              </ns6:shape>
            </w:pict>
          </ns1:Fallback>
        </ns1:AlternateContent>
      </w:r>
      <w:r>
        <ns1:AlternateContent>
          <ns1:Choice Requires="wps">
            <w:drawing>
              <wp:anchor distT="0" distB="0" distL="114300" distR="114300" simplePos="0" relativeHeight="251662336" behindDoc="0" locked="0" layoutInCell="1" allowOverlap="1">
                <wp:simplePos x="0" y="0"/>
                <wp:positionH relativeFrom="column">
                  <wp:posOffset>812800</wp:posOffset>
                </wp:positionH>
                <wp:positionV relativeFrom="paragraph">
                  <wp:posOffset>8096250</wp:posOffset>
                </wp:positionV>
                <wp:extent cx="3891280" cy="447675"/>
                <wp:effectExtent l="0" t="0" r="13970" b="9525"/>
                <wp:wrapNone/>
                <wp:docPr id="35" name="文本框 2"/>
                <wp:cNvGraphicFramePr/>
                <a:graphic>
                  <a:graphicData uri="http://schemas.microsoft.com/office/word/2010/wordprocessingShape">
                    <ns5:wsp>
                      <ns5:cNvSpPr txBox="1">
                        <a:spLocks noChangeArrowheads="1"/>
                      </ns5:cNvSpPr>
                      <ns5:spPr bwMode="auto">
                        <a:xfrm>
                          <a:off x="0" y="0"/>
                          <a:ext cx="3891280" cy="447675"/>
                        </a:xfrm>
                        <a:prstGeom prst="rect">
                          <a:avLst/>
                        </a:prstGeom>
                        <a:noFill/>
                        <a:ln>
                          <a:noFill/>
                        </a:ln>
                      </ns5:spPr>
                      <ns5:txbx>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5:txbx>
                      <ns5:bodyPr rot="0" vert="horz" wrap="square" lIns="0" tIns="0" rIns="0" bIns="0" anchor="t" anchorCtr="0" upright="1">
                        <a:noAutofit/>
                      </ns5:bodyPr>
                    </ns5:wsp>
                  </a:graphicData>
                </a:graphic>
              </wp:anchor>
            </w:drawing>
          </ns1:Choice>
          <ns1:Fallback>
            <w:pict>
              <ns6:shape id="文本框 2" ns7:spid="_x0000_s1026" ns7:spt="202" type="#_x0000_t202" style="position:absolute;left:0pt;margin-left:64pt;margin-top:637.5pt;height:35.25pt;width:306.4pt;z-index:251662336;mso-width-relative:page;mso-height-relative:page;" filled="f" stroked="f" coordsize="21600,21600" ns7: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ns6:fill on="f" focussize="0,0"/>
                <ns6:stroke on="f"/>
                <ns6:imagedata ns7:title=""/>
                <ns7:lock ns6:ext="edit" aspectratio="f"/>
                <ns6:textbox inset="0mm,0mm,0mm,0mm">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6:textbox>
              </ns6:shape>
            </w:pict>
          </ns1:Fallback>
        </ns1:AlternateContent>
      </w:r>
    </w:p>
    <w:p ns2:paraId="6A609F38">
      <w:pPr>
        <w:tabs>
          <w:tab w:val="left" w:pos="709"/>
        </w:tabs>
      </w:pPr>
      <w:bookmarkStart w:id="0" w:name="_Toc15125"/>
    </w:p>
    <w:p ns2:paraId="0722E6FD">
      <w:pPr>
        <w:tabs>
          <w:tab w:val="left" w:pos="709"/>
        </w:tabs>
      </w:pPr>
    </w:p>
    <w:p ns2: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rPr>
        <w:tab/>
      </w:r>
    </w:p>
    <w:bookmarkEnd w:id="0"/>
    <w:p ns2:paraId="16EE665A">
      <w:pPr>
        <w:spacing w:line="360" w:lineRule="auto"/>
        <w:ind w:firstLine="560"/>
        <w:jc w:val="center"/>
        <w:rPr>
          <w:rFonts w:hint="eastAsia" w:ascii="黑体" w:hAnsi="黑体" w:eastAsia="黑体" w:cs="黑体"/>
          <w:sz w:val="28"/>
          <w:szCs w:val="21"/>
        </w:rPr>
      </w:pPr>
      <w:r>
        <w:t xml:space="preserve">海图综合态势展示设计方案报告</w:t>
      </w:r>
    </w:p>
    <w:p ns2:paraId="52D93960">
      <w:pPr>
        <w:keepNext/>
        <w:keepLines/>
        <w:numPr>
          <w:ilvl w:val="0"/>
          <w:numId w:val="11"/>
        </w:numPr>
        <w:tabs>
          <w:tab w:val="left" w:pos="0"/>
        </w:tabs>
        <w:spacing w:line="360" w:lineRule="auto"/>
        <w:outlineLvl w:val="0"/>
        <w:rPr>
          <w:rFonts w:ascii="Calibri" w:hAnsi="Calibri" w:eastAsia="黑体"/>
          <w:bCs/>
          <w:kern w:val="44"/>
          <w:sz w:val="30"/>
          <w:szCs w:val="44"/>
        </w:rPr>
      </w:pPr>
      <w:bookmarkStart w:id="1" w:name="_Toc7618"/>
      <w:r>
        <w:rPr>
          <w:rFonts w:hint="eastAsia" w:ascii="Calibri" w:hAnsi="Calibri" w:eastAsia="黑体"/>
          <w:bCs/>
          <w:kern w:val="44"/>
          <w:sz w:val="30"/>
          <w:szCs w:val="44"/>
        </w:rPr>
        <w:t>概述</w:t>
      </w:r>
      <w:bookmarkEnd w:id="1"/>
    </w:p>
    <w:p ns2:paraId="1F68F351">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2" w:name="_Toc28687"/>
      <w:bookmarkStart w:id="3" w:name="_Toc23575"/>
      <w:r>
        <w:rPr>
          <w:rFonts w:hint="eastAsia" w:ascii="黑体" w:hAnsi="黑体" w:eastAsia="黑体" w:cs="黑体"/>
          <w:sz w:val="28"/>
          <w:szCs w:val="32"/>
          <w:lang w:val="en-US" w:eastAsia="zh-CN"/>
        </w:rPr>
        <w:t>编写目的</w:t>
      </w:r>
      <w:bookmarkEnd w:id="2"/>
      <w:bookmarkEnd w:id="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编写目的根据结构化需求事实源生成，内容应保持对海图综合态势展示-标准符合性, 海图综合态势展示, AIS/雷达等目标信息的处理与显示, 航线规划, 安全等深线与水深告警, 航行监控导航与安全预警, 个性化...的可追溯关系。</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该本地草稿仅用于离线流程验证；生产正文应通过 llm_client.call_llm_api() 生成。</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技术方案对需求应具备全面性、准确性、充分性。，本章节按方案撰写要求进行扩写：技术方案对需求应具备全面性、准确性、充分性。。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系统总体、业务、逻辑、技术、数据架构设计需具备全面性、合理性，本章节按方案撰写要求进行扩写：系统总体、业务、逻辑、技术、数据架构设计需具备全面性、合理性，以及配置灵活性。。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系统接口理解的准确性、数据交互设计应具备合理性。，本章节按方案撰写要求进行扩写：系统接口理解的准确性、数据交互设计应具备合理性。。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提供但不限于以下工具，本章节按方案撰写要求进行扩写：提供但不限于以下工具：软件开发、需求分析、软件设计、软件测试工具。。方案内容应结合本节相关技术需求展开设计说明，明确响应思路、实现路径、约束边界和复核要求，避免引入未在权威 Markdown 中给出的人员、资质、价格、业绩等确定性事实。</w:t>
      </w:r>
    </w:p>
    <w:p ns2:paraId="01AEADAA">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4" w:name="_Toc18778"/>
      <w:bookmarkStart w:id="5" w:name="_Toc22801"/>
      <w:bookmarkStart w:id="6" w:name="_Ref8741"/>
      <w:r>
        <w:rPr>
          <w:rFonts w:hint="eastAsia" w:ascii="黑体" w:hAnsi="黑体" w:eastAsia="黑体" w:cs="黑体"/>
          <w:sz w:val="28"/>
          <w:szCs w:val="32"/>
          <w:lang w:val="en-US" w:eastAsia="zh-CN"/>
        </w:rPr>
        <w:t>建设内容</w:t>
      </w:r>
      <w:bookmarkEnd w:id="4"/>
      <w:bookmarkEnd w:id="5"/>
      <w:bookmarkEnd w:id="6"/>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建设内容根据结构化需求事实源生成，内容应保持对海图综合态势展示-标准符合性, 海图综合态势展示, AIS/雷达等目标信息的处理与显示, 航线规划, 安全等深线与水深告警, 航行监控导航与安全预警, 个性化...的可追溯关系。</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该本地草稿仅用于离线流程验证；生产正文应通过 llm_client.call_llm_api() 生成。</w:t>
      </w:r>
    </w:p>
    <w:p ns2:paraId="18B5BD15">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7" w:name="_Toc2684"/>
      <w:bookmarkStart w:id="8" w:name="_Toc13326"/>
      <w:bookmarkStart w:id="9" w:name="_Ref1416"/>
      <w:bookmarkStart w:id="10" w:name="_Ref3127"/>
      <w:r>
        <w:rPr>
          <w:rFonts w:hint="eastAsia" w:ascii="黑体" w:hAnsi="黑体" w:eastAsia="黑体" w:cs="黑体"/>
          <w:sz w:val="28"/>
          <w:szCs w:val="32"/>
          <w:lang w:val="en-US" w:eastAsia="zh-CN"/>
        </w:rPr>
        <w:t>编写依据</w:t>
      </w:r>
      <w:bookmarkEnd w:id="7"/>
      <w:bookmarkEnd w:id="8"/>
      <w:bookmarkEnd w:id="9"/>
      <w:bookmarkEnd w:id="10"/>
    </w:p>
    <w:p ns2:paraId="79A0DB48">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引用规范和标准如下所示。</w:t>
      </w:r>
    </w:p>
    <w:p ns2:paraId="6ECA54C5">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ns2:ligatures ns2:val="none"/>
        </w:rPr>
      </w:pPr>
      <w:r>
        <w:rPr>
          <w:rFonts w:hint="eastAsia" w:ascii="Times New Roman" w:hAnsi="Times New Roman" w:eastAsia="宋体" w:cs="Times New Roman"/>
          <w:color w:val="auto"/>
          <w:sz w:val="24"/>
          <w:szCs w:val="24"/>
          <w:lang w:val="en-US" w:eastAsia="zh-CN"/>
          <ns2:ligatures ns2:val="none"/>
        </w:rPr>
        <w:t>参照表</w:t>
      </w:r>
    </w:p>
    <w:tbl>
      <w:tblPr>
        <w:tblStyle w:val="25"/>
        <w:tblW w:w="5000" w:type="pct"/>
        <w:jc w:val="center"/>
        <w:tblLayout w:type="fixed"/>
        <w:tblCellMar>
          <w:top w:w="0" w:type="dxa"/>
          <w:left w:w="108" w:type="dxa"/>
          <w:bottom w:w="0" w:type="dxa"/>
          <w:right w:w="108" w:type="dxa"/>
        </w:tblCellMar>
      </w:tblPr>
      <w:tblGrid>
        <w:gridCol w:w="745"/>
        <w:gridCol w:w="2242"/>
        <w:gridCol w:w="4570"/>
        <w:gridCol w:w="965"/>
      </w:tblGrid>
      <w:tr ns2:paraId="40F6FC99">
        <w:tblPrEx>
          <w:tblCellMar>
            <w:top w:w="0" w:type="dxa"/>
            <w:left w:w="108" w:type="dxa"/>
            <w:bottom w:w="0" w:type="dxa"/>
            <w:right w:w="108" w:type="dxa"/>
          </w:tblCellMar>
        </w:tblPrEx>
        <w:trPr>
          <w:trHeight w:val="600" w:hRule="atLeast"/>
          <w:tblHeader/>
          <w:jc w:val="center"/>
        </w:trPr>
        <w:tc>
          <w:tcPr>
            <w:tcW w:w="437" w:type="pct"/>
            <w:tcBorders>
              <w:top w:val="single" w:color="000000" w:sz="12" w:space="0"/>
              <w:left w:val="single" w:color="000000" w:sz="12" w:space="0"/>
              <w:bottom w:val="single" w:color="000000" w:sz="12" w:space="0"/>
              <w:right w:val="single" w:color="000000" w:sz="8" w:space="0"/>
            </w:tcBorders>
            <w:vAlign w:val="center"/>
          </w:tcPr>
          <w:p ns2:paraId="7B362AF5">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bookmarkStart w:id="11" w:name="_Hlk205283058"/>
            <w:r>
              <w:rPr>
                <w:rFonts w:hint="eastAsia" w:ascii="Times New Roman" w:hAnsi="Times New Roman" w:eastAsia="宋体" w:cs="Times New Roman"/>
                <w:b/>
                <w:bCs/>
                <w:szCs w:val="24"/>
                <w:lang w:bidi="ar"/>
                <ns2:ligatures ns2:val="none"/>
              </w:rPr>
              <w:t>序 号</w:t>
            </w:r>
          </w:p>
        </w:tc>
        <w:tc>
          <w:tcPr>
            <w:tcW w:w="1315" w:type="pct"/>
            <w:tcBorders>
              <w:top w:val="single" w:color="000000" w:sz="12" w:space="0"/>
              <w:left w:val="nil"/>
              <w:bottom w:val="single" w:color="000000" w:sz="12" w:space="0"/>
              <w:right w:val="single" w:color="000000" w:sz="8" w:space="0"/>
            </w:tcBorders>
            <w:vAlign w:val="center"/>
          </w:tcPr>
          <w:p ns2:paraId="4D5EC2C8">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标  识</w:t>
            </w:r>
          </w:p>
        </w:tc>
        <w:tc>
          <w:tcPr>
            <w:tcW w:w="2681" w:type="pct"/>
            <w:tcBorders>
              <w:top w:val="single" w:color="000000" w:sz="12" w:space="0"/>
              <w:left w:val="nil"/>
              <w:bottom w:val="single" w:color="000000" w:sz="12" w:space="0"/>
              <w:right w:val="single" w:color="000000" w:sz="8" w:space="0"/>
            </w:tcBorders>
            <w:vAlign w:val="center"/>
          </w:tcPr>
          <w:p ns2:paraId="05B1D7D9">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名  称</w:t>
            </w:r>
          </w:p>
        </w:tc>
        <w:tc>
          <w:tcPr>
            <w:tcW w:w="566" w:type="pct"/>
            <w:tcBorders>
              <w:top w:val="single" w:color="000000" w:sz="12" w:space="0"/>
              <w:left w:val="nil"/>
              <w:bottom w:val="single" w:color="000000" w:sz="12" w:space="0"/>
              <w:right w:val="single" w:color="000000" w:sz="12" w:space="0"/>
            </w:tcBorders>
            <w:vAlign w:val="center"/>
          </w:tcPr>
          <w:p ns2:paraId="2A76FC5C">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版 本</w:t>
            </w:r>
          </w:p>
        </w:tc>
      </w:tr>
      <w:tr ns2:paraId="39F07F3A">
        <w:tblPrEx>
          <w:tblCellMar>
            <w:top w:w="0" w:type="dxa"/>
            <w:left w:w="108" w:type="dxa"/>
            <w:bottom w:w="0" w:type="dxa"/>
            <w:right w:w="108" w:type="dxa"/>
          </w:tblCellMar>
        </w:tblPrEx>
        <w:trPr>
          <w:trHeight w:val="600" w:hRule="atLeast"/>
          <w:jc w:val="center"/>
        </w:trPr>
        <w:tc>
          <w:tcPr>
            <w:tcW w:w="437" w:type="pct"/>
            <w:tcBorders>
              <w:top w:val="single" w:color="000000" w:sz="12" w:space="0"/>
              <w:left w:val="single" w:color="000000" w:sz="12" w:space="0"/>
              <w:bottom w:val="single" w:color="000000" w:sz="4" w:space="0"/>
              <w:right w:val="single" w:color="000000" w:sz="4" w:space="0"/>
            </w:tcBorders>
            <w:vAlign w:val="center"/>
          </w:tcPr>
          <w:p ns2:paraId="3D1B8D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12" w:space="0"/>
              <w:left w:val="single" w:color="000000" w:sz="4" w:space="0"/>
              <w:bottom w:val="single" w:color="000000" w:sz="4" w:space="0"/>
              <w:right w:val="single" w:color="000000" w:sz="4" w:space="0"/>
            </w:tcBorders>
            <w:vAlign w:val="center"/>
          </w:tcPr>
          <w:p ns2:paraId="1808E8AC">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12" w:space="0"/>
              <w:left w:val="single" w:color="000000" w:sz="4" w:space="0"/>
              <w:bottom w:val="single" w:color="000000" w:sz="4" w:space="0"/>
              <w:right w:val="single" w:color="000000" w:sz="4" w:space="0"/>
            </w:tcBorders>
            <w:vAlign w:val="center"/>
          </w:tcPr>
          <w:p ns2:paraId="17856901">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t xml:space="preserve">海图综合态势展示技术要求</w:t>
            </w:r>
          </w:p>
        </w:tc>
        <w:tc>
          <w:tcPr>
            <w:tcW w:w="566" w:type="pct"/>
            <w:tcBorders>
              <w:top w:val="single" w:color="000000" w:sz="12" w:space="0"/>
              <w:left w:val="single" w:color="000000" w:sz="4" w:space="0"/>
              <w:bottom w:val="single" w:color="000000" w:sz="4" w:space="0"/>
              <w:right w:val="single" w:color="000000" w:sz="12" w:space="0"/>
            </w:tcBorders>
            <w:vAlign w:val="center"/>
          </w:tcPr>
          <w:p ns2:paraId="2787D4C4">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4D68CAB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6D366A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97274AE">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4" w:space="0"/>
              <w:left w:val="single" w:color="000000" w:sz="4" w:space="0"/>
              <w:bottom w:val="single" w:color="000000" w:sz="4" w:space="0"/>
              <w:right w:val="single" w:color="000000" w:sz="4" w:space="0"/>
            </w:tcBorders>
            <w:vAlign w:val="center"/>
          </w:tcPr>
          <w:p ns2:paraId="0BA6E25D">
            <w:pPr>
              <w:widowControl/>
              <w:spacing w:after="0" w:line="240" w:lineRule="auto"/>
              <w:ind w:firstLine="0" w:firstLineChars="0"/>
              <w:jc w:val="left"/>
              <w:textAlignment w:val="center"/>
              <w:rPr>
                <w:rFonts w:hint="default" w:ascii="Times New Roman" w:hAnsi="Times New Roman" w:eastAsia="宋体" w:cs="Times New Roman"/>
                <w:szCs w:val="24"/>
                <w:lang w:val="en-US" w:bidi="ar"/>
                <ns2:ligatures ns2:val="none"/>
              </w:rPr>
            </w:pPr>
            <w:r>
              <w:t xml:space="preserve">海图综合态势展示招标文件</w:t>
            </w:r>
          </w:p>
        </w:tc>
        <w:tc>
          <w:tcPr>
            <w:tcW w:w="566" w:type="pct"/>
            <w:tcBorders>
              <w:top w:val="single" w:color="000000" w:sz="4" w:space="0"/>
              <w:left w:val="single" w:color="000000" w:sz="4" w:space="0"/>
              <w:bottom w:val="single" w:color="000000" w:sz="4" w:space="0"/>
              <w:right w:val="single" w:color="000000" w:sz="12" w:space="0"/>
            </w:tcBorders>
            <w:vAlign w:val="center"/>
          </w:tcPr>
          <w:p ns2:paraId="13A23367">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626689A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6C9DCE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C1656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9001C-2017</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B2A6F0D">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质量管理体系标准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8CE91B3">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2017</w:t>
            </w:r>
          </w:p>
        </w:tc>
      </w:tr>
      <w:tr ns2:paraId="7B61CAC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1A77F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BCFE16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5000B-2021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FD3CE6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军用软件能力成熟度模型</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34656F">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2021</w:t>
            </w:r>
          </w:p>
        </w:tc>
      </w:tr>
      <w:tr ns2:paraId="2F97648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863FF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E4BCEB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9530-2018</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5267E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军用关键软硬件自主可控评估通用准则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341D014B">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2018</w:t>
            </w:r>
          </w:p>
        </w:tc>
      </w:tr>
      <w:tr ns2:paraId="3BFDB8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2EE8D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019FE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ZKB 2100-004-2022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984D19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武器ZB自主可控评估通用准则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22662222">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2022</w:t>
            </w:r>
          </w:p>
        </w:tc>
      </w:tr>
      <w:tr ns2:paraId="3AEE1D4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20F6B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AAECF7A">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GJB439A-2013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AF84A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军用软件质量保证通用要求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A2BB9F">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2013</w:t>
            </w:r>
          </w:p>
        </w:tc>
      </w:tr>
      <w:tr ns2:paraId="09A6066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D56799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5185CF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841A-2024</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33DCAB8">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故障报告、分析和纠正措施系统</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22CD56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2024</w:t>
            </w:r>
          </w:p>
        </w:tc>
      </w:tr>
      <w:tr ns2:paraId="4546730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18BEC7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9C949E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1406A-2021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04B4614">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产品质量保证大纲要求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0367CF3F">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4C5AD1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041AF4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B19A44E">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2786A-2009</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D1D4C7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军用软件开发通用要求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DDE5B15">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eastAsia="宋体" w:cs="Times New Roman"/>
                <w:szCs w:val="24"/>
                <w:lang w:val="en-US" w:eastAsia="zh-CN" w:bidi="ar"/>
                <ns2:ligatures ns2:val="none"/>
              </w:rPr>
              <w:t>2009</w:t>
            </w:r>
          </w:p>
        </w:tc>
      </w:tr>
      <w:tr ns2:paraId="2F81039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AB7B20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30C519">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w:t>
            </w:r>
            <w:r>
              <w:rPr>
                <w:rFonts w:hint="eastAsia" w:ascii="Times New Roman" w:hAnsi="Times New Roman" w:eastAsia="宋体" w:cs="Times New Roman"/>
                <w:szCs w:val="24"/>
                <w:lang w:val="en-US" w:eastAsia="zh-CN" w:bidi="ar"/>
                <ns2:ligatures ns2:val="none"/>
              </w:rPr>
              <w:t xml:space="preserve"> </w:t>
            </w:r>
            <w:r>
              <w:rPr>
                <w:rFonts w:hint="eastAsia" w:ascii="Times New Roman" w:hAnsi="Times New Roman" w:eastAsia="宋体" w:cs="Times New Roman"/>
                <w:szCs w:val="24"/>
                <w:lang w:bidi="ar"/>
                <ns2:ligatures ns2:val="none"/>
              </w:rPr>
              <w:t>5235A-2021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AD17FC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A351C2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CBA3F1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53B9A2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F73B4CB">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GJB 5711</w:t>
            </w:r>
            <w:r>
              <w:rPr>
                <w:rFonts w:hint="eastAsia" w:eastAsia="宋体" w:cs="Times New Roman"/>
                <w:kern w:val="2"/>
                <w:sz w:val="24"/>
                <w:szCs w:val="24"/>
                <w:lang w:val="en-US" w:eastAsia="zh-CN" w:bidi="ar"/>
                <ns2:ligatures ns2:val="none"/>
              </w:rPr>
              <w:t>A</w:t>
            </w:r>
            <w:r>
              <w:rPr>
                <w:rFonts w:hint="eastAsia" w:ascii="Times New Roman" w:hAnsi="Times New Roman" w:eastAsia="宋体" w:cs="Times New Roman"/>
                <w:kern w:val="2"/>
                <w:sz w:val="24"/>
                <w:szCs w:val="24"/>
                <w:lang w:val="en-US" w:eastAsia="zh-CN" w:bidi="ar"/>
                <ns2:ligatures ns2:val="none"/>
              </w:rPr>
              <w:t>-20</w:t>
            </w:r>
            <w:r>
              <w:rPr>
                <w:rFonts w:hint="eastAsia" w:eastAsia="宋体" w:cs="Times New Roman"/>
                <w:kern w:val="2"/>
                <w:sz w:val="24"/>
                <w:szCs w:val="24"/>
                <w:lang w:val="en-US" w:eastAsia="zh-CN" w:bidi="ar"/>
                <ns2:ligatures ns2:val="none"/>
              </w:rPr>
              <w:t>23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834941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eastAsia="宋体" w:cs="Times New Roman"/>
                <w:kern w:val="2"/>
                <w:sz w:val="24"/>
                <w:szCs w:val="24"/>
                <w:lang w:val="en-US" w:eastAsia="zh-CN" w:bidi="ar"/>
                <ns2:ligatures ns2:val="none"/>
              </w:rPr>
              <w:t>装备</w:t>
            </w:r>
            <w:r>
              <w:rPr>
                <w:rFonts w:hint="eastAsia" w:ascii="Times New Roman" w:hAnsi="Times New Roman" w:eastAsia="宋体" w:cs="Times New Roman"/>
                <w:kern w:val="2"/>
                <w:sz w:val="24"/>
                <w:szCs w:val="24"/>
                <w:lang w:val="en-US" w:eastAsia="zh-CN" w:bidi="ar"/>
                <ns2:ligatures ns2:val="none"/>
              </w:rPr>
              <w:t>采购合同监管问题处理通用要求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E3A9DBA">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2006</w:t>
            </w:r>
          </w:p>
        </w:tc>
      </w:tr>
      <w:tr ns2:paraId="392D33A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6B75B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DA8A8A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8000-2013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777AEF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军用软件研制能力等级要求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74968E5C">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2013</w:t>
            </w:r>
          </w:p>
        </w:tc>
      </w:tr>
      <w:tr ns2:paraId="218C40D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285643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3B68BF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3206B-2022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78CE75DD">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技术状态管理</w:t>
            </w:r>
          </w:p>
        </w:tc>
        <w:tc>
          <w:tcPr>
            <w:tcW w:w="566" w:type="pct"/>
            <w:tcBorders>
              <w:top w:val="single" w:color="000000" w:sz="4" w:space="0"/>
              <w:left w:val="single" w:color="000000" w:sz="4" w:space="0"/>
              <w:bottom w:val="single" w:color="000000" w:sz="4" w:space="0"/>
              <w:right w:val="single" w:color="000000" w:sz="12" w:space="0"/>
            </w:tcBorders>
            <w:vAlign w:val="center"/>
          </w:tcPr>
          <w:p ns2:paraId="6A2B87C6">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08736E6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AA1AB0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EC7009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3872A-2022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E35EC5E">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装备综合保障通用要求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999762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2022</w:t>
            </w:r>
          </w:p>
        </w:tc>
      </w:tr>
      <w:tr ns2:paraId="2044691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5C280F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68633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368B-2009</w:t>
            </w:r>
          </w:p>
        </w:tc>
        <w:tc>
          <w:tcPr>
            <w:tcW w:w="2681" w:type="pct"/>
            <w:tcBorders>
              <w:top w:val="single" w:color="000000" w:sz="4" w:space="0"/>
              <w:left w:val="single" w:color="000000" w:sz="4" w:space="0"/>
              <w:bottom w:val="single" w:color="000000" w:sz="4" w:space="0"/>
              <w:right w:val="single" w:color="000000" w:sz="4" w:space="0"/>
            </w:tcBorders>
            <w:vAlign w:val="center"/>
          </w:tcPr>
          <w:p ns2:paraId="572C3AF5">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装备维修性工作通用要求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69252A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2009</w:t>
            </w:r>
          </w:p>
        </w:tc>
      </w:tr>
      <w:tr ns2:paraId="27AD721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F9490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72B29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450B-2021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44196FD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装备可靠性工作通用要求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BDFD8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5FD053F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43135E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C3C8289">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900B-2024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4BFF1912">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装备安全性工作通用要求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E40C0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59080DC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4EB3D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716EB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2547B-2024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0B7428F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装备测试性工作通用要求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743069F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77B692A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A3EF2F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F57AD57">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5880-2006</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D03C9B">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宋体"/>
                <w:szCs w:val="24"/>
                <ns2:ligatures ns2:val="none"/>
              </w:rPr>
              <w:t>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1305DF48">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2006</w:t>
            </w:r>
          </w:p>
        </w:tc>
      </w:tr>
      <w:tr ns2:paraId="318854D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720ED1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53E16AE">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4239A-2022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023F05EF">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装备环境工程通用要求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94DE381">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7F33CAC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452E3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FA4FD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1362A-2007</w:t>
            </w:r>
          </w:p>
        </w:tc>
        <w:tc>
          <w:tcPr>
            <w:tcW w:w="2681" w:type="pct"/>
            <w:tcBorders>
              <w:top w:val="single" w:color="000000" w:sz="4" w:space="0"/>
              <w:left w:val="single" w:color="000000" w:sz="4" w:space="0"/>
              <w:bottom w:val="single" w:color="000000" w:sz="4" w:space="0"/>
              <w:right w:val="single" w:color="000000" w:sz="4" w:space="0"/>
            </w:tcBorders>
            <w:vAlign w:val="center"/>
          </w:tcPr>
          <w:p ns2:paraId="6883C85F">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军工产品定型程序和要求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2E46D7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2007</w:t>
            </w:r>
          </w:p>
        </w:tc>
      </w:tr>
      <w:tr ns2:paraId="5945C8F8">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A8D0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7334BF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6387-2008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41B9FF0C">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武器装备研制项目专用规范编写规定</w:t>
            </w:r>
          </w:p>
        </w:tc>
        <w:tc>
          <w:tcPr>
            <w:tcW w:w="566" w:type="pct"/>
            <w:tcBorders>
              <w:top w:val="single" w:color="000000" w:sz="4" w:space="0"/>
              <w:left w:val="single" w:color="000000" w:sz="4" w:space="0"/>
              <w:bottom w:val="single" w:color="000000" w:sz="4" w:space="0"/>
              <w:right w:val="single" w:color="000000" w:sz="12" w:space="0"/>
            </w:tcBorders>
            <w:vAlign w:val="center"/>
          </w:tcPr>
          <w:p ns2:paraId="2B2D202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2008</w:t>
            </w:r>
          </w:p>
        </w:tc>
      </w:tr>
      <w:tr ns2:paraId="6AC14A8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8E1D49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ACD0A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907A-2006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4BA31DA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产品质量评审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58ACD3A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2006</w:t>
            </w:r>
          </w:p>
        </w:tc>
      </w:tr>
      <w:tr ns2:paraId="369FFA9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B2CCA4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8FB90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GJB</w:t>
            </w:r>
            <w:r>
              <w:rPr>
                <w:rFonts w:hint="eastAsia" w:ascii="Times New Roman" w:hAnsi="Times New Roman" w:eastAsia="宋体" w:cs="宋体"/>
                <w:kern w:val="0"/>
                <w:szCs w:val="24"/>
                <ns2:ligatures ns2:val="none"/>
              </w:rPr>
              <w:t>/</w:t>
            </w:r>
            <w:r>
              <w:rPr>
                <w:rFonts w:ascii="Times New Roman" w:hAnsi="Times New Roman" w:eastAsia="宋体" w:cs="宋体"/>
                <w:kern w:val="0"/>
                <w:szCs w:val="24"/>
                <ns2:ligatures ns2:val="none"/>
              </w:rPr>
              <w:t>Z 171-2013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504FE200">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武器装备研制项目风险管理指南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D55F0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2013</w:t>
            </w:r>
          </w:p>
        </w:tc>
      </w:tr>
      <w:tr ns2:paraId="354A103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43FA66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373DDE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GJB</w:t>
            </w:r>
            <w:r>
              <w:rPr>
                <w:rFonts w:hint="eastAsia" w:ascii="Times New Roman" w:hAnsi="Times New Roman" w:eastAsia="宋体" w:cs="Times New Roman"/>
                <w:szCs w:val="24"/>
                <w:lang w:val="en-US" w:eastAsia="zh-CN"/>
                <ns2:ligatures ns2:val="none"/>
              </w:rPr>
              <w:t xml:space="preserve"> </w:t>
            </w:r>
            <w:r>
              <w:rPr>
                <w:rFonts w:hint="eastAsia" w:ascii="Times New Roman" w:hAnsi="Times New Roman" w:eastAsia="宋体" w:cs="Times New Roman"/>
                <w:szCs w:val="24"/>
                <ns2:ligatures ns2:val="none"/>
              </w:rPr>
              <w:t>2824-1997</w:t>
            </w:r>
          </w:p>
        </w:tc>
        <w:tc>
          <w:tcPr>
            <w:tcW w:w="2681" w:type="pct"/>
            <w:tcBorders>
              <w:top w:val="single" w:color="000000" w:sz="4" w:space="0"/>
              <w:left w:val="single" w:color="000000" w:sz="4" w:space="0"/>
              <w:bottom w:val="single" w:color="000000" w:sz="4" w:space="0"/>
              <w:right w:val="single" w:color="000000" w:sz="4" w:space="0"/>
            </w:tcBorders>
            <w:vAlign w:val="center"/>
          </w:tcPr>
          <w:p ns2:paraId="6DA0536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Times New Roman"/>
                <w:szCs w:val="24"/>
                <ns2:ligatures ns2:val="none"/>
              </w:rPr>
              <w:t>军用数据安全要求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650D952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1997</w:t>
            </w:r>
          </w:p>
        </w:tc>
      </w:tr>
      <w:tr ns2:paraId="54B111F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145F35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20CFA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5236-2004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F92CF9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军用软件质量度量</w:t>
            </w:r>
          </w:p>
        </w:tc>
        <w:tc>
          <w:tcPr>
            <w:tcW w:w="566" w:type="pct"/>
            <w:tcBorders>
              <w:top w:val="single" w:color="000000" w:sz="4" w:space="0"/>
              <w:left w:val="single" w:color="000000" w:sz="4" w:space="0"/>
              <w:bottom w:val="single" w:color="000000" w:sz="4" w:space="0"/>
              <w:right w:val="single" w:color="000000" w:sz="12" w:space="0"/>
            </w:tcBorders>
            <w:vAlign w:val="center"/>
          </w:tcPr>
          <w:p ns2:paraId="7611C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22BE73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2B7E35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9638AB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GJB/Z102A-2012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04A6B19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军用软件安全性设计指南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33CB7F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334B797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3D0577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5FAC72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5D9B6C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52A3C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2B6B2D9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9C49E5">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1158A0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GJB/Z69-1994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0EE7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军用标准的选用和剪裁导则</w:t>
            </w:r>
          </w:p>
        </w:tc>
        <w:tc>
          <w:tcPr>
            <w:tcW w:w="566" w:type="pct"/>
            <w:tcBorders>
              <w:top w:val="single" w:color="000000" w:sz="4" w:space="0"/>
              <w:left w:val="single" w:color="000000" w:sz="4" w:space="0"/>
              <w:bottom w:val="single" w:color="000000" w:sz="4" w:space="0"/>
              <w:right w:val="single" w:color="000000" w:sz="12" w:space="0"/>
            </w:tcBorders>
            <w:vAlign w:val="center"/>
          </w:tcPr>
          <w:p ns2:paraId="7844A67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1994</w:t>
            </w:r>
          </w:p>
        </w:tc>
      </w:tr>
      <w:tr ns2:paraId="6CFCD59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23822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0DAFD8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1A4B876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01B807F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tr ns2:paraId="00AB4DE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34ED3D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6C7EBF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GJB/Z114A-2015</w:t>
            </w:r>
          </w:p>
        </w:tc>
        <w:tc>
          <w:tcPr>
            <w:tcW w:w="2681" w:type="pct"/>
            <w:tcBorders>
              <w:top w:val="single" w:color="000000" w:sz="4" w:space="0"/>
              <w:left w:val="single" w:color="000000" w:sz="4" w:space="0"/>
              <w:bottom w:val="single" w:color="000000" w:sz="4" w:space="0"/>
              <w:right w:val="single" w:color="000000" w:sz="4" w:space="0"/>
            </w:tcBorders>
            <w:vAlign w:val="center"/>
          </w:tcPr>
          <w:p ns2:paraId="0330972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产品标准化大纲编制指南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2FF78CA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2015</w:t>
            </w:r>
          </w:p>
        </w:tc>
      </w:tr>
      <w:tr ns2:paraId="5B1D52F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B2FA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53916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438C-2021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76564B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军用软件开发文档通用要求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D6F4D9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32984D7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176B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704C35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1268A-2004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0AE271D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军用软件验收要求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328B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0C24A4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DDA59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276D10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2434A-2004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1DEF65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军用软件产品评价</w:t>
            </w:r>
          </w:p>
        </w:tc>
        <w:tc>
          <w:tcPr>
            <w:tcW w:w="566" w:type="pct"/>
            <w:tcBorders>
              <w:top w:val="single" w:color="000000" w:sz="4" w:space="0"/>
              <w:left w:val="single" w:color="000000" w:sz="4" w:space="0"/>
              <w:bottom w:val="single" w:color="000000" w:sz="4" w:space="0"/>
              <w:right w:val="single" w:color="000000" w:sz="12" w:space="0"/>
            </w:tcBorders>
            <w:vAlign w:val="center"/>
          </w:tcPr>
          <w:p ns2:paraId="09318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33E1DEE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34962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D0B977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2694-1996</w:t>
            </w:r>
          </w:p>
        </w:tc>
        <w:tc>
          <w:tcPr>
            <w:tcW w:w="2681" w:type="pct"/>
            <w:tcBorders>
              <w:top w:val="single" w:color="000000" w:sz="4" w:space="0"/>
              <w:left w:val="single" w:color="000000" w:sz="4" w:space="0"/>
              <w:bottom w:val="single" w:color="000000" w:sz="4" w:space="0"/>
              <w:right w:val="single" w:color="000000" w:sz="4" w:space="0"/>
            </w:tcBorders>
            <w:vAlign w:val="center"/>
          </w:tcPr>
          <w:p ns2:paraId="094BDA8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w:t>
            </w:r>
          </w:p>
        </w:tc>
        <w:tc>
          <w:tcPr>
            <w:tcW w:w="566" w:type="pct"/>
            <w:tcBorders>
              <w:top w:val="single" w:color="000000" w:sz="4" w:space="0"/>
              <w:left w:val="single" w:color="000000" w:sz="4" w:space="0"/>
              <w:bottom w:val="single" w:color="000000" w:sz="4" w:space="0"/>
              <w:right w:val="single" w:color="000000" w:sz="12" w:space="0"/>
            </w:tcBorders>
            <w:vAlign w:val="center"/>
          </w:tcPr>
          <w:p ns2:paraId="443D1D1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1996</w:t>
            </w:r>
          </w:p>
        </w:tc>
      </w:tr>
      <w:tr ns2:paraId="098A82E5">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565923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8781FC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3181a-2020</w:t>
            </w:r>
          </w:p>
        </w:tc>
        <w:tc>
          <w:tcPr>
            <w:tcW w:w="2681" w:type="pct"/>
            <w:tcBorders>
              <w:top w:val="single" w:color="000000" w:sz="4" w:space="0"/>
              <w:left w:val="single" w:color="000000" w:sz="4" w:space="0"/>
              <w:bottom w:val="single" w:color="000000" w:sz="4" w:space="0"/>
              <w:right w:val="single" w:color="000000" w:sz="4" w:space="0"/>
            </w:tcBorders>
            <w:vAlign w:val="center"/>
          </w:tcPr>
          <w:p ns2:paraId="3EF013C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军用软件支持环境选用要求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5F248A6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2020</w:t>
            </w:r>
          </w:p>
        </w:tc>
      </w:tr>
      <w:tr ns2:paraId="3EEC14E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33F55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12A9041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5234-2004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75864AB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军用软件验证和确认</w:t>
            </w:r>
          </w:p>
        </w:tc>
        <w:tc>
          <w:tcPr>
            <w:tcW w:w="566" w:type="pct"/>
            <w:tcBorders>
              <w:top w:val="single" w:color="000000" w:sz="4" w:space="0"/>
              <w:left w:val="single" w:color="000000" w:sz="4" w:space="0"/>
              <w:bottom w:val="single" w:color="000000" w:sz="4" w:space="0"/>
              <w:right w:val="single" w:color="000000" w:sz="12" w:space="0"/>
            </w:tcBorders>
            <w:vAlign w:val="center"/>
          </w:tcPr>
          <w:p ns2:paraId="4B132AE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7F49718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82DFB1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4CAA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5716-2006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745EFB1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军用软件开发库、受控库和产品库通用要求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879D16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2006</w:t>
            </w:r>
          </w:p>
        </w:tc>
      </w:tr>
      <w:tr ns2:paraId="7782A84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143D34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AF5CEA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7708-2012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53A3A6E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军用数据库管理系统应用编程接口</w:t>
            </w:r>
          </w:p>
        </w:tc>
        <w:tc>
          <w:tcPr>
            <w:tcW w:w="566" w:type="pct"/>
            <w:tcBorders>
              <w:top w:val="single" w:color="000000" w:sz="4" w:space="0"/>
              <w:left w:val="single" w:color="000000" w:sz="4" w:space="0"/>
              <w:bottom w:val="single" w:color="000000" w:sz="4" w:space="0"/>
              <w:right w:val="single" w:color="000000" w:sz="12" w:space="0"/>
            </w:tcBorders>
            <w:vAlign w:val="center"/>
          </w:tcPr>
          <w:p ns2:paraId="4C38116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58B3A47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B443A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AD5ED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8114-2013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279976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C/C++语言编程安全子集</w:t>
            </w:r>
          </w:p>
        </w:tc>
        <w:tc>
          <w:tcPr>
            <w:tcW w:w="566" w:type="pct"/>
            <w:tcBorders>
              <w:top w:val="single" w:color="000000" w:sz="4" w:space="0"/>
              <w:left w:val="single" w:color="000000" w:sz="4" w:space="0"/>
              <w:bottom w:val="single" w:color="000000" w:sz="4" w:space="0"/>
              <w:right w:val="single" w:color="000000" w:sz="12" w:space="0"/>
            </w:tcBorders>
            <w:vAlign w:val="center"/>
          </w:tcPr>
          <w:p ns2:paraId="4C8906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2013</w:t>
            </w:r>
          </w:p>
        </w:tc>
      </w:tr>
      <w:tr ns2:paraId="76BB8506">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DC5E87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57A8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78277C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B8BF6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A5F069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7BC509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40469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142-2004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140D7B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军用软件安全性分析指南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AB35B2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5A40CF4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2C9F44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996C11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161-2012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606BBC4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军用软件可靠性评估指南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EF588E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6792E89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63381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3FECBB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467A-2008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67F428F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生产提供过程质量控制</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34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2008</w:t>
            </w:r>
          </w:p>
        </w:tc>
      </w:tr>
      <w:tr ns2:paraId="7152C9A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EBB2EA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497E17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1310A-2004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67E6C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设计评审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51705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F8CB2C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31DB98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8357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72-1995</w:t>
            </w:r>
          </w:p>
        </w:tc>
        <w:tc>
          <w:tcPr>
            <w:tcW w:w="2681" w:type="pct"/>
            <w:tcBorders>
              <w:top w:val="single" w:color="000000" w:sz="4" w:space="0"/>
              <w:left w:val="single" w:color="000000" w:sz="4" w:space="0"/>
              <w:bottom w:val="single" w:color="000000" w:sz="4" w:space="0"/>
              <w:right w:val="single" w:color="000000" w:sz="4" w:space="0"/>
            </w:tcBorders>
            <w:vAlign w:val="center"/>
          </w:tcPr>
          <w:p ns2:paraId="60FCC6B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可靠性维修性评审指南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03CCFBB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1995</w:t>
            </w:r>
          </w:p>
        </w:tc>
      </w:tr>
      <w:tr ns2:paraId="002361E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B7AA9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97A030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29D2E60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C075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bookmarkEnd w:id="11"/>
    </w:tbl>
    <w:p ns2:paraId="2496C3C2">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ns2:ligatures ns2:val="none"/>
        </w:rPr>
      </w:pPr>
    </w:p>
    <w:p ns2:paraId="2E5369EF">
      <w:pPr>
        <w:keepNext/>
        <w:keepLines/>
        <w:numPr>
          <w:ilvl w:val="0"/>
          <w:numId w:val="11"/>
        </w:numPr>
        <w:tabs>
          <w:tab w:val="left" w:pos="0"/>
        </w:tabs>
        <w:spacing w:line="360" w:lineRule="auto"/>
        <w:outlineLvl w:val="0"/>
        <w:rPr>
          <w:rFonts w:hint="eastAsia" w:ascii="Calibri" w:hAnsi="Calibri" w:eastAsia="黑体"/>
          <w:bCs/>
          <w:kern w:val="44"/>
          <w:sz w:val="30"/>
          <w:szCs w:val="44"/>
        </w:rPr>
      </w:pPr>
      <w:bookmarkStart w:id="12" w:name="_Toc31630"/>
      <w:r>
        <w:rPr>
          <w:rFonts w:hint="eastAsia" w:ascii="Calibri" w:hAnsi="Calibri" w:eastAsia="黑体"/>
          <w:bCs/>
          <w:kern w:val="44"/>
          <w:sz w:val="30"/>
          <w:szCs w:val="44"/>
        </w:rPr>
        <w:t>需求分析</w:t>
      </w:r>
      <w:bookmarkEnd w:id="12"/>
    </w:p>
    <w:p ns2:paraId="1D922D5B">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功能要求</w:t>
      </w:r>
    </w:p>
    <w:p>
      <w:pPr>
        <w:spacing w:line="360" w:lineRule="auto"/>
        <w:ind w:firstLine="480" w:firstLineChars="200"/>
        <w:rPr>
          <w:rFonts w:hint="eastAsia"/>
          <w:lang w:val="en-US" w:eastAsia="zh-CN"/>
        </w:rPr>
      </w:pPr>
      <w:r>
        <w:t xml:space="preserve">T001 标准符合性：核心显示与操作需符合IEC 61174-2015、IEC 62288-2024、GB/T 43053-2023；海图数据处理需符合IHO S-57 3.1版、IHO S-63 1.2版、IHO S-52 6.1版及IHO S-52 PresLib 4.0版标准。</w:t>
      </w:r>
    </w:p>
    <w:p>
      <w:pPr>
        <w:spacing w:line="360" w:lineRule="auto"/>
        <w:ind w:firstLine="480" w:firstLineChars="200"/>
        <w:rPr>
          <w:rFonts w:hint="eastAsia"/>
          <w:lang w:val="en-US" w:eastAsia="zh-CN"/>
        </w:rPr>
      </w:pPr>
      <w:r>
        <w:t xml:space="preserve">T002 接入并展示标准电子海图（S-57/S-63），支持海图自动匹配、选择、缩放、漫游、图层控制（基础/标准/全部），可开关显示特定要素。</w:t>
      </w:r>
    </w:p>
    <w:p>
      <w:pPr>
        <w:spacing w:line="360" w:lineRule="auto"/>
        <w:ind w:firstLine="480" w:firstLineChars="200"/>
        <w:rPr>
          <w:rFonts w:hint="eastAsia"/>
          <w:lang w:val="en-US" w:eastAsia="zh-CN"/>
        </w:rPr>
      </w:pPr>
      <w:r>
        <w:t xml:space="preserve">T003 支持IMO要求的多种配色模式（白天、黄昏、夜晚），夜间模式亮度需符合规范。</w:t>
      </w:r>
    </w:p>
    <w:p>
      <w:pPr>
        <w:spacing w:line="360" w:lineRule="auto"/>
        <w:ind w:firstLine="480" w:firstLineChars="200"/>
        <w:rPr>
          <w:rFonts w:hint="eastAsia"/>
          <w:lang w:val="en-US" w:eastAsia="zh-CN"/>
        </w:rPr>
      </w:pPr>
      <w:r>
        <w:t xml:space="preserve">T004 支持“正北向上”和“船艏向上”模式切换，以及“真实位移”和“相对位移”模式。</w:t>
      </w:r>
    </w:p>
    <w:p>
      <w:pPr>
        <w:spacing w:line="360" w:lineRule="auto"/>
        <w:ind w:firstLine="480" w:firstLineChars="200"/>
        <w:rPr>
          <w:rFonts w:hint="eastAsia"/>
          <w:lang w:val="en-US" w:eastAsia="zh-CN"/>
        </w:rPr>
      </w:pPr>
      <w:r>
        <w:t xml:space="preserve">T005 基于OpenGL技术实现雷达回波图像在电子海图上的实时叠加，集成并处理来自雷达、AIS、ARPA等导航设备的动态数据。</w:t>
      </w:r>
    </w:p>
    <w:p>
      <w:pPr>
        <w:spacing w:line="360" w:lineRule="auto"/>
        <w:ind w:firstLine="480" w:firstLineChars="200"/>
        <w:rPr>
          <w:rFonts w:hint="eastAsia"/>
          <w:lang w:val="en-US" w:eastAsia="zh-CN"/>
        </w:rPr>
      </w:pPr>
      <w:r>
        <w:t xml:space="preserve">T006 将AIS目标符号、雷达回波、ARPA跟踪目标与本船符号，准确叠加在电子海图上的相应地理位置。</w:t>
      </w:r>
    </w:p>
    <w:p>
      <w:pPr>
        <w:spacing w:line="360" w:lineRule="auto"/>
        <w:ind w:firstLine="480" w:firstLineChars="200"/>
        <w:rPr>
          <w:rFonts w:hint="eastAsia"/>
          <w:lang w:val="en-US" w:eastAsia="zh-CN"/>
        </w:rPr>
      </w:pPr>
      <w:r>
        <w:t xml:space="preserve">T007 可选显示AIS目标船舶的关键信息（航向、航速、船名、MMSI等）和ARPA跟踪预测信息。</w:t>
      </w:r>
    </w:p>
    <w:p>
      <w:pPr>
        <w:spacing w:line="360" w:lineRule="auto"/>
        <w:ind w:firstLine="480" w:firstLineChars="200"/>
        <w:rPr>
          <w:rFonts w:hint="eastAsia"/>
          <w:lang w:val="en-US" w:eastAsia="zh-CN"/>
        </w:rPr>
      </w:pPr>
      <w:r>
        <w:t xml:space="preserve">T008 支持叠加显示自定义GIS要素，如电子围栏、风险区域等。</w:t>
      </w:r>
    </w:p>
    <w:p>
      <w:pPr>
        <w:spacing w:line="360" w:lineRule="auto"/>
        <w:ind w:firstLine="480" w:firstLineChars="200"/>
        <w:rPr>
          <w:rFonts w:hint="eastAsia"/>
          <w:lang w:val="en-US" w:eastAsia="zh-CN"/>
        </w:rPr>
      </w:pPr>
      <w:r>
        <w:t xml:space="preserve">T009 可叠加显示潮汐、海流、气象信息以及海道测量局发布的临时通告（AIO等）。</w:t>
      </w:r>
    </w:p>
    <w:p>
      <w:pPr>
        <w:spacing w:line="360" w:lineRule="auto"/>
        <w:ind w:firstLine="480" w:firstLineChars="200"/>
        <w:rPr>
          <w:rFonts w:hint="eastAsia"/>
          <w:lang w:val="en-US" w:eastAsia="zh-CN"/>
        </w:rPr>
      </w:pPr>
      <w:r>
        <w:t xml:space="preserve">T010 支持手动或自动航线设计，允许灵活地添加、删除、拖动、排序航向点和航段。</w:t>
      </w:r>
    </w:p>
    <w:p>
      <w:pPr>
        <w:spacing w:line="360" w:lineRule="auto"/>
        <w:ind w:firstLine="480" w:firstLineChars="200"/>
        <w:rPr>
          <w:rFonts w:hint="eastAsia"/>
          <w:lang w:val="en-US" w:eastAsia="zh-CN"/>
        </w:rPr>
      </w:pPr>
      <w:r>
        <w:t xml:space="preserve">T011 自动执行航线安全检查，在规划阶段提示航线段是否穿过浅水、禁航区或接近危险物。</w:t>
      </w:r>
    </w:p>
    <w:p>
      <w:pPr>
        <w:spacing w:line="360" w:lineRule="auto"/>
        <w:ind w:firstLine="480" w:firstLineChars="200"/>
        <w:rPr>
          <w:rFonts w:hint="eastAsia"/>
          <w:lang w:val="en-US" w:eastAsia="zh-CN"/>
        </w:rPr>
      </w:pPr>
      <w:r>
        <w:t xml:space="preserve">T012 允许用户为航线设定安全参数，包括吃水、安全等深线、偏航阈值（XTD）、船舶尺寸等。</w:t>
      </w:r>
    </w:p>
    <w:p>
      <w:pPr>
        <w:spacing w:line="360" w:lineRule="auto"/>
        <w:ind w:firstLine="480" w:firstLineChars="200"/>
        <w:rPr>
          <w:rFonts w:hint="eastAsia"/>
          <w:lang w:val="en-US" w:eastAsia="zh-CN"/>
        </w:rPr>
      </w:pPr>
      <w:r>
        <w:t xml:space="preserve">T013 具备航行计算能力，包括两个地理位置间的真距离和方位、航行时间估算（ETA）。</w:t>
      </w:r>
    </w:p>
    <w:p>
      <w:pPr>
        <w:spacing w:line="360" w:lineRule="auto"/>
        <w:ind w:firstLine="480" w:firstLineChars="200"/>
        <w:rPr>
          <w:rFonts w:hint="eastAsia"/>
          <w:lang w:val="en-US" w:eastAsia="zh-CN"/>
        </w:rPr>
      </w:pPr>
      <w:r>
        <w:t xml:space="preserve">T014 实时叠加船舶位置（基于GPS/DGPS），连续监控船舶是否严格按照计划航线行驶。</w:t>
      </w:r>
    </w:p>
    <w:p>
      <w:pPr>
        <w:spacing w:line="360" w:lineRule="auto"/>
        <w:ind w:firstLine="480" w:firstLineChars="200"/>
        <w:rPr>
          <w:rFonts w:hint="eastAsia"/>
          <w:lang w:val="en-US" w:eastAsia="zh-CN"/>
        </w:rPr>
      </w:pPr>
      <w:r>
        <w:t xml:space="preserve">T015 具备连续记录并存储历史航迹、船位、速度、航向和报警事件的能力，用于航后分析和VDR备份。</w:t>
      </w:r>
    </w:p>
    <w:p>
      <w:pPr>
        <w:spacing w:line="360" w:lineRule="auto"/>
        <w:ind w:firstLine="480" w:firstLineChars="200"/>
        <w:rPr>
          <w:rFonts w:hint="eastAsia"/>
          <w:lang w:val="en-US" w:eastAsia="zh-CN"/>
        </w:rPr>
      </w:pPr>
      <w:r>
        <w:t xml:space="preserve">T016 允许用户输入船舶吃水和富裕水深，系统自动计算并设置安全等深线和安全轮廓线。</w:t>
      </w:r>
    </w:p>
    <w:p>
      <w:pPr>
        <w:spacing w:line="360" w:lineRule="auto"/>
        <w:ind w:firstLine="480" w:firstLineChars="200"/>
        <w:rPr>
          <w:rFonts w:hint="eastAsia"/>
          <w:lang w:val="en-US" w:eastAsia="zh-CN"/>
        </w:rPr>
      </w:pPr>
      <w:r>
        <w:t xml:space="preserve">T017 在海图上突出显示浅于安全等深线的水域（通常为蓝色），将安全水域显示为白色或其他安全色。</w:t>
      </w:r>
    </w:p>
    <w:p>
      <w:pPr>
        <w:spacing w:line="360" w:lineRule="auto"/>
        <w:ind w:firstLine="480" w:firstLineChars="200"/>
        <w:rPr>
          <w:rFonts w:hint="eastAsia"/>
          <w:lang w:val="en-US" w:eastAsia="zh-CN"/>
        </w:rPr>
      </w:pPr>
      <w:r>
        <w:t xml:space="preserve">T018 当本船或其安全轮廓线即将进入不安全水域时，系统需立即发出声光告警（防搁浅告警）。</w:t>
      </w:r>
    </w:p>
    <w:p>
      <w:pPr>
        <w:spacing w:line="360" w:lineRule="auto"/>
        <w:ind w:firstLine="480" w:firstLineChars="200"/>
        <w:rPr>
          <w:rFonts w:hint="eastAsia"/>
          <w:lang w:val="en-US" w:eastAsia="zh-CN"/>
        </w:rPr>
      </w:pPr>
      <w:r>
        <w:t xml:space="preserve">T019 当船舶即将穿越或进入预设的禁航区、限航区、港口报告区、或自定义电子围栏时，立即报警。</w:t>
      </w:r>
    </w:p>
    <w:p>
      <w:pPr>
        <w:spacing w:line="360" w:lineRule="auto"/>
        <w:ind w:firstLine="480" w:firstLineChars="200"/>
        <w:rPr>
          <w:rFonts w:hint="eastAsia"/>
          <w:lang w:val="en-US" w:eastAsia="zh-CN"/>
        </w:rPr>
      </w:pPr>
      <w:r>
        <w:t xml:space="preserve">T020 在船舶运动方向上，预测船舶未来安全矢量将接近孤立危险物或未知的浅水区时，触发报警。</w:t>
      </w:r>
    </w:p>
    <w:p>
      <w:pPr>
        <w:spacing w:line="360" w:lineRule="auto"/>
        <w:ind w:firstLine="480" w:firstLineChars="200"/>
        <w:rPr>
          <w:rFonts w:hint="eastAsia"/>
          <w:lang w:val="en-US" w:eastAsia="zh-CN"/>
        </w:rPr>
      </w:pPr>
      <w:r>
        <w:t xml:space="preserve">T021 根据AIS/雷达目标数据，提供CPA/TCPA（最近会遇点/时间计算），并在风险超过阈值时触发碰撞预警。</w:t>
      </w:r>
    </w:p>
    <w:p>
      <w:pPr>
        <w:spacing w:line="360" w:lineRule="auto"/>
        <w:ind w:firstLine="480" w:firstLineChars="200"/>
        <w:rPr>
          <w:rFonts w:hint="eastAsia"/>
          <w:lang w:val="en-US" w:eastAsia="zh-CN"/>
        </w:rPr>
      </w:pPr>
      <w:r>
        <w:t xml:space="preserve">T022 当船舶实时位置偏离计划航线超过设定的偏航阈值（XTD）时，立即发出告警。</w:t>
      </w:r>
    </w:p>
    <w:p>
      <w:pPr>
        <w:spacing w:line="360" w:lineRule="auto"/>
        <w:ind w:firstLine="480" w:firstLineChars="200"/>
        <w:rPr>
          <w:rFonts w:hint="eastAsia"/>
          <w:lang w:val="en-US" w:eastAsia="zh-CN"/>
        </w:rPr>
      </w:pPr>
      <w:r>
        <w:t xml:space="preserve">T023 对传感器故障（如GPS信号丢失、陀螺罗经数据异常）、海图更新延迟、电源切换等系统级故障发出告警。</w:t>
      </w:r>
    </w:p>
    <w:p>
      <w:pPr>
        <w:spacing w:line="360" w:lineRule="auto"/>
        <w:ind w:firstLine="480" w:firstLineChars="200"/>
        <w:rPr>
          <w:rFonts w:hint="eastAsia"/>
          <w:lang w:val="en-US" w:eastAsia="zh-CN"/>
        </w:rPr>
      </w:pPr>
      <w:r>
        <w:t xml:space="preserve">T024 遵循IMO/IHO规范，对报警进行优先级分类（紧急、警报、指示），并采用不同声光模式。</w:t>
      </w:r>
    </w:p>
    <w:p>
      <w:pPr>
        <w:spacing w:line="360" w:lineRule="auto"/>
        <w:ind w:firstLine="480" w:firstLineChars="200"/>
        <w:rPr>
          <w:rFonts w:hint="eastAsia"/>
          <w:lang w:val="en-US" w:eastAsia="zh-CN"/>
        </w:rPr>
      </w:pPr>
      <w:r>
        <w:t xml:space="preserve">T025 提供告警/预警信息列表，允许船员确认、消除告警。</w:t>
      </w:r>
    </w:p>
    <w:p>
      <w:pPr>
        <w:spacing w:line="360" w:lineRule="auto"/>
        <w:ind w:firstLine="480" w:firstLineChars="200"/>
        <w:rPr>
          <w:rFonts w:hint="eastAsia"/>
          <w:lang w:val="en-US" w:eastAsia="zh-CN"/>
        </w:rPr>
      </w:pPr>
      <w:r>
        <w:t xml:space="preserve">T026 提供直观的图形化界面，菜单层级简洁明了，支持常用功能快捷键访问。</w:t>
      </w:r>
    </w:p>
    <w:p>
      <w:pPr>
        <w:spacing w:line="360" w:lineRule="auto"/>
        <w:ind w:firstLine="480" w:firstLineChars="200"/>
        <w:rPr>
          <w:rFonts w:hint="eastAsia"/>
          <w:lang w:val="en-US" w:eastAsia="zh-CN"/>
        </w:rPr>
      </w:pPr>
      <w:r>
        <w:t xml:space="preserve">T027 软件界面需适配高分辨率显示，支持通过软件指令调节背景亮度以适应夜间模式。</w:t>
      </w:r>
    </w:p>
    <w:p>
      <w:pPr>
        <w:spacing w:line="360" w:lineRule="auto"/>
        <w:ind w:firstLine="480" w:firstLineChars="200"/>
        <w:rPr>
          <w:rFonts w:hint="eastAsia"/>
          <w:lang w:val="en-US" w:eastAsia="zh-CN"/>
        </w:rPr>
      </w:pPr>
      <w:r>
        <w:t xml:space="preserve">T028 对删除航线、修改安全参数等重要操作，需弹出确认对话框，要求船员进行二次确认，防止误操作。</w:t>
      </w:r>
    </w:p>
    <w:p>
      <w:pPr>
        <w:spacing w:line="360" w:lineRule="auto"/>
        <w:ind w:firstLine="480" w:firstLineChars="200"/>
        <w:rPr>
          <w:rFonts w:hint="eastAsia"/>
          <w:lang w:val="en-US" w:eastAsia="zh-CN"/>
        </w:rPr>
      </w:pPr>
      <w:r>
        <w:t xml:space="preserve">T029 跨平台兼容性：软件必须支持跨架构与跨操作系统部署，具体包括硬件平台（龙芯、飞腾、瑞芯微）和操作系统（麒麟、Ubuntu），并保证长期稳定运行。</w:t>
      </w:r>
    </w:p>
    <w:p>
      <w:pPr>
        <w:spacing w:line="360" w:lineRule="auto"/>
        <w:ind w:firstLine="480" w:firstLineChars="200"/>
        <w:rPr>
          <w:rFonts w:hint="eastAsia"/>
          <w:lang w:val="en-US" w:eastAsia="zh-CN"/>
        </w:rPr>
      </w:pPr>
      <w:r>
        <w:t xml:space="preserve">T030 多设备协同：软件架构需支持多台设备按优先级运行。</w:t>
      </w:r>
    </w:p>
    <w:p>
      <w:pPr>
        <w:spacing w:line="360" w:lineRule="auto"/>
        <w:ind w:firstLine="480" w:firstLineChars="200"/>
        <w:rPr>
          <w:rFonts w:hint="eastAsia"/>
          <w:lang w:val="en-US" w:eastAsia="zh-CN"/>
        </w:rPr>
      </w:pPr>
      <w:r>
        <w:t xml:space="preserve">T031 采用模块化软件架构，预留标准数据接口，支持后续接入新型号导航传感器或功能模块。</w:t>
      </w:r>
    </w:p>
    <w:p>
      <w:pPr>
        <w:spacing w:line="360" w:lineRule="auto"/>
        <w:ind w:firstLine="480" w:firstLineChars="200"/>
        <w:rPr>
          <w:rFonts w:hint="eastAsia"/>
          <w:lang w:val="en-US" w:eastAsia="zh-CN"/>
        </w:rPr>
      </w:pPr>
      <w:r>
        <w:t xml:space="preserve">T032 具备接收、解析和应用官方发布的S-63加密格式海图更新数据的能力，并生成更新记录。</w:t>
      </w:r>
    </w:p>
    <w:p>
      <w:pPr>
        <w:spacing w:line="360" w:lineRule="auto"/>
        <w:ind w:firstLine="480" w:firstLineChars="200"/>
        <w:rPr>
          <w:rFonts w:hint="eastAsia"/>
          <w:lang w:val="en-US" w:eastAsia="zh-CN"/>
        </w:rPr>
      </w:pPr>
      <w:r>
        <w:t xml:space="preserve">T033 定期自动备份系统内部存储结构（SENC）和所有航行记录，确保数据安全。</w:t>
      </w:r>
    </w:p>
    <w:p>
      <w:pPr>
        <w:spacing w:line="360" w:lineRule="auto"/>
        <w:ind w:firstLine="480" w:firstLineChars="200"/>
        <w:rPr>
          <w:rFonts w:hint="eastAsia"/>
          <w:lang w:val="en-US" w:eastAsia="zh-CN"/>
        </w:rPr>
      </w:pPr>
      <w:r>
        <w:t xml:space="preserve">T034 软件接口需遵循NMEA0183/2000协议与船载设备进行数据通信。</w:t>
      </w:r>
    </w:p>
    <w:p>
      <w:pPr>
        <w:spacing w:line="360" w:lineRule="auto"/>
        <w:ind w:firstLine="480" w:firstLineChars="200"/>
        <w:rPr>
          <w:rFonts w:hint="eastAsia"/>
          <w:lang w:val="en-US" w:eastAsia="zh-CN"/>
        </w:rPr>
      </w:pPr>
      <w:r>
        <w:t xml:space="preserve">T035 安全告警与风险接口：操作过程中提供及时的视觉、听觉反馈。如点击按钮后，按钮会有颜色变化或轻微震动反馈；执行操作成功或失败时，会通过不同的提示音和屏幕提示告知船员。对于重要操作，如删除航线，会弹出确认对话框，要求船员二次确认，防止误操作。</w:t>
      </w:r>
    </w:p>
    <w:p>
      <w:pPr>
        <w:spacing w:line="360" w:lineRule="auto"/>
        <w:ind w:firstLine="480" w:firstLineChars="200"/>
        <w:rPr>
          <w:rFonts w:hint="eastAsia"/>
          <w:lang w:val="en-US" w:eastAsia="zh-CN"/>
        </w:rPr>
      </w:pPr>
      <w:r>
        <w:t xml:space="preserve">T036 航线规划与监控接口：航线规划功能可通过点击特定图标，在海图上进行航点绘制和编辑。采用直观图形化界面，通过菜单、按钮、图标等元素，实现对电子海图显示与信息系统的各项操作。菜单层级简洁明了，方便船员快速找到所需功能；</w:t>
      </w:r>
    </w:p>
    <w:p>
      <w:pPr>
        <w:spacing w:line="360" w:lineRule="auto"/>
        <w:ind w:firstLine="480" w:firstLineChars="200"/>
        <w:rPr>
          <w:rFonts w:hint="eastAsia"/>
          <w:lang w:val="en-US" w:eastAsia="zh-CN"/>
        </w:rPr>
      </w:pPr>
      <w:r>
        <w:t xml:space="preserve">T037 数据库数据读写接口：海图底图存储或载遵循IHO S-57标准，实现与电子海图数据（ENC）的交互，将ENC数据转换为系统内部存储结构（SENC）。支持官方发布的海图更新数据（如S-63加密格式）的接收、解析和应用，确保海图信息的及时性和准确性。</w:t>
      </w:r>
    </w:p>
    <w:p>
      <w:pPr>
        <w:spacing w:line="360" w:lineRule="auto"/>
        <w:ind w:firstLine="480" w:firstLineChars="200"/>
        <w:rPr>
          <w:rFonts w:hint="eastAsia"/>
          <w:lang w:val="en-US" w:eastAsia="zh-CN"/>
        </w:rPr>
      </w:pPr>
      <w:r>
        <w:t xml:space="preserve">T038 海图显示与态势融合接口：采用直观图形化界面，通过菜单、按钮、图标等元素，实现对电子海图显示与信息系统的各项操作。菜单层级简洁明了，方便船员快速找到所需功能；按钮和图标设计符合人体工程学，便于点击和识别。例如，按钮和图标设计符合人体工程学，便于点击和识别。例如，航线规划功能可通过点击特定图标，在海图上进行航点绘制和编辑。</w:t>
      </w:r>
    </w:p>
    <w:p>
      <w:pPr>
        <w:spacing w:line="360" w:lineRule="auto"/>
        <w:ind w:firstLine="480" w:firstLineChars="200"/>
        <w:rPr>
          <w:rFonts w:hint="eastAsia"/>
          <w:lang w:val="en-US" w:eastAsia="zh-CN"/>
        </w:rPr>
      </w:pPr>
      <w:r>
        <w:t xml:space="preserve">T039 外部数据与文件系统：支持与外部设备（如USB存储设备、便携式电脑）的数据交换，便于海图数据的备份、航线文件的导入导出。采用通用的数据格式（如CSV、XML），确保与其他系统的数据兼容性。例如，船员可将规划好的航线导出为CSV文件，通过USB存储设备传输到其他船舶的电子海图显示与信息系统系统中。</w:t>
      </w:r>
    </w:p>
    <w:p>
      <w:pPr>
        <w:spacing w:line="360" w:lineRule="auto"/>
        <w:ind w:firstLine="480" w:firstLineChars="200"/>
        <w:rPr>
          <w:rFonts w:hint="eastAsia"/>
          <w:lang w:val="en-US" w:eastAsia="zh-CN"/>
        </w:rPr>
      </w:pPr>
      <w:r>
        <w:t xml:space="preserve">T040 传感器与导航设备：与定位系统（如GPS、北斗）、电罗经、计程仪等设备进行数据通信，接收船舶的位置、航向、速度等信息。采用NMEA 0183或NMEA 2000等标准协议，实现数据的稳定传输和解析。例如，通过NMEA 0183协议接收GPS设备发送的船位数据，并在海图上准确显示船舶实时位置。新增与BNWAS（桥楼航行值班报警系统）、VDR（航行数据记录仪）、…</w:t>
      </w:r>
    </w:p>
    <w:p>
      <w:pPr>
        <w:spacing w:line="360" w:lineRule="auto"/>
        <w:ind w:firstLine="480" w:firstLineChars="200"/>
        <w:rPr>
          <w:rFonts w:hint="eastAsia"/>
          <w:lang w:val="en-US" w:eastAsia="zh-CN"/>
        </w:rPr>
      </w:pPr>
      <w:r>
        <w:t xml:space="preserve">T041 人机交互与控制HMI：支持多种输入方式，如触摸屏、鼠标、键盘、轨迹球等。触摸屏操作直观便捷，适合快速调整显示参数或选择功能；鼠标和键盘则便于进行复杂的文字输入和精确操作，如输入港口名称进行搜索。</w:t>
      </w:r>
    </w:p>
    <w:p ns2:paraId="4EA3BFA0">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性能要求</w:t>
      </w:r>
    </w:p>
    <w:p>
      <w:pPr>
        <w:spacing w:line="360" w:lineRule="auto"/>
        <w:ind w:firstLine="480" w:firstLineChars="200"/>
        <w:rPr>
          <w:rFonts w:hint="eastAsia"/>
          <w:lang w:val="en-US" w:eastAsia="zh-CN"/>
        </w:rPr>
      </w:pPr>
      <w:r>
        <w:t xml:space="preserve">P001 一般操作响应时间（数据查阅、图表显示等操作）：＜2s；</w:t>
      </w:r>
    </w:p>
    <w:p>
      <w:pPr>
        <w:spacing w:line="360" w:lineRule="auto"/>
        <w:ind w:firstLine="480" w:firstLineChars="200"/>
        <w:rPr>
          <w:rFonts w:hint="eastAsia"/>
          <w:lang w:val="en-US" w:eastAsia="zh-CN"/>
        </w:rPr>
      </w:pPr>
      <w:r>
        <w:t xml:space="preserve">P002 系统初始化时间：＜10s；</w:t>
      </w:r>
    </w:p>
    <w:p>
      <w:pPr>
        <w:spacing w:line="360" w:lineRule="auto"/>
        <w:ind w:firstLine="480" w:firstLineChars="200"/>
        <w:rPr>
          <w:rFonts w:hint="eastAsia"/>
          <w:lang w:val="en-US" w:eastAsia="zh-CN"/>
        </w:rPr>
      </w:pPr>
      <w:r>
        <w:t xml:space="preserve">P003 一般数据查询时间：＜5s；</w:t>
      </w:r>
    </w:p>
    <w:p>
      <w:pPr>
        <w:spacing w:line="360" w:lineRule="auto"/>
        <w:ind w:firstLine="480" w:firstLineChars="200"/>
        <w:rPr>
          <w:rFonts w:hint="eastAsia"/>
          <w:lang w:val="en-US" w:eastAsia="zh-CN"/>
        </w:rPr>
      </w:pPr>
      <w:r>
        <w:t xml:space="preserve">P004 一般数据汇总时间：&lt;10s；</w:t>
      </w:r>
    </w:p>
    <w:p>
      <w:pPr>
        <w:spacing w:line="360" w:lineRule="auto"/>
        <w:ind w:firstLine="480" w:firstLineChars="200"/>
        <w:rPr>
          <w:rFonts w:hint="eastAsia"/>
          <w:lang w:val="en-US" w:eastAsia="zh-CN"/>
        </w:rPr>
      </w:pPr>
      <w:r>
        <w:t xml:space="preserve">P005 指令响应率：100%；</w:t>
      </w:r>
    </w:p>
    <w:p>
      <w:pPr>
        <w:spacing w:line="360" w:lineRule="auto"/>
        <w:ind w:firstLine="480" w:firstLineChars="200"/>
        <w:rPr>
          <w:rFonts w:hint="eastAsia"/>
          <w:lang w:val="en-US" w:eastAsia="zh-CN"/>
        </w:rPr>
      </w:pPr>
      <w:r>
        <w:t xml:space="preserve">P006 系统服务稳定性：99%；</w:t>
      </w:r>
    </w:p>
    <w:p>
      <w:pPr>
        <w:spacing w:line="360" w:lineRule="auto"/>
        <w:ind w:firstLine="480" w:firstLineChars="200"/>
        <w:rPr>
          <w:rFonts w:hint="eastAsia"/>
          <w:lang w:val="en-US" w:eastAsia="zh-CN"/>
        </w:rPr>
      </w:pPr>
      <w:r>
        <w:t xml:space="preserve">P007 特殊操作超过该时间则需要给予用户明确的等待时间或进度条提示。</w:t>
      </w:r>
    </w:p>
    <w:p ns2:paraId="36009ED4">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通用质量特性要求</w:t>
      </w:r>
    </w:p>
    <w:p>
      <w:pPr>
        <w:spacing w:line="360" w:lineRule="auto"/>
        <w:ind w:firstLine="480" w:firstLineChars="200"/>
        <w:rPr>
          <w:rFonts w:hint="eastAsia"/>
          <w:lang w:val="en-US" w:eastAsia="zh-CN"/>
        </w:rPr>
      </w:pPr>
      <w:r>
        <w:t xml:space="preserve">Q001 海图数据加载准确完整，海图初始化时间&lt;=8S，海图响应时间&lt;=2S；航线安全检查结果准确率高于99%；存储介质可靠；接口通信具备错误校验和自动重连机制，以保证数据链路的可靠</w:t>
      </w:r>
    </w:p>
    <w:p>
      <w:pPr>
        <w:spacing w:line="360" w:lineRule="auto"/>
        <w:ind w:firstLine="480" w:firstLineChars="200"/>
        <w:rPr>
          <w:rFonts w:hint="eastAsia"/>
          <w:lang w:val="en-US" w:eastAsia="zh-CN"/>
        </w:rPr>
      </w:pPr>
      <w:r>
        <w:t xml:space="preserve">Q002 系统部署运行软硬件环境满足全军统一国产化要求。</w:t>
      </w:r>
    </w:p>
    <w:p>
      <w:pPr>
        <w:spacing w:line="360" w:lineRule="auto"/>
        <w:ind w:firstLine="480" w:firstLineChars="200"/>
        <w:rPr>
          <w:rFonts w:hint="eastAsia"/>
          <w:lang w:val="en-US" w:eastAsia="zh-CN"/>
        </w:rPr>
      </w:pPr>
      <w:r>
        <w:t xml:space="preserve">Q003 系统上线运行前必须进行整体安全性测试，并提供安全测试报告；系统管理人员必须进行严格培训，能熟练进行系统管理；</w:t>
      </w:r>
    </w:p>
    <w:p>
      <w:pPr>
        <w:spacing w:line="360" w:lineRule="auto"/>
        <w:ind w:firstLine="480" w:firstLineChars="200"/>
        <w:rPr>
          <w:rFonts w:hint="eastAsia"/>
          <w:lang w:val="en-US" w:eastAsia="zh-CN"/>
        </w:rPr>
      </w:pPr>
      <w:r>
        <w:t xml:space="preserve">Q004 对访问用户按照岗位业务进行灵活的权限设计，建立严格的授权机制；严禁在正式运行的系统与数据库中进行测试操作。</w:t>
      </w:r>
    </w:p>
    <w:p>
      <w:pPr>
        <w:spacing w:line="360" w:lineRule="auto"/>
        <w:ind w:firstLine="480" w:firstLineChars="200"/>
        <w:rPr>
          <w:rFonts w:hint="eastAsia"/>
          <w:lang w:val="en-US" w:eastAsia="zh-CN"/>
        </w:rPr>
      </w:pPr>
      <w:r>
        <w:t xml:space="preserve">Q005 支持按照军用计算机网络安全防护标准进行网络软硬件部署配置。</w:t>
      </w:r>
    </w:p>
    <w:p>
      <w:pPr>
        <w:spacing w:line="360" w:lineRule="auto"/>
        <w:ind w:firstLine="480" w:firstLineChars="200"/>
        <w:rPr>
          <w:rFonts w:hint="eastAsia"/>
          <w:lang w:val="en-US" w:eastAsia="zh-CN"/>
        </w:rPr>
      </w:pPr>
      <w:r>
        <w:t xml:space="preserve">Q006 软件随主机设备移交时，应同时移交用户使用手册。软件移交后，需要配合联试和使用进行维护，对软件的更改做好记录，同时需保持文档与代码的可追溯性和一致性。</w:t>
      </w:r>
    </w:p>
    <w:p>
      <w:pPr>
        <w:spacing w:line="360" w:lineRule="auto"/>
        <w:ind w:firstLine="480" w:firstLineChars="200"/>
        <w:rPr>
          <w:rFonts w:hint="eastAsia"/>
          <w:lang w:val="en-US" w:eastAsia="zh-CN"/>
        </w:rPr>
      </w:pPr>
      <w:r>
        <w:t xml:space="preserve">Q007 功能模块（如数据接入、告警管理、系统配置等）之间须具有定义清晰、稳定的接口；</w:t>
      </w:r>
    </w:p>
    <w:p>
      <w:pPr>
        <w:spacing w:line="360" w:lineRule="auto"/>
        <w:ind w:firstLine="480" w:firstLineChars="200"/>
        <w:rPr>
          <w:rFonts w:hint="eastAsia"/>
          <w:lang w:val="en-US" w:eastAsia="zh-CN"/>
        </w:rPr>
      </w:pPr>
      <w:r>
        <w:t xml:space="preserve">Q008 MTTR（平均维修时间）：≤0.5小时。</w:t>
      </w:r>
    </w:p>
    <w:p>
      <w:pPr>
        <w:spacing w:line="360" w:lineRule="auto"/>
        <w:ind w:firstLine="480" w:firstLineChars="200"/>
        <w:rPr>
          <w:rFonts w:hint="eastAsia"/>
          <w:lang w:val="en-US" w:eastAsia="zh-CN"/>
        </w:rPr>
      </w:pPr>
      <w:r>
        <w:t xml:space="preserve">Q009 系统及其各模块在设计和实现时须充分考虑可测试性，包括提供必要的测试接口或机制，支持自动化测试的实施，以便于进行有效的单元测试、集成测试、系统测试和验收测试。</w:t>
      </w:r>
    </w:p>
    <w:p>
      <w:pPr>
        <w:spacing w:line="360" w:lineRule="auto"/>
        <w:ind w:firstLine="480" w:firstLineChars="200"/>
        <w:rPr>
          <w:rFonts w:hint="eastAsia"/>
          <w:lang w:val="en-US" w:eastAsia="zh-CN"/>
        </w:rPr>
      </w:pPr>
      <w:r>
        <w:t xml:space="preserve">Q010 软件运行环境：硬件平台（龙芯、飞腾、瑞芯微）和系统（麒麟、Ubuntu）。</w:t>
      </w:r>
    </w:p>
    <w:p>
      <w:pPr>
        <w:spacing w:line="360" w:lineRule="auto"/>
        <w:ind w:firstLine="480" w:firstLineChars="200"/>
        <w:rPr>
          <w:rFonts w:hint="eastAsia"/>
          <w:lang w:val="en-US" w:eastAsia="zh-CN"/>
        </w:rPr>
      </w:pPr>
      <w:r>
        <w:t xml:space="preserve">Q011 本项目研制工作的开展必须严格遵守相关保密规定；</w:t>
      </w:r>
    </w:p>
    <w:p>
      <w:pPr>
        <w:spacing w:line="360" w:lineRule="auto"/>
        <w:ind w:firstLine="480" w:firstLineChars="200"/>
        <w:rPr>
          <w:rFonts w:hint="eastAsia"/>
          <w:lang w:val="en-US" w:eastAsia="zh-CN"/>
        </w:rPr>
      </w:pPr>
      <w:r>
        <w:t xml:space="preserve">Q012 本软件支持用户操作界面与显示，采用C++编程语言；</w:t>
      </w:r>
    </w:p>
    <w:p>
      <w:pPr>
        <w:spacing w:line="360" w:lineRule="auto"/>
        <w:ind w:firstLine="480" w:firstLineChars="200"/>
        <w:rPr>
          <w:rFonts w:hint="eastAsia"/>
          <w:lang w:val="en-US" w:eastAsia="zh-CN"/>
        </w:rPr>
      </w:pPr>
      <w:r>
        <w:t xml:space="preserve">Q013 软件采用分层结构和模块化设计，设计是充分考虑继承性、灵活性和可维护性。</w:t>
      </w:r>
    </w:p>
    <w:p ns2:paraId="47E94A43">
      <w:pPr>
        <w:keepNext/>
        <w:keepLines/>
        <w:numPr>
          <w:ilvl w:val="0"/>
          <w:numId w:val="11"/>
        </w:numPr>
        <w:tabs>
          <w:tab w:val="left" w:pos="0"/>
        </w:tabs>
        <w:spacing w:line="360" w:lineRule="auto"/>
        <w:outlineLvl w:val="0"/>
        <w:rPr>
          <w:rFonts w:ascii="Calibri" w:hAnsi="Calibri" w:eastAsia="黑体"/>
          <w:bCs/>
          <w:kern w:val="44"/>
          <w:sz w:val="30"/>
          <w:szCs w:val="44"/>
        </w:rPr>
      </w:pPr>
      <w:bookmarkStart w:id="13" w:name="_Toc20958"/>
      <w:r>
        <w:rPr>
          <w:rFonts w:hint="eastAsia" w:ascii="Calibri" w:hAnsi="Calibri" w:eastAsia="黑体"/>
          <w:bCs/>
          <w:kern w:val="44"/>
          <w:sz w:val="30"/>
          <w:szCs w:val="44"/>
        </w:rPr>
        <w:t>技术方案</w:t>
      </w:r>
      <w:bookmarkEnd w:id="13"/>
    </w:p>
    <w:p ns2:paraId="5BD2D649">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4" w:name="_Toc25873"/>
      <w:r>
        <w:rPr>
          <w:rFonts w:hint="eastAsia" w:ascii="黑体" w:hAnsi="黑体" w:eastAsia="黑体" w:cs="黑体"/>
          <w:sz w:val="28"/>
          <w:szCs w:val="32"/>
        </w:rPr>
        <w:t>架构</w:t>
      </w:r>
      <w:bookmarkEnd w:id="14"/>
      <w:r>
        <w:rPr>
          <w:rFonts w:hint="eastAsia" w:ascii="黑体" w:hAnsi="黑体" w:eastAsia="黑体" w:cs="黑体"/>
          <w:sz w:val="28"/>
          <w:szCs w:val="32"/>
          <w:lang w:val="en-US" w:eastAsia="zh-CN"/>
        </w:rPr>
        <w:t>设计</w:t>
      </w:r>
    </w:p>
    <w:p ns2:paraId="42C34A86">
      <w:pPr>
        <w:keepNext/>
        <w:keepLines/>
        <w:numPr>
          <w:ilvl w:val="2"/>
          <w:numId w:val="11"/>
        </w:numPr>
        <w:tabs>
          <w:tab w:val="left" w:pos="0"/>
        </w:tabs>
        <w:spacing w:line="360" w:lineRule="auto"/>
        <w:outlineLvl w:val="2"/>
        <w:rPr>
          <w:rFonts w:hint="eastAsia" w:eastAsia="黑体"/>
          <w:bCs/>
          <w:szCs w:val="32"/>
        </w:rPr>
      </w:pPr>
      <w:r>
        <w:rPr>
          <w:rFonts w:hint="eastAsia" w:eastAsia="黑体"/>
          <w:bCs/>
          <w:szCs w:val="32"/>
        </w:rPr>
        <w:t>系统总体架构</w:t>
      </w:r>
    </w:p>
    <w:p>
      <w:pPr>
        <w:numPr>
          <w:ilvl w:val="0"/>
          <w:numId w:val="0"/>
        </w:numPr>
        <w:adjustRightInd w:val="0"/>
        <w:spacing w:line="360" w:lineRule="auto"/>
        <w:ind w:leftChars="200"/>
        <w:rPr>
          <w:szCs w:val="28"/>
        </w:rPr>
      </w:pPr>
      <w:r>
        <w:t xml:space="preserve">总体架构设计根据结构化需求事实源生成，内容应保持对基础平台与架构要求-跨平台兼容性, 基础平台与架构要求-多设备协同, 基础平台与架构要求, 软件采用分层结构和模块化设计的可追溯关系。</w:t>
      </w:r>
    </w:p>
    <w:p>
      <w:pPr>
        <w:numPr>
          <w:ilvl w:val="0"/>
          <w:numId w:val="0"/>
        </w:numPr>
        <w:adjustRightInd w:val="0"/>
        <w:spacing w:line="360" w:lineRule="auto"/>
        <w:ind w:leftChars="200"/>
        <w:rPr>
          <w:szCs w:val="28"/>
        </w:rPr>
      </w:pPr>
      <w:r>
        <w:t xml:space="preserve">该本地草稿仅用于离线流程验证；生产正文应通过 llm_client.call_llm_api() 生成。</w:t>
      </w:r>
    </w:p>
    <w:p>
      <w:pPr>
        <w:numPr>
          <w:ilvl w:val="0"/>
          <w:numId w:val="0"/>
        </w:numPr>
        <w:adjustRightInd w:val="0"/>
        <w:spacing w:line="360" w:lineRule="auto"/>
        <w:ind w:leftChars="200"/>
        <w:rPr>
          <w:szCs w:val="28"/>
        </w:rPr>
      </w:pPr>
      <w:r>
        <w:t xml:space="preserve">针对技术方案对需求应具备全面性、准确性、充分性。，本章节按方案撰写要求进行扩写：技术方案对需求应具备全面性、准确性、充分性。。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系统总体、业务、逻辑、技术、数据架构设计需具备全面性、合理性，本章节按方案撰写要求进行扩写：系统总体、业务、逻辑、技术、数据架构设计需具备全面性、合理性，以及配置灵活性。。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业务和数据处理流程图描述情况应符合需求和逻辑清晰。，本章节按方案撰写要求进行扩写：业务和数据处理流程图描述情况应符合需求和逻辑清晰。。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关键技术分析应具备可行性、合理性、创新性及与需求的相关性。，本章节按方案撰写要求进行扩写：关键技术分析应具备可行性、合理性、创新性及与需求的相关性。。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numPr>
          <w:ilvl w:val="0"/>
          <w:numId w:val="0"/>
        </w:numPr>
        <w:adjustRightInd w:val="0"/>
        <w:spacing w:line="360" w:lineRule="auto"/>
        <w:ind w:leftChars="200"/>
        <w:rPr>
          <w:szCs w:val="28"/>
        </w:rPr>
      </w:pPr>
      <w:r>
        <w:t xml:space="preserve">针对知识产权和保密要求，本章节按方案撰写要求进行扩写：知识产权和保密要求：投标供应商应当保障采购单位在使用该物资或其任何一部分时，不受第三方侵权指控。同时，投标供应商不得向第三方泄露采购机构提供的技术文件等材料。 基于项目合同履行形成的知识产权和其他权益，其权属归采购单位所有，法律另有规定的除外。。方案内容应结合本节相关技术需求展开设计说明，明确响应思路、实现路径、约束边界和复核要求，避免引入未在权威 Markdown 中给出的人员、资质、价格、业绩等确定性事实。</w:t>
      </w:r>
    </w:p>
    <w:p ns2:paraId="6BB68F78">
      <w:pPr>
        <w:spacing w:line="360" w:lineRule="auto"/>
        <w:ind w:firstLine="480" w:firstLineChars="200"/>
        <w:rPr>
          <w:rFonts w:hint="eastAsia"/>
        </w:rPr>
      </w:pPr>
      <w:r>
        <w:rPr>
          <w:rFonts w:hint="eastAsia"/>
        </w:rPr>
        <w:t>系统架构如下图所示：</w:t>
      </w:r>
    </w:p>
    <w:p>
      <w:r>
        <w:drawing>
          <wp:inline distT="0" distB="0" distL="0" distR="0">
            <wp:extent cx="5486400" cy="3579876"/>
            <wp:effectExtent l="0" t="0" r="0" b="0"/>
            <wp:docPr id="1002" name="总体架构蓝图"/>
            <wp:cNvGraphicFramePr>
              <a:graphicFrameLocks noChangeAspect="1"/>
            </wp:cNvGraphicFramePr>
            <a:graphic>
              <a:graphicData uri="http://schemas.openxmlformats.org/drawingml/2006/picture">
                <pic:pic>
                  <pic:nvPicPr>
                    <pic:cNvPr id="0" name="总体架构蓝图"/>
                    <pic:cNvPicPr/>
                  </pic:nvPicPr>
                  <pic:blipFill>
                    <a:blip r:embed="rId12"/>
                    <a:stretch>
                      <a:fillRect/>
                    </a:stretch>
                  </pic:blipFill>
                  <pic:spPr>
                    <a:xfrm>
                      <a:off x="0" y="0"/>
                      <a:ext cx="5486400" cy="3579876"/>
                    </a:xfrm>
                    <a:prstGeom prst="rect">
                      <a:avLst/>
                    </a:prstGeom>
                  </pic:spPr>
                </pic:pic>
              </a:graphicData>
            </a:graphic>
          </wp:inline>
        </w:drawing>
      </w:r>
    </w:p>
    <w:p>
      <w:pPr>
        <w:spacing w:line="360" w:lineRule="auto"/>
        <w:jc w:val="center"/>
        <w:rPr>
          <w:rFonts w:hint="eastAsia"/>
        </w:rPr>
      </w:pPr>
      <w:r>
        <w:t xml:space="preserve">总体架构蓝图，用于说明本节相关模块、数据流或流程关系。</w:t>
      </w:r>
    </w:p>
    <w:p ns2:paraId="15FA4381">
      <w:pPr>
        <w:numPr>
          <w:ilvl w:val="0"/>
          <w:numId w:val="14"/>
        </w:numPr>
        <w:spacing w:line="360" w:lineRule="auto"/>
        <w:ind w:left="622" w:hanging="621" w:hangingChars="259"/>
        <w:jc w:val="center"/>
        <w:rPr>
          <w:rFonts w:ascii="Arial" w:hAnsi="Arial" w:eastAsia="黑体" w:cs="Arial"/>
          <w:sz w:val="20"/>
        </w:rPr>
      </w:pPr>
      <w:r>
        <w:rPr>
          <w:rFonts w:hint="eastAsia" w:ascii="黑体" w:hAnsi="黑体" w:eastAsia="黑体" w:cs="黑体"/>
          <w:szCs w:val="24"/>
        </w:rPr>
        <w:t>系统架构图</w:t>
      </w:r>
    </w:p>
    <w:p>
      <w:pPr>
        <w:spacing w:line="360" w:lineRule="auto"/>
        <w:ind w:firstLine="480" w:firstLineChars="200"/>
        <w:rPr>
          <w:rFonts w:hint="eastAsia"/>
          <w:lang w:val="en-US" w:eastAsia="zh-CN"/>
        </w:rPr>
      </w:pPr>
      <w:r>
        <w:t xml:space="preserve">架构图说明根据结构化需求事实源生成，内容应保持对基础平台与架构要求-跨平台兼容性, 基础平台与架构要求-多设备协同, 基础平台与架构要求, 软件采用分层结构和模块化设计的可追溯关系。</w:t>
      </w:r>
    </w:p>
    <w:p>
      <w:pPr>
        <w:spacing w:line="360" w:lineRule="auto"/>
        <w:ind w:firstLine="480" w:firstLineChars="200"/>
        <w:rPr>
          <w:rFonts w:hint="eastAsia"/>
          <w:lang w:val="en-US" w:eastAsia="zh-CN"/>
        </w:rPr>
      </w:pPr>
      <w:r>
        <w:t xml:space="preserve">该本地草稿仅用于离线流程验证；生产正文应通过 llm_client.call_llm_api() 生成。</w:t>
      </w:r>
    </w:p>
    <w:p>
      <w:pPr>
        <w:spacing w:line="360" w:lineRule="auto"/>
        <w:ind w:firstLine="480" w:firstLineChars="200"/>
        <w:rPr>
          <w:rFonts w:hint="eastAsia"/>
          <w:lang w:val="en-US" w:eastAsia="zh-CN"/>
        </w:rPr>
      </w:pPr>
      <w:r>
        <w:t xml:space="preserve">针对技术方案对需求应具备全面性、准确性、充分性。，本章节按方案撰写要求进行扩写：技术方案对需求应具备全面性、准确性、充分性。。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系统总体、业务、逻辑、技术、数据架构设计需具备全面性、合理性，本章节按方案撰写要求进行扩写：系统总体、业务、逻辑、技术、数据架构设计需具备全面性、合理性，以及配置灵活性。。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业务和数据处理流程图描述情况应符合需求和逻辑清晰。，本章节按方案撰写要求进行扩写：业务和数据处理流程图描述情况应符合需求和逻辑清晰。。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关键技术分析应具备可行性、合理性、创新性及与需求的相关性。，本章节按方案撰写要求进行扩写：关键技术分析应具备可行性、合理性、创新性及与需求的相关性。。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知识产权和保密要求，本章节按方案撰写要求进行扩写：知识产权和保密要求：投标供应商应当保障采购单位在使用该物资或其任何一部分时，不受第三方侵权指控。同时，投标供应商不得向第三方泄露采购机构提供的技术文件等材料。 基于项目合同履行形成的知识产权和其他权益，其权属归采购单位所有，法律另有规定的除外。。方案内容应结合本节相关技术需求展开设计说明，明确响应思路、实现路径、约束边界和复核要求，避免引入未在权威 Markdown 中给出的人员、资质、价格、业绩等确定性事实。</w:t>
      </w:r>
    </w:p>
    <w:p ns2:paraId="17AE02FB">
      <w:pPr>
        <w:spacing w:line="360" w:lineRule="auto"/>
        <w:ind w:firstLine="480" w:firstLineChars="200"/>
        <w:rPr>
          <w:rFonts w:hint="eastAsia"/>
          <w:lang w:val="en-US" w:eastAsia="zh-CN"/>
        </w:rPr>
      </w:pPr>
    </w:p>
    <w:p ns2:paraId="1B1AE9C0">
      <w:pPr>
        <w:keepNext/>
        <w:keepLines/>
        <w:numPr>
          <w:ilvl w:val="2"/>
          <w:numId w:val="11"/>
        </w:numPr>
        <w:tabs>
          <w:tab w:val="left" w:pos="0"/>
        </w:tabs>
        <w:spacing w:line="360" w:lineRule="auto"/>
        <w:outlineLvl w:val="2"/>
        <w:rPr>
          <w:rFonts w:hint="eastAsia" w:eastAsia="黑体"/>
          <w:bCs/>
          <w:szCs w:val="32"/>
          <w:lang w:val="en-US" w:eastAsia="zh-CN"/>
        </w:rPr>
      </w:pPr>
      <w:bookmarkStart w:id="15" w:name="_Toc28583"/>
      <w:bookmarkStart w:id="16" w:name="_Toc20276"/>
      <w:r>
        <w:rPr>
          <w:rFonts w:hint="eastAsia" w:eastAsia="黑体"/>
          <w:bCs/>
          <w:szCs w:val="32"/>
          <w:lang w:val="en-US" w:eastAsia="zh-CN"/>
        </w:rPr>
        <w:t>设计原则</w:t>
      </w:r>
      <w:bookmarkEnd w:id="15"/>
      <w:bookmarkEnd w:id="16"/>
    </w:p>
    <w:p>
      <w:pPr>
        <w:spacing w:line="360" w:lineRule="auto"/>
        <w:ind w:firstLine="480" w:firstLineChars="200"/>
        <w:rPr>
          <w:rFonts w:hint="eastAsia"/>
          <w:lang w:val="en-US" w:eastAsia="zh-CN"/>
        </w:rPr>
      </w:pPr>
      <w:r>
        <w:t xml:space="preserve">设计原则根据结构化需求事实源生成，内容应保持对可靠性要求, 安全性要求, 保障性要求, 维修性要求, 维修性要求-MTTR（平均维修时间）, 测试性要求, 环境适应性要求-软件运行环境, 本项目研制工作的...的可追溯关系。</w:t>
      </w:r>
    </w:p>
    <w:p>
      <w:pPr>
        <w:spacing w:line="360" w:lineRule="auto"/>
        <w:ind w:firstLine="480" w:firstLineChars="200"/>
        <w:rPr>
          <w:rFonts w:hint="eastAsia"/>
          <w:lang w:val="en-US" w:eastAsia="zh-CN"/>
        </w:rPr>
      </w:pPr>
      <w:r>
        <w:t xml:space="preserve">该本地草稿仅用于离线流程验证；生产正文应通过 llm_client.call_llm_api() 生成。</w:t>
      </w:r>
    </w:p>
    <w:p>
      <w:pPr>
        <w:spacing w:line="360" w:lineRule="auto"/>
        <w:ind w:firstLine="480" w:firstLineChars="200"/>
        <w:rPr>
          <w:rFonts w:hint="eastAsia"/>
          <w:lang w:val="en-US" w:eastAsia="zh-CN"/>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ns2:paraId="335E78AF">
      <w:pPr>
        <w:keepNext/>
        <w:keepLines/>
        <w:numPr>
          <w:ilvl w:val="2"/>
          <w:numId w:val="11"/>
        </w:numPr>
        <w:tabs>
          <w:tab w:val="left" w:pos="0"/>
        </w:tabs>
        <w:spacing w:line="360" w:lineRule="auto"/>
        <w:outlineLvl w:val="2"/>
        <w:rPr>
          <w:rFonts w:hint="eastAsia" w:eastAsia="黑体"/>
          <w:bCs/>
          <w:szCs w:val="32"/>
          <w:lang w:val="en-US" w:eastAsia="zh-CN"/>
        </w:rPr>
      </w:pPr>
      <w:r>
        <w:rPr>
          <w:rFonts w:hint="eastAsia" w:eastAsia="黑体"/>
          <w:bCs/>
          <w:szCs w:val="32"/>
          <w:lang w:val="en-US" w:eastAsia="zh-CN"/>
        </w:rPr>
        <w:t>部署架构</w:t>
      </w:r>
    </w:p>
    <w:p>
      <w:pPr>
        <w:spacing w:line="360" w:lineRule="auto"/>
        <w:ind w:firstLine="480" w:firstLineChars="200"/>
        <w:rPr>
          <w:rFonts w:hint="eastAsia"/>
          <w:lang w:val="en-US" w:eastAsia="zh-CN"/>
        </w:rPr>
      </w:pPr>
      <w:r>
        <w:t xml:space="preserve">部署架构设计根据结构化需求事实源生成，内容应保持对基础平台与架构要求-跨平台兼容性, 安全性要求, 环境适应性要求-软件运行环境的可追溯关系。</w:t>
      </w:r>
    </w:p>
    <w:p>
      <w:pPr>
        <w:spacing w:line="360" w:lineRule="auto"/>
        <w:ind w:firstLine="480" w:firstLineChars="200"/>
        <w:rPr>
          <w:rFonts w:hint="eastAsia"/>
          <w:lang w:val="en-US" w:eastAsia="zh-CN"/>
        </w:rPr>
      </w:pPr>
      <w:r>
        <w:t xml:space="preserve">该本地草稿仅用于离线流程验证；生产正文应通过 llm_client.call_llm_api() 生成。</w:t>
      </w:r>
    </w:p>
    <w:p>
      <w:pPr>
        <w:spacing w:line="360" w:lineRule="auto"/>
        <w:ind w:firstLine="480" w:firstLineChars="200"/>
        <w:rPr>
          <w:rFonts w:hint="eastAsia"/>
          <w:lang w:val="en-US" w:eastAsia="zh-CN"/>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针对部署方案应具备灵活性。，本章节按方案撰写要求进行扩写：部署方案应具备灵活性。。方案内容应结合本节相关技术需求展开设计说明，明确响应思路、实现路径、约束边界和复核要求，避免引入未在权威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交付（服务）时间，本章节按方案撰写要求进行扩写：1.交付（服务）时间：合同签订后，以需求单位通知进场时间为准，进场后2个月内交货安装调试完毕，并完成系统的集成、部署、联调、上线运行。。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交付（服务）方式：供应商完成运输、安装、调试等工作。-交付（服务）方式，本章节按方案撰写要求进行扩写：交付（服务）方式：供应商完成运输、安装、调试等工作。。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rPr>
          <w:rFonts w:hint="eastAsia"/>
          <w:lang w:val="en-US" w:eastAsia="zh-CN"/>
        </w:rPr>
      </w:pPr>
      <w:r>
        <w:t xml:space="preserve">针对免费培训，本章节按方案撰写要求进行扩写：免费培训：中标供应商应当根据投标文件的相关培训响应及项目实施进度，对采购单位相关人员进行培训。 培训所达到的目标：按甲方要求。培训师资要求：具备丰富的相同课程教学经验，所有的培训教员必须中文授课。培训内容：理论培训、现场操作培训，并负责编制培训教材（含安装手册、软件使用手册、 PPT 或视频）。培训项目：按甲方要求。培训科目：按甲方要求。培训对象与人数：按甲方要求。培训时间/频次：培训次数不超过5次，时长每次不少于 60 分钟。其他：投标供应商须在投标文件中提出全面、详细的培训计划，包括但不限于培训内容、培训时间...。方案内容应结合本节相关技术需求展开设计说明，明确响应思路、实现路径、约束边界和复核要求，避免引入未在权威 Markdown 中给出的人员、资质、价格、业绩等确定性事实。</w:t>
      </w:r>
    </w:p>
    <w:p ns2:paraId="41B9ACDC">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r>
        <w:rPr>
          <w:rFonts w:hint="eastAsia" w:ascii="黑体" w:hAnsi="黑体" w:eastAsia="黑体" w:cs="黑体"/>
          <w:sz w:val="28"/>
          <w:szCs w:val="32"/>
          <w:lang w:val="en-US" w:eastAsia="zh-CN"/>
        </w:rPr>
        <w:t>功能设计</w:t>
      </w:r>
    </w:p>
    <w:p>
      <w:pPr>
        <w:pStyle w:val="3"/>
        <w:numPr>
          <w:ilvl w:val="0"/>
          <w:numId w:val="0"/>
        </w:numPr>
        <w:bidi w:val="0"/>
        <w:ind w:leftChars="200"/>
        <w:rPr>
          <w:rFonts w:hint="eastAsia"/>
          <w:lang w:val="en-US" w:eastAsia="zh-CN"/>
        </w:rPr>
      </w:pPr>
      <w:r>
        <w:t xml:space="preserve">功能设计总述根据结构化需求事实源编写，围绕目标能力、处理流程、输出结果和质量控制展开，不新增无来源响应。</w:t>
      </w:r>
    </w:p>
    <w:p>
      <w:pPr>
        <w:pStyle w:val="3"/>
        <w:numPr>
          <w:ilvl w:val="0"/>
          <w:numId w:val="0"/>
        </w:numPr>
        <w:bidi w:val="0"/>
        <w:ind w:leftChars="200"/>
        <w:rPr>
          <w:rFonts w:hint="eastAsia"/>
          <w:lang w:val="en-US" w:eastAsia="zh-CN"/>
        </w:rPr>
      </w:pPr>
      <w:r>
        <w:t xml:space="preserve">本节实现内容应保持对海图综合态势展示-标准符合性, 海图综合态势展示, AIS/雷达等目标信息的处理与显示, 航线规划, 安全等深线与水深告警, 航行监控导航与安全预警, 个性化...的可追溯关系，并将需复核或确认的事项保留在人工检查流程中。</w:t>
      </w:r>
    </w:p>
    <w:p>
      <w:pPr>
        <w:pStyle w:val="3"/>
        <w:numPr>
          <w:ilvl w:val="0"/>
          <w:numId w:val="0"/>
        </w:numPr>
        <w:bidi w:val="0"/>
        <w:ind w:leftChars="200"/>
        <w:rPr>
          <w:rFonts w:hint="eastAsia" w:eastAsia="宋体"/>
          <w:lang w:eastAsia="zh-CN"/>
        </w:rPr>
      </w:pPr>
      <w:r>
        <w:t xml:space="preserve">针对海图综合态势展示-标准符合性，方案应围绕来源需求 T001 组织输入处理、业务逻辑、结果输出、异常处理和验证记录。</w:t>
      </w:r>
    </w:p>
    <w:p>
      <w:pPr>
        <w:pStyle w:val="3"/>
        <w:numPr>
          <w:ilvl w:val="0"/>
          <w:numId w:val="0"/>
        </w:numPr>
        <w:bidi w:val="0"/>
        <w:ind w:leftChars="200"/>
        <w:rPr>
          <w:rFonts w:hint="eastAsia" w:eastAsia="宋体"/>
          <w:lang w:eastAsia="zh-CN"/>
        </w:rPr>
      </w:pPr>
      <w:r>
        <w:t xml:space="preserve">本段草稿依据为：标准符合性：核心显示与操作需符合IEC 61174-2015、IEC 62288-2024、GB/T 43053-2023；海图数据处理需符合IHO S-57 3.1版、IHO S-63 1.2版、IHO S-52 6.1版及IHO S-52 PresLib 4.0版标准。</w:t>
      </w:r>
    </w:p>
    <w:p>
      <w:pPr>
        <w:pStyle w:val="3"/>
        <w:numPr>
          <w:ilvl w:val="0"/>
          <w:numId w:val="0"/>
        </w:numPr>
        <w:bidi w:val="0"/>
        <w:ind w:leftChars="200"/>
        <w:rPr>
          <w:rFonts w:hint="eastAsia" w:eastAsia="宋体"/>
          <w:lang w:eastAsia="zh-CN"/>
        </w:rPr>
      </w:pPr>
      <w:r>
        <w:t xml:space="preserve">针对海图综合态势展示，方案应围绕来源需求 T002 组织输入处理、业务逻辑、结果输出、异常处理和验证记录。</w:t>
      </w:r>
    </w:p>
    <w:p>
      <w:pPr>
        <w:pStyle w:val="3"/>
        <w:numPr>
          <w:ilvl w:val="0"/>
          <w:numId w:val="0"/>
        </w:numPr>
        <w:bidi w:val="0"/>
        <w:ind w:leftChars="200"/>
        <w:rPr>
          <w:rFonts w:hint="eastAsia" w:eastAsia="宋体"/>
          <w:lang w:eastAsia="zh-CN"/>
        </w:rPr>
      </w:pPr>
      <w:r>
        <w:t xml:space="preserve">本段草稿依据为：接入并展示标准电子海图（S-57/S-63），支持海图自动匹配、选择、缩放、漫游、图层控制（基础/标准/全部），可开关显示特定要素。</w:t>
      </w:r>
    </w:p>
    <w:p>
      <w:pPr>
        <w:pStyle w:val="3"/>
        <w:numPr>
          <w:ilvl w:val="0"/>
          <w:numId w:val="0"/>
        </w:numPr>
        <w:bidi w:val="0"/>
        <w:ind w:leftChars="200"/>
        <w:rPr>
          <w:rFonts w:hint="eastAsia" w:eastAsia="宋体"/>
          <w:lang w:eastAsia="zh-CN"/>
        </w:rPr>
      </w:pPr>
      <w:r>
        <w:t xml:space="preserve">针对海图综合态势展示，方案应围绕来源需求 T003 组织输入处理、业务逻辑、结果输出、异常处理和验证记录。</w:t>
      </w:r>
    </w:p>
    <w:p>
      <w:pPr>
        <w:pStyle w:val="3"/>
        <w:numPr>
          <w:ilvl w:val="0"/>
          <w:numId w:val="0"/>
        </w:numPr>
        <w:bidi w:val="0"/>
        <w:ind w:leftChars="200"/>
        <w:rPr>
          <w:rFonts w:hint="eastAsia" w:eastAsia="宋体"/>
          <w:lang w:eastAsia="zh-CN"/>
        </w:rPr>
      </w:pPr>
      <w:r>
        <w:t xml:space="preserve">本段草稿依据为：支持IMO要求的多种配色模式（白天、黄昏、夜晚），夜间模式亮度需符合规范。</w:t>
      </w:r>
    </w:p>
    <w:p>
      <w:pPr>
        <w:pStyle w:val="3"/>
        <w:numPr>
          <w:ilvl w:val="0"/>
          <w:numId w:val="0"/>
        </w:numPr>
        <w:bidi w:val="0"/>
        <w:ind w:leftChars="200"/>
        <w:rPr>
          <w:rFonts w:hint="eastAsia" w:eastAsia="宋体"/>
          <w:lang w:eastAsia="zh-CN"/>
        </w:rPr>
      </w:pPr>
      <w:r>
        <w:t xml:space="preserve">针对海图综合态势展示，方案应围绕来源需求 T004 组织输入处理、业务逻辑、结果输出、异常处理和验证记录。</w:t>
      </w:r>
    </w:p>
    <w:p>
      <w:pPr>
        <w:pStyle w:val="3"/>
        <w:numPr>
          <w:ilvl w:val="0"/>
          <w:numId w:val="0"/>
        </w:numPr>
        <w:bidi w:val="0"/>
        <w:ind w:leftChars="200"/>
        <w:rPr>
          <w:rFonts w:hint="eastAsia" w:eastAsia="宋体"/>
          <w:lang w:eastAsia="zh-CN"/>
        </w:rPr>
      </w:pPr>
      <w:r>
        <w:t xml:space="preserve">本段草稿依据为：支持“正北向上”和“船艏向上”模式切换，以及“真实位移”和“相对位移”模式。</w:t>
      </w:r>
    </w:p>
    <w:p>
      <w:pPr>
        <w:pStyle w:val="3"/>
        <w:numPr>
          <w:ilvl w:val="0"/>
          <w:numId w:val="0"/>
        </w:numPr>
        <w:bidi w:val="0"/>
        <w:ind w:leftChars="200"/>
        <w:rPr>
          <w:rFonts w:hint="eastAsia" w:eastAsia="宋体"/>
          <w:lang w:eastAsia="zh-CN"/>
        </w:rPr>
      </w:pPr>
      <w:r>
        <w:t xml:space="preserve">针对AIS/雷达等目标信息的处理与显示，方案应围绕来源需求 T005 组织输入处理、业务逻辑、结果输出、异常处理和验证记录。</w:t>
      </w:r>
    </w:p>
    <w:p>
      <w:pPr>
        <w:pStyle w:val="3"/>
        <w:numPr>
          <w:ilvl w:val="0"/>
          <w:numId w:val="0"/>
        </w:numPr>
        <w:bidi w:val="0"/>
        <w:ind w:leftChars="200"/>
        <w:rPr>
          <w:rFonts w:hint="eastAsia" w:eastAsia="宋体"/>
          <w:lang w:eastAsia="zh-CN"/>
        </w:rPr>
      </w:pPr>
      <w:r>
        <w:t xml:space="preserve">本段草稿依据为：基于OpenGL技术实现雷达回波图像在电子海图上的实时叠加，集成并处理来自雷达、AIS、ARPA等导航设备的动态数据。</w:t>
      </w:r>
    </w:p>
    <w:p>
      <w:pPr>
        <w:pStyle w:val="3"/>
        <w:numPr>
          <w:ilvl w:val="0"/>
          <w:numId w:val="0"/>
        </w:numPr>
        <w:bidi w:val="0"/>
        <w:ind w:leftChars="200"/>
        <w:rPr>
          <w:rFonts w:hint="eastAsia" w:eastAsia="宋体"/>
          <w:lang w:eastAsia="zh-CN"/>
        </w:rPr>
      </w:pPr>
      <w:r>
        <w:t xml:space="preserve">针对AIS/雷达等目标信息的处理与显示，方案应围绕来源需求 T006 组织输入处理、业务逻辑、结果输出、异常处理和验证记录。</w:t>
      </w:r>
    </w:p>
    <w:p>
      <w:pPr>
        <w:pStyle w:val="3"/>
        <w:numPr>
          <w:ilvl w:val="0"/>
          <w:numId w:val="0"/>
        </w:numPr>
        <w:bidi w:val="0"/>
        <w:ind w:leftChars="200"/>
        <w:rPr>
          <w:rFonts w:hint="eastAsia" w:eastAsia="宋体"/>
          <w:lang w:eastAsia="zh-CN"/>
        </w:rPr>
      </w:pPr>
      <w:r>
        <w:t xml:space="preserve">本段草稿依据为：将AIS目标符号、雷达回波、ARPA跟踪目标与本船符号，准确叠加在电子海图上的相应地理位置。</w:t>
      </w:r>
    </w:p>
    <w:p>
      <w:pPr>
        <w:pStyle w:val="3"/>
        <w:numPr>
          <w:ilvl w:val="0"/>
          <w:numId w:val="0"/>
        </w:numPr>
        <w:bidi w:val="0"/>
        <w:ind w:leftChars="200"/>
        <w:rPr>
          <w:rFonts w:hint="eastAsia" w:eastAsia="宋体"/>
          <w:lang w:eastAsia="zh-CN"/>
        </w:rPr>
      </w:pPr>
      <w:r>
        <w:t xml:space="preserve">针对AIS/雷达等目标信息的处理与显示，方案应围绕来源需求 T007 组织输入处理、业务逻辑、结果输出、异常处理和验证记录。</w:t>
      </w:r>
    </w:p>
    <w:p>
      <w:pPr>
        <w:pStyle w:val="3"/>
        <w:numPr>
          <w:ilvl w:val="0"/>
          <w:numId w:val="0"/>
        </w:numPr>
        <w:bidi w:val="0"/>
        <w:ind w:leftChars="200"/>
        <w:rPr>
          <w:rFonts w:hint="eastAsia" w:eastAsia="宋体"/>
          <w:lang w:eastAsia="zh-CN"/>
        </w:rPr>
      </w:pPr>
      <w:r>
        <w:t xml:space="preserve">本段草稿依据为：可选显示AIS目标船舶的关键信息（航向、航速、船名、MMSI等）和ARPA跟踪预测信息。</w:t>
      </w:r>
    </w:p>
    <w:p>
      <w:pPr>
        <w:pStyle w:val="3"/>
        <w:numPr>
          <w:ilvl w:val="0"/>
          <w:numId w:val="0"/>
        </w:numPr>
        <w:bidi w:val="0"/>
        <w:ind w:leftChars="200"/>
        <w:rPr>
          <w:rFonts w:hint="eastAsia" w:eastAsia="宋体"/>
          <w:lang w:eastAsia="zh-CN"/>
        </w:rPr>
      </w:pPr>
      <w:r>
        <w:t xml:space="preserve">针对AIS/雷达等目标信息的处理与显示，方案应围绕来源需求 T008 组织输入处理、业务逻辑、结果输出、异常处理和验证记录。</w:t>
      </w:r>
    </w:p>
    <w:p>
      <w:pPr>
        <w:pStyle w:val="3"/>
        <w:numPr>
          <w:ilvl w:val="0"/>
          <w:numId w:val="0"/>
        </w:numPr>
        <w:bidi w:val="0"/>
        <w:ind w:leftChars="200"/>
        <w:rPr>
          <w:rFonts w:hint="eastAsia" w:eastAsia="宋体"/>
          <w:lang w:eastAsia="zh-CN"/>
        </w:rPr>
      </w:pPr>
      <w:r>
        <w:t xml:space="preserve">本段草稿依据为：支持叠加显示自定义GIS要素，如电子围栏、风险区域等。</w:t>
      </w:r>
    </w:p>
    <w:p>
      <w:pPr>
        <w:pStyle w:val="3"/>
        <w:numPr>
          <w:ilvl w:val="0"/>
          <w:numId w:val="0"/>
        </w:numPr>
        <w:bidi w:val="0"/>
        <w:ind w:leftChars="200"/>
        <w:rPr>
          <w:rFonts w:hint="eastAsia" w:eastAsia="宋体"/>
          <w:lang w:eastAsia="zh-CN"/>
        </w:rPr>
      </w:pPr>
      <w:r>
        <w:t xml:space="preserve">针对AIS/雷达等目标信息的处理与显示，方案应围绕来源需求 T009 组织输入处理、业务逻辑、结果输出、异常处理和验证记录。</w:t>
      </w:r>
    </w:p>
    <w:p>
      <w:pPr>
        <w:pStyle w:val="3"/>
        <w:numPr>
          <w:ilvl w:val="0"/>
          <w:numId w:val="0"/>
        </w:numPr>
        <w:bidi w:val="0"/>
        <w:ind w:leftChars="200"/>
        <w:rPr>
          <w:rFonts w:hint="eastAsia" w:eastAsia="宋体"/>
          <w:lang w:eastAsia="zh-CN"/>
        </w:rPr>
      </w:pPr>
      <w:r>
        <w:t xml:space="preserve">本段草稿依据为：可叠加显示潮汐、海流、气象信息以及海道测量局发布的临时通告（AIO等）。</w:t>
      </w:r>
    </w:p>
    <w:p>
      <w:pPr>
        <w:pStyle w:val="3"/>
        <w:numPr>
          <w:ilvl w:val="0"/>
          <w:numId w:val="0"/>
        </w:numPr>
        <w:bidi w:val="0"/>
        <w:ind w:leftChars="200"/>
        <w:rPr>
          <w:rFonts w:hint="eastAsia" w:eastAsia="宋体"/>
          <w:lang w:eastAsia="zh-CN"/>
        </w:rPr>
      </w:pPr>
      <w:r>
        <w:t xml:space="preserve">针对航线规划，方案应围绕来源需求 T010 组织输入处理、业务逻辑、结果输出、异常处理和验证记录。</w:t>
      </w:r>
    </w:p>
    <w:p>
      <w:pPr>
        <w:pStyle w:val="3"/>
        <w:numPr>
          <w:ilvl w:val="0"/>
          <w:numId w:val="0"/>
        </w:numPr>
        <w:bidi w:val="0"/>
        <w:ind w:leftChars="200"/>
        <w:rPr>
          <w:rFonts w:hint="eastAsia" w:eastAsia="宋体"/>
          <w:lang w:eastAsia="zh-CN"/>
        </w:rPr>
      </w:pPr>
      <w:r>
        <w:t xml:space="preserve">本段草稿依据为：支持手动或自动航线设计，允许灵活地添加、删除、拖动、排序航向点和航段。</w:t>
      </w:r>
    </w:p>
    <w:p>
      <w:pPr>
        <w:pStyle w:val="3"/>
        <w:numPr>
          <w:ilvl w:val="0"/>
          <w:numId w:val="0"/>
        </w:numPr>
        <w:bidi w:val="0"/>
        <w:ind w:leftChars="200"/>
        <w:rPr>
          <w:rFonts w:hint="eastAsia" w:eastAsia="宋体"/>
          <w:lang w:eastAsia="zh-CN"/>
        </w:rPr>
      </w:pPr>
      <w:r>
        <w:t xml:space="preserve">针对航线规划，方案应围绕来源需求 T011 组织输入处理、业务逻辑、结果输出、异常处理和验证记录。</w:t>
      </w:r>
    </w:p>
    <w:p>
      <w:pPr>
        <w:pStyle w:val="3"/>
        <w:numPr>
          <w:ilvl w:val="0"/>
          <w:numId w:val="0"/>
        </w:numPr>
        <w:bidi w:val="0"/>
        <w:ind w:leftChars="200"/>
        <w:rPr>
          <w:rFonts w:hint="eastAsia" w:eastAsia="宋体"/>
          <w:lang w:eastAsia="zh-CN"/>
        </w:rPr>
      </w:pPr>
      <w:r>
        <w:t xml:space="preserve">本段草稿依据为：自动执行航线安全检查，在规划阶段提示航线段是否穿过浅水、禁航区或接近危险物。</w:t>
      </w:r>
    </w:p>
    <w:p>
      <w:pPr>
        <w:pStyle w:val="3"/>
        <w:numPr>
          <w:ilvl w:val="0"/>
          <w:numId w:val="0"/>
        </w:numPr>
        <w:bidi w:val="0"/>
        <w:ind w:leftChars="200"/>
        <w:rPr>
          <w:rFonts w:hint="eastAsia" w:eastAsia="宋体"/>
          <w:lang w:eastAsia="zh-CN"/>
        </w:rPr>
      </w:pPr>
      <w:r>
        <w:t xml:space="preserve">针对航线规划，方案应围绕来源需求 T012 组织输入处理、业务逻辑、结果输出、异常处理和验证记录。</w:t>
      </w:r>
    </w:p>
    <w:p>
      <w:pPr>
        <w:pStyle w:val="3"/>
        <w:numPr>
          <w:ilvl w:val="0"/>
          <w:numId w:val="0"/>
        </w:numPr>
        <w:bidi w:val="0"/>
        <w:ind w:leftChars="200"/>
        <w:rPr>
          <w:rFonts w:hint="eastAsia" w:eastAsia="宋体"/>
          <w:lang w:eastAsia="zh-CN"/>
        </w:rPr>
      </w:pPr>
      <w:r>
        <w:t xml:space="preserve">本段草稿依据为：允许用户为航线设定安全参数，包括吃水、安全等深线、偏航阈值（XTD）、船舶尺寸等。</w:t>
      </w:r>
    </w:p>
    <w:p>
      <w:pPr>
        <w:pStyle w:val="3"/>
        <w:numPr>
          <w:ilvl w:val="0"/>
          <w:numId w:val="0"/>
        </w:numPr>
        <w:bidi w:val="0"/>
        <w:ind w:leftChars="200"/>
        <w:rPr>
          <w:rFonts w:hint="eastAsia" w:eastAsia="宋体"/>
          <w:lang w:eastAsia="zh-CN"/>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pStyle w:val="3"/>
        <w:numPr>
          <w:ilvl w:val="0"/>
          <w:numId w:val="0"/>
        </w:numPr>
        <w:bidi w:val="0"/>
        <w:ind w:leftChars="200"/>
        <w:rPr>
          <w:rFonts w:hint="eastAsia" w:eastAsia="宋体"/>
          <w:lang w:eastAsia="zh-CN"/>
        </w:rPr>
      </w:pPr>
      <w:r>
        <w:t xml:space="preserve">针对系统接口理解的准确性、数据交互设计应具备合理性。，本章节按方案撰写要求进行扩写：系统接口理解的准确性、数据交互设计应具备合理性。。方案内容应结合本节相关技术需求展开设计说明，明确响应思路、实现路径、约束边界和复核要求，避免引入未在权威 Markdown 中给出的人员、资质、价格、业绩等确定性事实。</w:t>
      </w:r>
    </w:p>
    <w:p>
      <w:pPr>
        <w:pStyle w:val="3"/>
        <w:numPr>
          <w:ilvl w:val="0"/>
          <w:numId w:val="0"/>
        </w:numPr>
        <w:bidi w:val="0"/>
        <w:ind w:leftChars="200"/>
        <w:rPr>
          <w:rFonts w:hint="eastAsia" w:eastAsia="宋体"/>
          <w:lang w:eastAsia="zh-CN"/>
        </w:rPr>
      </w:pPr>
      <w:r>
        <w:t xml:space="preserve">针对项目安全设计应具备针对性、合理性。，本章节按方案撰写要求进行扩写：项目安全设计应具备针对性、合理性。。方案内容应结合本节相关技术需求展开设计说明，明确响应思路、实现路径、约束边界和复核要求，避免引入未在权威 Markdown 中给出的人员、资质、价格、业绩等确定性事实。</w:t>
      </w:r>
    </w:p>
    <w:p>
      <w:pPr>
        <w:pStyle w:val="3"/>
        <w:numPr>
          <w:ilvl w:val="0"/>
          <w:numId w:val="0"/>
        </w:numPr>
        <w:bidi w:val="0"/>
        <w:ind w:leftChars="200"/>
        <w:rPr>
          <w:rFonts w:hint="eastAsia" w:eastAsia="宋体"/>
          <w:lang w:eastAsia="zh-CN"/>
        </w:rPr>
      </w:pPr>
      <w:r>
        <w:t xml:space="preserve">针对知识产权和保密要求，本章节按方案撰写要求进行扩写：知识产权和保密要求：投标供应商应当保障采购单位在使用该物资或其任何一部分时，不受第三方侵权指控。同时，投标供应商不得向第三方泄露采购机构提供的技术文件等材料。 基于项目合同履行形成的知识产权和其他权益，其权属归采购单位所有，法律另有规定的除外。。方案内容应结合本节相关技术需求展开设计说明，明确响应思路、实现路径、约束边界和复核要求，避免引入未在权威 Markdown 中给出的人员、资质、价格、业绩等确定性事实。</w:t>
      </w:r>
    </w:p>
    <w:p ns2:paraId="6479611C">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性能设计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来源ID</w:t>
            </w:r>
          </w:p>
        </w:tc>
        <w:tc>
          <w:tcPr>
            <w:tcW w:w="2400" w:type="dxa"/>
          </w:tcPr>
          <w:p>
            <w:r>
              <w:t xml:space="preserve">响应对象</w:t>
            </w:r>
          </w:p>
        </w:tc>
        <w:tc>
          <w:tcPr>
            <w:tcW w:w="2400" w:type="dxa"/>
          </w:tcPr>
          <w:p>
            <w:r>
              <w:t xml:space="preserve">正文响应要点</w:t>
            </w:r>
          </w:p>
        </w:tc>
      </w:tr>
      <w:tr>
        <w:tc>
          <w:tcPr>
            <w:tcW w:w="2400" w:type="dxa"/>
          </w:tcPr>
          <w:p>
            <w:r>
              <w:t xml:space="preserve">P001</w:t>
            </w:r>
          </w:p>
        </w:tc>
        <w:tc>
          <w:tcPr>
            <w:tcW w:w="2400" w:type="dxa"/>
          </w:tcPr>
          <w:p>
            <w:r>
              <w:t xml:space="preserve">一般操作响应时间（数据查阅、图表显示等操作）：＜2s；</w:t>
            </w:r>
          </w:p>
        </w:tc>
        <w:tc>
          <w:tcPr>
            <w:tcW w:w="2400" w:type="dxa"/>
          </w:tcPr>
          <w:p>
            <w:r>
              <w:t xml:space="preserve">一般操作响应时间（数据查阅、图表显示等操作）：＜2s；</w:t>
            </w:r>
          </w:p>
        </w:tc>
      </w:tr>
      <w:tr>
        <w:tc>
          <w:tcPr>
            <w:tcW w:w="2400" w:type="dxa"/>
          </w:tcPr>
          <w:p>
            <w:r>
              <w:t xml:space="preserve">P002</w:t>
            </w:r>
          </w:p>
        </w:tc>
        <w:tc>
          <w:tcPr>
            <w:tcW w:w="2400" w:type="dxa"/>
          </w:tcPr>
          <w:p>
            <w:r>
              <w:t xml:space="preserve">系统初始化时间：＜10s；-系统初始化时间</w:t>
            </w:r>
          </w:p>
        </w:tc>
        <w:tc>
          <w:tcPr>
            <w:tcW w:w="2400" w:type="dxa"/>
          </w:tcPr>
          <w:p>
            <w:r>
              <w:t xml:space="preserve">系统初始化时间：＜10s；</w:t>
            </w:r>
          </w:p>
        </w:tc>
      </w:tr>
      <w:tr>
        <w:tc>
          <w:tcPr>
            <w:tcW w:w="2400" w:type="dxa"/>
          </w:tcPr>
          <w:p>
            <w:r>
              <w:t xml:space="preserve">P003</w:t>
            </w:r>
          </w:p>
        </w:tc>
        <w:tc>
          <w:tcPr>
            <w:tcW w:w="2400" w:type="dxa"/>
          </w:tcPr>
          <w:p>
            <w:r>
              <w:t xml:space="preserve">一般数据查询时间：＜5s；-一般数据查询时间</w:t>
            </w:r>
          </w:p>
        </w:tc>
        <w:tc>
          <w:tcPr>
            <w:tcW w:w="2400" w:type="dxa"/>
          </w:tcPr>
          <w:p>
            <w:r>
              <w:t xml:space="preserve">一般数据查询时间：＜5s；</w:t>
            </w:r>
          </w:p>
        </w:tc>
      </w:tr>
      <w:tr>
        <w:tc>
          <w:tcPr>
            <w:tcW w:w="2400" w:type="dxa"/>
          </w:tcPr>
          <w:p>
            <w:r>
              <w:t xml:space="preserve">P004</w:t>
            </w:r>
          </w:p>
        </w:tc>
        <w:tc>
          <w:tcPr>
            <w:tcW w:w="2400" w:type="dxa"/>
          </w:tcPr>
          <w:p>
            <w:r>
              <w:t xml:space="preserve">一般数据汇总时间：&lt;10s；-一般数据汇总时间</w:t>
            </w:r>
          </w:p>
        </w:tc>
        <w:tc>
          <w:tcPr>
            <w:tcW w:w="2400" w:type="dxa"/>
          </w:tcPr>
          <w:p>
            <w:r>
              <w:t xml:space="preserve">一般数据汇总时间：&lt;10s；</w:t>
            </w:r>
          </w:p>
        </w:tc>
      </w:tr>
      <w:tr>
        <w:tc>
          <w:tcPr>
            <w:tcW w:w="2400" w:type="dxa"/>
          </w:tcPr>
          <w:p>
            <w:r>
              <w:t xml:space="preserve">P005</w:t>
            </w:r>
          </w:p>
        </w:tc>
        <w:tc>
          <w:tcPr>
            <w:tcW w:w="2400" w:type="dxa"/>
          </w:tcPr>
          <w:p>
            <w:r>
              <w:t xml:space="preserve">指令响应率：100%；-指令响应率</w:t>
            </w:r>
          </w:p>
        </w:tc>
        <w:tc>
          <w:tcPr>
            <w:tcW w:w="2400" w:type="dxa"/>
          </w:tcPr>
          <w:p>
            <w:r>
              <w:t xml:space="preserve">指令响应率：100%；</w:t>
            </w:r>
          </w:p>
        </w:tc>
      </w:tr>
      <w:tr>
        <w:tc>
          <w:tcPr>
            <w:tcW w:w="2400" w:type="dxa"/>
          </w:tcPr>
          <w:p>
            <w:r>
              <w:t xml:space="preserve">P006</w:t>
            </w:r>
          </w:p>
        </w:tc>
        <w:tc>
          <w:tcPr>
            <w:tcW w:w="2400" w:type="dxa"/>
          </w:tcPr>
          <w:p>
            <w:r>
              <w:t xml:space="preserve">系统服务稳定性：99%；-系统服务稳定性</w:t>
            </w:r>
          </w:p>
        </w:tc>
        <w:tc>
          <w:tcPr>
            <w:tcW w:w="2400" w:type="dxa"/>
          </w:tcPr>
          <w:p>
            <w:r>
              <w:t xml:space="preserve">系统服务稳定性：99%；</w:t>
            </w:r>
          </w:p>
        </w:tc>
      </w:tr>
      <w:tr>
        <w:tc>
          <w:tcPr>
            <w:tcW w:w="2400" w:type="dxa"/>
          </w:tcPr>
          <w:p>
            <w:r>
              <w:t xml:space="preserve">P007</w:t>
            </w:r>
          </w:p>
        </w:tc>
        <w:tc>
          <w:tcPr>
            <w:tcW w:w="2400" w:type="dxa"/>
          </w:tcPr>
          <w:p>
            <w:r>
              <w:t xml:space="preserve">特殊操作超过该时间则需要给予用户明确的等待时间或进度条提示。</w:t>
            </w:r>
          </w:p>
        </w:tc>
        <w:tc>
          <w:tcPr>
            <w:tcW w:w="2400" w:type="dxa"/>
          </w:tcPr>
          <w:p>
            <w:r>
              <w:t xml:space="preserve">特殊操作超过该时间则需要给予用户明确的等待时间或进度条提示。</w:t>
            </w:r>
          </w:p>
        </w:tc>
      </w:tr>
    </w:tbl>
    <w:p ns2:paraId="29318CA3">
      <w:pPr>
        <w:spacing w:line="360" w:lineRule="auto"/>
        <w:ind w:firstLine="480" w:firstLineChars="200"/>
        <w:rPr>
          <w:rFonts w:hint="eastAsia"/>
        </w:rPr>
      </w:pPr>
    </w:p>
    <w:p ns2: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w:pPr>
        <w:pStyle w:val="3"/>
        <w:numPr>
          <w:ilvl w:val="0"/>
          <w:numId w:val="0"/>
        </w:numPr>
        <w:bidi w:val="0"/>
        <w:ind w:leftChars="200"/>
        <w:rPr>
          <w:rFonts w:hint="eastAsia" w:ascii="黑体" w:hAnsi="黑体" w:eastAsia="黑体" w:cs="黑体"/>
          <w:sz w:val="28"/>
          <w:szCs w:val="32"/>
        </w:rPr>
      </w:pPr>
      <w:r>
        <w:t xml:space="preserve">数据库设计总述根据结构化需求事实源生成，内容应保持对海图综合态势展示-标准符合性, 海图综合态势展示, AIS/雷达等目标信息的处理与显示, 安全等深线与水深告警, 航行监控导航与安全预警, 基础平台与架构要求...的可追溯关系。</w:t>
      </w:r>
    </w:p>
    <w:p>
      <w:pPr>
        <w:pStyle w:val="3"/>
        <w:numPr>
          <w:ilvl w:val="0"/>
          <w:numId w:val="0"/>
        </w:numPr>
        <w:bidi w:val="0"/>
        <w:ind w:leftChars="200"/>
        <w:rPr>
          <w:rFonts w:hint="eastAsia" w:ascii="黑体" w:hAnsi="黑体" w:eastAsia="黑体" w:cs="黑体"/>
          <w:sz w:val="28"/>
          <w:szCs w:val="32"/>
        </w:rPr>
      </w:pPr>
      <w:r>
        <w:t xml:space="preserve">该本地草稿仅用于离线流程验证；生产正文应通过 llm_client.call_llm_api() 生成。</w:t>
      </w:r>
    </w:p>
    <w:p ns2: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数据库架构</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数据库架构设计根据结构化需求事实源生成，内容应保持对基础平台与架构要求, 数据维护与合规, 可靠性要求, 维修性要求, 测试性要求, 内部接口-安全告警与风险接口, 内部接口-航线规划与监控接口, 内部接口-数...的可追溯关系。</w:t>
      </w:r>
    </w:p>
    <w:p>
      <w:pPr>
        <w:adjustRightInd w:val="0"/>
        <w:spacing w:line="360" w:lineRule="auto"/>
        <w:ind w:firstLine="420"/>
        <w:rPr>
          <w:rFonts w:ascii="Helvetica" w:hAnsi="Helvetica" w:eastAsia="Helvetica" w:cs="Helvetica"/>
          <w:color w:val="707070"/>
          <w:sz w:val="21"/>
          <w:szCs w:val="21"/>
          <w:shd w:val="clear" w:color="auto" w:fill="F5F6F8"/>
        </w:rPr>
      </w:pPr>
      <w:r>
        <w:t xml:space="preserve">该本地草稿仅用于离线流程验证；生产正文应通过 llm_client.call_llm_api() 生成。</w:t>
      </w:r>
    </w:p>
    <w:p>
      <w:pPr>
        <w:adjustRightInd w:val="0"/>
        <w:spacing w:line="360" w:lineRule="auto"/>
        <w:ind w:firstLine="420"/>
        <w:rPr>
          <w:rFonts w:ascii="Helvetica" w:hAnsi="Helvetica" w:eastAsia="Helvetica" w:cs="Helvetica"/>
          <w:color w:val="707070"/>
          <w:sz w:val="21"/>
          <w:szCs w:val="21"/>
          <w:shd w:val="clear" w:color="auto" w:fill="F5F6F8"/>
        </w:rPr>
      </w:pPr>
      <w:r>
        <w:t xml:space="preserve">针对系统接口理解的准确性、数据交互设计应具备合理性。，本章节按方案撰写要求进行扩写：系统接口理解的准确性、数据交互设计应具备合理性。。方案内容应结合本节相关技术需求展开设计说明，明确响应思路、实现路径、约束边界和复核要求，避免引入未在权威 Markdown 中给出的人员、资质、价格、业绩等确定性事实。</w:t>
      </w:r>
    </w:p>
    <w:p ns2:paraId="2B702C7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核心业务设计</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核心业务数据设计根据结构化需求事实源生成，内容应保持对海图综合态势展示-标准符合性, 海图综合态势展示, AIS/雷达等目标信息的处理与显示, 安全等深线与水深告警, 航行监控导航与安全预警, 基础平台与架构要求...的可追溯关系。</w:t>
      </w:r>
    </w:p>
    <w:p>
      <w:pPr>
        <w:adjustRightInd w:val="0"/>
        <w:spacing w:line="360" w:lineRule="auto"/>
        <w:ind w:firstLine="420"/>
        <w:rPr>
          <w:rFonts w:ascii="Helvetica" w:hAnsi="Helvetica" w:eastAsia="Helvetica" w:cs="Helvetica"/>
          <w:color w:val="707070"/>
          <w:sz w:val="21"/>
          <w:szCs w:val="21"/>
          <w:shd w:val="clear" w:color="auto" w:fill="F5F6F8"/>
        </w:rPr>
      </w:pPr>
      <w:r>
        <w:t xml:space="preserve">该本地草稿仅用于离线流程验证；生产正文应通过 llm_client.call_llm_api() 生成。</w:t>
      </w:r>
    </w:p>
    <w:p>
      <w:pPr>
        <w:adjustRightInd w:val="0"/>
        <w:spacing w:line="360" w:lineRule="auto"/>
        <w:ind w:firstLine="420"/>
        <w:rPr>
          <w:rFonts w:ascii="Helvetica" w:hAnsi="Helvetica" w:eastAsia="Helvetica" w:cs="Helvetica"/>
          <w:color w:val="707070"/>
          <w:sz w:val="21"/>
          <w:szCs w:val="21"/>
          <w:shd w:val="clear" w:color="auto" w:fill="F5F6F8"/>
        </w:rPr>
      </w:pPr>
      <w:r>
        <w:t xml:space="preserve">针对系统接口理解的准确性、数据交互设计应具备合理性。，本章节按方案撰写要求进行扩写：系统接口理解的准确性、数据交互设计应具备合理性。。方案内容应结合本节相关技术需求展开设计说明，明确响应思路、实现路径、约束边界和复核要求，避免引入未在权威 Markdown 中给出的人员、资质、价格、业绩等确定性事实。</w:t>
      </w:r>
    </w:p>
    <w:p ns2: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数据库表设计</w:t>
      </w:r>
    </w:p>
    <w:p>
      <w:pPr>
        <w:adjustRightInd w:val="0"/>
        <w:spacing w:line="360" w:lineRule="auto"/>
        <w:ind w:firstLine="480" w:firstLineChars="200"/>
        <w:rPr>
          <w:szCs w:val="28"/>
        </w:rPr>
      </w:pPr>
      <w:r>
        <w:t xml:space="preserve">数据库表设计根据结构化需求事实源生成，内容应保持对海图综合态势展示-标准符合性, 海图综合态势展示, AIS/雷达等目标信息的处理与显示, 安全等深线与水深告警, 航行监控导航与安全预警, 基础平台与架构要求...的可追溯关系。</w:t>
      </w:r>
    </w:p>
    <w:p>
      <w:pPr>
        <w:adjustRightInd w:val="0"/>
        <w:spacing w:line="360" w:lineRule="auto"/>
        <w:ind w:firstLine="480" w:firstLineChars="200"/>
        <w:rPr>
          <w:szCs w:val="28"/>
        </w:rPr>
      </w:pPr>
      <w:r>
        <w:t xml:space="preserve">该本地草稿仅用于离线流程验证；生产正文应通过 llm_client.call_llm_api() 生成。</w:t>
      </w:r>
    </w:p>
    <w:p ns2: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7" w:name="_Toc1932"/>
      <w:bookmarkStart w:id="18" w:name="_Toc9876"/>
      <w:bookmarkStart w:id="19" w:name="_Toc11462"/>
      <w:r>
        <w:rPr>
          <w:rFonts w:hint="eastAsia" w:ascii="黑体" w:hAnsi="黑体" w:eastAsia="黑体" w:cs="黑体"/>
          <w:sz w:val="28"/>
          <w:szCs w:val="32"/>
          <w:lang w:val="en-US" w:eastAsia="zh-CN"/>
        </w:rPr>
        <w:t>通用质量特性设计</w:t>
      </w:r>
      <w:bookmarkEnd w:id="17"/>
    </w:p>
    <w:p>
      <w:pPr>
        <w:widowControl w:val="0"/>
        <w:bidi w:val="0"/>
        <w:spacing w:after="2" w:line="360" w:lineRule="auto"/>
        <w:ind w:firstLine="480" w:firstLineChars="200"/>
      </w:pPr>
      <w:r>
        <w:t xml:space="preserve">通用质量特性设计总述根据结构化需求事实源生成，内容应保持对可靠性要求, 安全性要求, 保障性要求, 维修性要求, 维修性要求-MTTR（平均维修时间）, 测试性要求, 环境适应性要求-软件运行环境, 本项目研制工作的...的可追溯关系。</w:t>
      </w:r>
    </w:p>
    <w:p>
      <w:pPr>
        <w:widowControl w:val="0"/>
        <w:bidi w:val="0"/>
        <w:spacing w:after="2" w:line="360" w:lineRule="auto"/>
        <w:ind w:firstLine="480" w:firstLineChars="200"/>
      </w:pPr>
      <w:r>
        <w:t xml:space="preserve">该本地草稿仅用于离线流程验证；生产正文应通过 llm_client.call_llm_api() 生成。</w:t>
      </w:r>
    </w:p>
    <w:p ns2: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0" w:name="_Ref2431"/>
      <w:r>
        <w:rPr>
          <w:rFonts w:hint="eastAsia" w:eastAsia="黑体"/>
          <w:bCs/>
          <w:szCs w:val="32"/>
          <w:lang w:val="en-US" w:eastAsia="zh-CN"/>
        </w:rPr>
        <w:t>可靠性设计</w:t>
      </w:r>
      <w:bookmarkEnd w:id="2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可靠性设计根据结构化需求事实源生成，内容应保持对系统初始化时间：＜10s；-系统初始化时间, 指令响应率：100%；-指令响应率, 系统服务稳定性：99%；-系统服务稳定性, 可靠性要求, 维修性要求, 维...的可追溯关系。</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该本地草稿仅用于离线流程验证；生产正文应通过 llm_client.call_llm_api() 生成。</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ns2: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1" w:name="_Ref2503"/>
      <w:r>
        <w:rPr>
          <w:rFonts w:hint="eastAsia" w:eastAsia="黑体"/>
          <w:bCs/>
          <w:szCs w:val="32"/>
          <w:lang w:val="en-US" w:eastAsia="zh-CN"/>
        </w:rPr>
        <w:t>维修性设计</w:t>
      </w:r>
      <w:bookmarkEnd w:id="21"/>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维修性与保障性设计根据结构化需求事实源生成，内容应保持对可靠性要求, 安全性要求, 维修性要求-MTTR（平均维修时间）, 测试性要求的可追溯关系。</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该本地草稿仅用于离线流程验证；生产正文应通过 llm_client.call_llm_api() 生成。</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针对据培训计划方案进行评审，，本章节按方案撰写要求进行扩写：据培训计划方案进行评审，。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针对免费培训，本章节按方案撰写要求进行扩写：免费培训：中标供应商应当根据投标文件的相关培训响应及项目实施进度，对采购单位相关人员进行培训。 培训所达到的目标：按甲方要求。培训师资要求：具备丰富的相同课程教学经验，所有的培训教员必须中文授课。培训内容：理论培训、现场操作培训，并负责编制培训教材（含安装手册、软件使用手册、 PPT 或视频）。培训项目：按甲方要求。培训科目：按甲方要求。培训对象与人数：按甲方要求。培训时间/频次：培训次数不超过5次，时长每次不少于 60 分钟。其他：投标供应商须在投标文件中提出全面、详细的培训计划，包括但不限于培训内容、培训时间...。方案内容应结合本节相关技术需求展开设计说明，明确响应思路、实现路径、约束边界和复核要求，避免引入未在权威 Markdown 中给出的人员、资质、价格、业绩等确定性事实。</w:t>
      </w:r>
    </w:p>
    <w:p ns2: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2" w:name="_Ref2549"/>
      <w:r>
        <w:rPr>
          <w:rFonts w:hint="eastAsia" w:eastAsia="黑体"/>
          <w:bCs/>
          <w:szCs w:val="32"/>
          <w:lang w:val="en-US" w:eastAsia="zh-CN"/>
        </w:rPr>
        <w:t>保障性设计</w:t>
      </w:r>
      <w:bookmarkEnd w:id="22"/>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保障性设计根据结构化需求事实源生成，内容应保持对系统服务稳定性：99%；-系统服务稳定性, 安全性要求, 保障性要求, 维修性要求, 维修性要求-MTTR（平均维修时间）的可追溯关系。</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该本地草稿仅用于离线流程验证；生产正文应通过 llm_client.call_llm_api() 生成。</w:t>
      </w:r>
    </w:p>
    <w:p ns2: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3" w:name="_Ref2826"/>
      <w:r>
        <w:rPr>
          <w:rFonts w:hint="eastAsia" w:eastAsia="黑体"/>
          <w:bCs/>
          <w:szCs w:val="32"/>
          <w:lang w:val="en-US" w:eastAsia="zh-CN"/>
        </w:rPr>
        <w:t>测试性设计</w:t>
      </w:r>
      <w:bookmarkEnd w:id="2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测试性设计根据结构化需求事实源生成，内容应保持对安全性要求, 测试性要求的可追溯关系。</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该本地草稿仅用于离线流程验证；生产正文应通过 llm_client.call_llm_api() 生成。</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ns2: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4" w:name="_Ref2892"/>
      <w:r>
        <w:rPr>
          <w:rFonts w:hint="eastAsia" w:eastAsia="黑体"/>
          <w:bCs/>
          <w:szCs w:val="32"/>
          <w:lang w:val="en-US" w:eastAsia="zh-CN"/>
        </w:rPr>
        <w:t>安全性设计</w:t>
      </w:r>
      <w:bookmarkEnd w:id="24"/>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安全性设计根据结构化需求事实源生成，内容应保持对航线规划, 安全等深线与水深告警, 个性化设置需求, 数据维护与合规, 可靠性要求, 安全性要求, 保障性要求, 维修性要求, 维修性要求-MTTR（平均维修...的可追溯关系。</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该本地草稿仅用于离线流程验证；生产正文应通过 llm_client.call_llm_api() 生成。</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项目安全设计应具备针对性、合理性。，本章节按方案撰写要求进行扩写：项目安全设计应具备针对性、合理性。。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知识产权和保密要求，本章节按方案撰写要求进行扩写：知识产权和保密要求：投标供应商应当保障采购单位在使用该物资或其任何一部分时，不受第三方侵权指控。同时，投标供应商不得向第三方泄露采购机构提供的技术文件等材料。 基于项目合同履行形成的知识产权和其他权益，其权属归采购单位所有，法律另有规定的除外。。方案内容应结合本节相关技术需求展开设计说明，明确响应思路、实现路径、约束边界和复核要求，避免引入未在权威 Markdown 中给出的人员、资质、价格、业绩等确定性事实。</w:t>
      </w:r>
    </w:p>
    <w:p ns2: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环境适应性设计</w:t>
      </w:r>
    </w:p>
    <w:bookmarkEnd w:id="18"/>
    <w:bookmarkEnd w:id="19"/>
    <w:p>
      <w:pPr>
        <w:spacing w:line="360" w:lineRule="auto"/>
        <w:ind w:firstLine="480" w:firstLineChars="200"/>
      </w:pPr>
      <w:r>
        <w:t xml:space="preserve">环境适应性设计根据结构化需求事实源生成，内容应保持对基础平台与架构要求-跨平台兼容性, 安全性要求, 环境适应性要求-软件运行环境的可追溯关系。</w:t>
      </w:r>
    </w:p>
    <w:p>
      <w:pPr>
        <w:spacing w:line="360" w:lineRule="auto"/>
        <w:ind w:firstLine="480" w:firstLineChars="200"/>
      </w:pPr>
      <w:r>
        <w:t xml:space="preserve">该本地草稿仅用于离线流程验证；生产正文应通过 llm_client.call_llm_api() 生成。</w:t>
      </w:r>
    </w:p>
    <w:p>
      <w:pPr>
        <w:spacing w:line="360" w:lineRule="auto"/>
        <w:ind w:firstLine="480" w:firstLineChars="200"/>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pPr>
      <w:r>
        <w:t xml:space="preserve">针对部署方案应具备灵活性。，本章节按方案撰写要求进行扩写：部署方案应具备灵活性。。方案内容应结合本节相关技术需求展开设计说明，明确响应思路、实现路径、约束边界和复核要求，避免引入未在权威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pPr>
      <w:r>
        <w:t xml:space="preserve">针对交付（服务）时间，本章节按方案撰写要求进行扩写：1.交付（服务）时间：合同签订后，以需求单位通知进场时间为准，进场后2个月内交货安装调试完毕，并完成系统的集成、部署、联调、上线运行。。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pPr>
      <w:r>
        <w:t xml:space="preserve">针对交付（服务）方式：供应商完成运输、安装、调试等工作。-交付（服务）方式，本章节按方案撰写要求进行扩写：交付（服务）方式：供应商完成运输、安装、调试等工作。。方案内容应结合本节相关技术需求展开设计说明，明确响应思路、实现路径、约束边界和复核要求，避免引入未在权威 Markdown 中给出的人员、资质、价格、业绩等确定性事实。</w:t>
      </w:r>
    </w:p>
    <w:p>
      <w:pPr>
        <w:spacing w:line="360" w:lineRule="auto"/>
        <w:ind w:firstLine="480" w:firstLineChars="200"/>
      </w:pPr>
      <w:r>
        <w:t xml:space="preserve">针对免费培训，本章节按方案撰写要求进行扩写：免费培训：中标供应商应当根据投标文件的相关培训响应及项目实施进度，对采购单位相关人员进行培训。 培训所达到的目标：按甲方要求。培训师资要求：具备丰富的相同课程教学经验，所有的培训教员必须中文授课。培训内容：理论培训、现场操作培训，并负责编制培训教材（含安装手册、软件使用手册、 PPT 或视频）。培训项目：按甲方要求。培训科目：按甲方要求。培训对象与人数：按甲方要求。培训时间/频次：培训次数不超过5次，时长每次不少于 60 分钟。其他：投标供应商须在投标文件中提出全面、详细的培训计划，包括但不限于培训内容、培训时间...。方案内容应结合本节相关技术需求展开设计说明，明确响应思路、实现路径、约束边界和复核要求，避免引入未在权威 Markdown 中给出的人员、资质、价格、业绩等确定性事实。</w:t>
      </w:r>
    </w:p>
    <w:p ns2: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25" w:name="_Toc26333"/>
      <w:r>
        <w:rPr>
          <w:rFonts w:hint="eastAsia" w:ascii="黑体" w:hAnsi="黑体" w:eastAsia="黑体" w:cs="黑体"/>
          <w:sz w:val="28"/>
          <w:szCs w:val="32"/>
        </w:rPr>
        <w:t>关键技术</w:t>
      </w:r>
      <w:bookmarkEnd w:id="25"/>
    </w:p>
    <w:p>
      <w:pPr>
        <w:widowControl/>
        <w:spacing w:line="360" w:lineRule="auto"/>
        <w:ind w:firstLine="480" w:firstLineChars="200"/>
        <w:jc w:val="left"/>
        <w:textAlignment w:val="center"/>
        <w:rPr>
          <w:rFonts w:hint="eastAsia"/>
          <w:szCs w:val="18"/>
        </w:rPr>
      </w:pPr>
      <w:r>
        <w:t xml:space="preserve">关键技术根据结构化需求事实源生成，内容应保持对海图综合态势展示-标准符合性, 海图综合态势展示, AIS/雷达等目标信息的处理与显示, 航线规划, 安全等深线与水深告警, 航行监控导航与安全预警, 个性化...的可追溯关系。</w:t>
      </w:r>
    </w:p>
    <w:p>
      <w:pPr>
        <w:widowControl/>
        <w:spacing w:line="360" w:lineRule="auto"/>
        <w:ind w:firstLine="480" w:firstLineChars="200"/>
        <w:jc w:val="left"/>
        <w:textAlignment w:val="center"/>
        <w:rPr>
          <w:rFonts w:hint="eastAsia"/>
          <w:szCs w:val="18"/>
        </w:rPr>
      </w:pPr>
      <w:r>
        <w:t xml:space="preserve">该本地草稿仅用于离线流程验证；生产正文应通过 llm_client.call_llm_api() 生成。</w:t>
      </w:r>
    </w:p>
    <w:p>
      <w:pPr>
        <w:widowControl/>
        <w:spacing w:line="360" w:lineRule="auto"/>
        <w:ind w:firstLine="480" w:firstLineChars="200"/>
        <w:jc w:val="left"/>
        <w:textAlignment w:val="center"/>
        <w:rPr>
          <w:rFonts w:hint="eastAsia"/>
          <w:szCs w:val="18"/>
        </w:rPr>
      </w:pPr>
      <w:r>
        <w:t xml:space="preserve">针对技术方案对需求应具备全面性、准确性、充分性。，本章节按方案撰写要求进行扩写：技术方案对需求应具备全面性、准确性、充分性。。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技术方案内容要求，本章节按方案撰写要求进行扩写：技术方案内容要求，可包括需求分析、架构设计（业务、技术架构）、系统功能、部署方案、安全设计（网络安全、保密性等）、关键技术等。。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系统总体、业务、逻辑、技术、数据架构设计需具备全面性、合理性，本章节按方案撰写要求进行扩写：系统总体、业务、逻辑、技术、数据架构设计需具备全面性、合理性，以及配置灵活性。。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业务和数据处理流程图描述情况应符合需求和逻辑清晰。，本章节按方案撰写要求进行扩写：业务和数据处理流程图描述情况应符合需求和逻辑清晰。。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关键技术分析应具备可行性、合理性、创新性及与需求的相关性。，本章节按方案撰写要求进行扩写：关键技术分析应具备可行性、合理性、创新性及与需求的相关性。。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widowControl/>
        <w:spacing w:line="360" w:lineRule="auto"/>
        <w:ind w:firstLine="480" w:firstLineChars="200"/>
        <w:jc w:val="left"/>
        <w:textAlignment w:val="center"/>
        <w:rPr>
          <w:rFonts w:hint="eastAsia"/>
          <w:szCs w:val="18"/>
        </w:rPr>
      </w:pPr>
      <w:r>
        <w:t xml:space="preserve">针对知识产权和保密要求，本章节按方案撰写要求进行扩写：知识产权和保密要求：投标供应商应当保障采购单位在使用该物资或其任何一部分时，不受第三方侵权指控。同时，投标供应商不得向第三方泄露采购机构提供的技术文件等材料。 基于项目合同履行形成的知识产权和其他权益，其权属归采购单位所有，法律另有规定的除外。。方案内容应结合本节相关技术需求展开设计说明，明确响应思路、实现路径、约束边界和复核要求，避免引入未在权威 Markdown 中给出的人员、资质、价格、业绩等确定性事实。</w:t>
      </w:r>
    </w:p>
    <w:p ns2: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26" w:name="_Toc4143"/>
      <w:bookmarkStart w:id="27" w:name="_Toc15080"/>
      <w:r>
        <w:rPr>
          <w:rFonts w:hint="eastAsia" w:ascii="Calibri" w:hAnsi="Calibri" w:eastAsia="黑体"/>
          <w:bCs/>
          <w:kern w:val="44"/>
          <w:sz w:val="30"/>
          <w:szCs w:val="44"/>
          <w:lang w:val="en-US" w:eastAsia="zh-CN"/>
        </w:rPr>
        <w:t>质量控制</w:t>
      </w:r>
      <w:bookmarkEnd w:id="26"/>
      <w:bookmarkEnd w:id="27"/>
    </w:p>
    <w:p>
      <w:pPr>
        <w:widowControl w:val="0"/>
        <w:bidi w:val="0"/>
        <w:spacing w:after="2" w:line="360" w:lineRule="auto"/>
        <w:ind w:firstLine="480" w:firstLineChars="200"/>
      </w:pPr>
      <w:r>
        <w:t xml:space="preserve">质量控制总述根据结构化需求事实源生成，内容应保持对航线规划, 安全等深线与水深告警, 航行监控导航与安全预警, 个性化设置需求, 数据维护与合规, 可靠性要求, 安全性要求, 保障性要求, 维修性要求, 维修...的可追溯关系。</w:t>
      </w:r>
    </w:p>
    <w:p>
      <w:pPr>
        <w:widowControl w:val="0"/>
        <w:bidi w:val="0"/>
        <w:spacing w:after="2" w:line="360" w:lineRule="auto"/>
        <w:ind w:firstLine="480" w:firstLineChars="200"/>
      </w:pPr>
      <w:r>
        <w:t xml:space="preserve">该本地草稿仅用于离线流程验证；生产正文应通过 llm_client.call_llm_api() 生成。</w:t>
      </w:r>
    </w:p>
    <w:bookmarkEnd w:id="43"/>
    <w:p ns2: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8" w:name="_Toc32752"/>
      <w:r>
        <w:rPr>
          <w:rFonts w:hint="eastAsia" w:ascii="黑体" w:hAnsi="黑体" w:eastAsia="黑体" w:cs="黑体"/>
          <w:sz w:val="28"/>
          <w:szCs w:val="32"/>
          <w:lang w:val="en-US" w:eastAsia="zh-CN"/>
        </w:rPr>
        <w:t>风险评估与控制</w:t>
      </w:r>
      <w:bookmarkEnd w:id="2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质量控制与风险管理根据结构化需求事实源生成，内容应保持对可靠性要求, 安全性要求, 保障性要求, 维修性要求, 维修性要求-MTTR（平均维修时间）, 测试性要求, 环境适应性要求-软件运行环境, 本项目研制工作的...的可追溯关系。</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该本地草稿仅用于离线流程验证；生产正文应通过 llm_client.call_llm_api() 生成。</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项目风险控制，本章节按方案撰写要求进行扩写：项目风险控制：根据投标供应商提供的项目风险评估及控制方案进行评审。具体包括：风险因素分析、风险评估防范及风险控制措施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ns2: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9" w:name="_Toc19435"/>
      <w:bookmarkStart w:id="30" w:name="_Toc26513"/>
      <w:r>
        <w:rPr>
          <w:rFonts w:hint="eastAsia" w:ascii="黑体" w:hAnsi="黑体" w:eastAsia="黑体" w:cs="黑体"/>
          <w:sz w:val="28"/>
          <w:szCs w:val="32"/>
          <w:lang w:val="en-US" w:eastAsia="zh-CN"/>
        </w:rPr>
        <w:t>质量保证措施</w:t>
      </w:r>
      <w:bookmarkEnd w:id="29"/>
      <w:bookmarkEnd w:id="3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质量保障措施根据结构化需求事实源生成，内容应保持对航线规划, 安全等深线与水深告警, 航行监控导航与安全预警, 个性化设置需求, 数据维护与合规, 可靠性要求, 安全性要求, 保障性要求, 维修性要求, 维修...的可追溯关系。</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该本地草稿仅用于离线流程验证；生产正文应通过 llm_client.call_llm_api() 生成。</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质量体系与资质响应说明根据结构化需求事实源生成，内容应保持对航线规划, 安全等深线与水深告警, 航行监控导航与安全预警, 个性化设置需求, 数据维护与合规, 可靠性要求, 安全性要求, 保障性要求, 维修性要求, 维修...的可追溯关系。</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该本地草稿仅用于离线流程验证；生产正文应通过 llm_client.call_llm_api() 生成。</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服务质量保障措施根据结构化需求事实源生成，内容应保持对航线规划, 安全等深线与水深告警, 航行监控导航与安全预警, 个性化设置需求, 数据维护与合规, 系统服务稳定性：99%；-系统服务稳定性, 可靠性要求, 安...的可追溯关系。</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该本地草稿仅用于离线流程验证；生产正文应通过 llm_client.call_llm_api() 生成。</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0B27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55BB0CC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033F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269F7C8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7BB7D74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35D55EB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077C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E78DFF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5AB613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548A4A7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F5A17C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D35A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A97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6DEE06D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CBCC3E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42E8274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3E1BB0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AACD3B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C5B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EE3674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E23AEE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77FF1C8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753E24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090AE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4D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278C49">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877172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6FA74F8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046040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08602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D3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DBA1BB2">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B723E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0B8CE37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969E13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CB02F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349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53BD7CA">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7FCDA9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70FC73D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1BB010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E4F4CD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948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1288C4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4E334C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222904F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8F2E26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A71A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CD1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B624F3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E361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76A7B68E">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5F078B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7F596C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87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8D2D281">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CCA9A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A39EA2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4CA422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64797F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670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993A470">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FD2E783">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6DA1D82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29764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649EA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9FB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2D422B6">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E48FB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5CCA1F4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64E038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4CBCCF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8C5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E64B05">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3E2A59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7D1992D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E7E559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58390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2B1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31315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886124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7E44CB6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669057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E4B39A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ABA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40BF8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4394BB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1A79D27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3B27B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7554D1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1" w:name="_Ref3150"/>
      <w:bookmarkStart w:id="32" w:name="_Toc18355"/>
      <w:bookmarkStart w:id="33" w:name="_Toc24827"/>
      <w:r>
        <w:rPr>
          <w:rFonts w:hint="eastAsia" w:ascii="黑体" w:hAnsi="黑体" w:eastAsia="黑体" w:cs="黑体"/>
          <w:sz w:val="28"/>
          <w:szCs w:val="32"/>
          <w:lang w:val="en-US" w:eastAsia="zh-CN"/>
        </w:rPr>
        <w:t>项目进度计划</w:t>
      </w:r>
      <w:bookmarkEnd w:id="31"/>
      <w:bookmarkEnd w:id="32"/>
      <w:bookmarkEnd w:id="3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项目进度计划根据结构化需求事实源生成，内容应保持对特殊操作超过该时间则需要给予用户明确的等待时间或进度条提示。, 测试性要求, 本项目研制工作的开展必须严格遵守相关保密规定；的可追溯关系。</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该本地草稿仅用于离线流程验证；生产正文应通过 llm_client.call_llm_api() 生成。</w:t>
      </w:r>
    </w:p>
    <w:p ns2: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4" w:name="_Ref881"/>
      <w:bookmarkStart w:id="35" w:name="_Toc24805"/>
      <w:bookmarkStart w:id="36" w:name="_Toc30998"/>
      <w:r>
        <w:rPr>
          <w:rFonts w:hint="eastAsia" w:ascii="黑体" w:hAnsi="黑体" w:eastAsia="黑体" w:cs="黑体"/>
          <w:sz w:val="28"/>
          <w:szCs w:val="32"/>
          <w:lang w:val="en-US" w:eastAsia="zh-CN"/>
        </w:rPr>
        <w:t>项目人员组成</w:t>
      </w:r>
      <w:bookmarkEnd w:id="34"/>
      <w:bookmarkEnd w:id="35"/>
      <w:bookmarkEnd w:id="36"/>
    </w:p>
    <w:p ns2:paraId="447FC2F8">
      <w:pPr>
        <w:numPr>
          <w:ilvl w:val="0"/>
          <w:numId w:val="12"/>
        </w:numPr>
        <w:spacing w:after="0" w:line="240" w:lineRule="auto"/>
        <w:ind w:left="425" w:leftChars="0" w:hanging="425" w:firstLineChars="0"/>
        <w:jc w:val="center"/>
        <w:rPr>
          <w:rFonts w:hint="eastAsia" w:eastAsia="宋体" w:cs="Times New Roman"/>
          <w:color w:val="auto"/>
          <w:sz w:val="24"/>
          <w:szCs w:val="24"/>
          <w:lang w:val="en-US" w:eastAsia="zh-CN"/>
          <ns2:ligatures ns2:val="none"/>
        </w:rPr>
      </w:pPr>
      <w:r>
        <w:rPr>
          <w:rFonts w:hint="eastAsia" w:eastAsia="宋体" w:cs="Times New Roman"/>
          <w:color w:val="auto"/>
          <w:sz w:val="24"/>
          <w:szCs w:val="24"/>
          <w:lang w:val="en-US" w:eastAsia="zh-CN"/>
          <ns2:ligatures ns2:val="none"/>
        </w:rPr>
        <w:t>【CONFIRM:项目团队人员说明】</w:t>
      </w:r>
    </w:p>
    <w:tbl>
      <w:tblPr>
        <w:tblStyle w:val="25"/>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026"/>
        <w:gridCol w:w="1156"/>
        <w:gridCol w:w="1156"/>
        <w:gridCol w:w="1545"/>
        <w:gridCol w:w="2173"/>
      </w:tblGrid>
      <w:tr ns2:paraId="2789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1D3632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拟担任</w:t>
            </w:r>
          </w:p>
          <w:p ns2:paraId="103247DA">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职务、分工</w:t>
            </w:r>
          </w:p>
        </w:tc>
        <w:tc>
          <w:tcPr>
            <w:tcW w:w="1026" w:type="dxa"/>
            <w:vAlign w:val="center"/>
          </w:tcPr>
          <w:p ns2:paraId="10E840ED">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姓名</w:t>
            </w:r>
          </w:p>
        </w:tc>
        <w:tc>
          <w:tcPr>
            <w:tcW w:w="1156" w:type="dxa"/>
            <w:vAlign w:val="center"/>
          </w:tcPr>
          <w:p ns2:paraId="1650095B">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职称</w:t>
            </w:r>
          </w:p>
        </w:tc>
        <w:tc>
          <w:tcPr>
            <w:tcW w:w="1156" w:type="dxa"/>
            <w:vAlign w:val="center"/>
          </w:tcPr>
          <w:p ns2:paraId="0B2EF57E">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专业</w:t>
            </w:r>
          </w:p>
        </w:tc>
        <w:tc>
          <w:tcPr>
            <w:tcW w:w="1545" w:type="dxa"/>
            <w:vAlign w:val="center"/>
          </w:tcPr>
          <w:p ns2:paraId="77AA6A57">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从业资格</w:t>
            </w:r>
          </w:p>
        </w:tc>
        <w:tc>
          <w:tcPr>
            <w:tcW w:w="2173" w:type="dxa"/>
            <w:vAlign w:val="center"/>
          </w:tcPr>
          <w:p ns2:paraId="1374BFC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相关工作年限</w:t>
            </w:r>
          </w:p>
        </w:tc>
      </w:tr>
      <w:tr ns2:paraId="70C5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AF77F92">
            <w:r>
              <w:t>【CONFIRM:项目团队-职务分工】</w:t>
            </w:r>
          </w:p>
        </w:tc>
        <w:tc>
          <w:tcPr>
            <w:tcW w:w="1026" w:type="dxa"/>
            <w:vAlign w:val="center"/>
          </w:tcPr>
          <w:p ns2:paraId="2E93EAFB">
            <w:r>
              <w:t>【CONFIRM:项目团队-姓名】</w:t>
            </w:r>
          </w:p>
        </w:tc>
        <w:tc>
          <w:tcPr>
            <w:tcW w:w="1156" w:type="dxa"/>
            <w:vAlign w:val="center"/>
          </w:tcPr>
          <w:p ns2:paraId="219A385F">
            <w:r>
              <w:t>【CONFIRM:项目团队-职称】</w:t>
            </w:r>
          </w:p>
        </w:tc>
        <w:tc>
          <w:tcPr>
            <w:tcW w:w="1156" w:type="dxa"/>
            <w:vAlign w:val="center"/>
          </w:tcPr>
          <w:p ns2:paraId="7B4CAADD">
            <w:r>
              <w:t>【CONFIRM:项目团队-专业】</w:t>
            </w:r>
          </w:p>
        </w:tc>
        <w:tc>
          <w:tcPr>
            <w:tcW w:w="1545" w:type="dxa"/>
            <w:vAlign w:val="center"/>
          </w:tcPr>
          <w:p ns2:paraId="4BFE498B">
            <w:r>
              <w:t>【CONFIRM:项目团队-从业资格】</w:t>
            </w:r>
          </w:p>
        </w:tc>
        <w:tc>
          <w:tcPr>
            <w:tcW w:w="2173" w:type="dxa"/>
            <w:vAlign w:val="center"/>
          </w:tcPr>
          <w:p ns2:paraId="35DDD5F1">
            <w:r>
              <w:t>【CONFIRM:项目团队-相关工作年限】</w:t>
            </w:r>
          </w:p>
        </w:tc>
      </w:tr>
      <w:tr ns2:paraId="3822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9F98E6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1AFF85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5F57F7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22E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5E7435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032C327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0BB0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0646FE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7525C8C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62D66A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F6925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5A9637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68D0DCA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964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37A6462">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3C7F4C7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40D73F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0B194E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B21376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790A059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E2A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2D9C102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AC25F3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1039056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58CE53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3E0B74A">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752FE7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38B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F8FDD7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DF8443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4BE20C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55FF4C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9B960E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4A35E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17A9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53106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06060A0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781E0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4E8C7AA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A98591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5FBC21C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296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791BB5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44E2F1E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4B51EB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912856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9A6AF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8784F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15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5E71D29">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40E509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FA51A8B">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CB831B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F4903D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924E77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bl>
    <w:p ns2: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7" w:name="_Toc11424"/>
      <w:bookmarkStart w:id="38" w:name="_Toc10496"/>
      <w:r>
        <w:rPr>
          <w:rFonts w:hint="eastAsia" w:ascii="黑体" w:hAnsi="黑体" w:eastAsia="黑体" w:cs="黑体"/>
          <w:sz w:val="28"/>
          <w:szCs w:val="32"/>
          <w:lang w:val="en-US" w:eastAsia="zh-CN"/>
        </w:rPr>
        <w:t>成果交付及验收</w:t>
      </w:r>
      <w:bookmarkEnd w:id="37"/>
      <w:bookmarkEnd w:id="3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项目实施与交付验收根据结构化需求事实源生成，内容应保持对pending的可追溯关系。</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该本地草稿仅用于离线流程验证；生产正文应通过 llm_client.call_llm_api() 生成。</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实施周期，本章节按方案撰写要求进行扩写：实施周期：根据投标供应商提供的项目实施进度表，对进度管理方法措施的清晰度和合理性进行评审。具体包括：项目关键环节分析、项目人力资源分配、项目关键过程管理和控制策略、需要用户提供的支持与其他参与方的主要协作工作。。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交付（服务）时间，本章节按方案撰写要求进行扩写：1.交付（服务）时间：合同签订后，以需求单位通知进场时间为准，进场后2个月内交货安装调试完毕，并完成系统的集成、部署、联调、上线运行。。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交付（服务）地点：郑州市内甲方指定地点。-交付（服务）地点，本章节按方案撰写要求进行扩写：交付（服务）地点：郑州市内甲方指定地点。。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交付（服务）方式：供应商完成运输、安装、调试等工作。-交付（服务）方式，本章节按方案撰写要求进行扩写：交付（服务）方式：供应商完成运输、安装、调试等工作。。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针对免费培训，本章节按方案撰写要求进行扩写：免费培训：中标供应商应当根据投标文件的相关培训响应及项目实施进度，对采购单位相关人员进行培训。 培训所达到的目标：按甲方要求。培训师资要求：具备丰富的相同课程教学经验，所有的培训教员必须中文授课。培训内容：理论培训、现场操作培训，并负责编制培训教材（含安装手册、软件使用手册、 PPT 或视频）。培训项目：按甲方要求。培训科目：按甲方要求。培训对象与人数：按甲方要求。培训时间/频次：培训次数不超过5次，时长每次不少于 60 分钟。其他：投标供应商须在投标文件中提出全面、详细的培训计划，包括但不限于培训内容、培训时间...。方案内容应结合本节相关技术需求展开设计说明，明确响应思路、实现路径、约束边界和复核要求，避免引入未在权威 Markdown 中给出的人员、资质、价格、业绩等确定性事实。</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交付物清单根据结构化需求事实源生成，内容应保持对测试性要求的可追溯关系。</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该本地草稿仅用于离线流程验证；生产正文应通过 llm_client.call_llm_api() 生成。</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70D6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17F7CF0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10F8E8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73C1857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15F9526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1DF0118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62DE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A71C771">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BC4E8F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743A3FC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45A9B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F01B08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E81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6A40C8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06B94F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2EB2532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1792F4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2817BD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6E7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BFB5F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FC8EC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0D899C3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D672702">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E6ED9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602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3AC4C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E370C3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48C21C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0794B71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1EF611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F60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375E58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4674D0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61F52B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03385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FE865C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D1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22F3E02">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3A287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4952428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5B91B8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68960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712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F16724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2713C0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449EAF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FDB56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06494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C0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D069A1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8D103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693ED19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0101C0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93BA63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D7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E51BBE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A4AFCE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C972D3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7C8B6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DDFD1E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831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F5530F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336E9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4408FA2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CCCEBC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ACC101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E72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D549A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1960F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4124BF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7CFC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5720EF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208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271F89A">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D30977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014FDC9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FF2EF9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421BFF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E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EA49B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96CE07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2B8F8C3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99E00D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52A62D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F10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77848A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40E9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247D168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6DDCD9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8728E6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1E9BBF94">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9" w:name="_Toc13693"/>
      <w:bookmarkStart w:id="40" w:name="_Toc3244"/>
      <w:r>
        <w:rPr>
          <w:rFonts w:hint="eastAsia" w:ascii="黑体" w:hAnsi="黑体" w:eastAsia="黑体" w:cs="黑体"/>
          <w:sz w:val="28"/>
          <w:szCs w:val="32"/>
          <w:lang w:val="en-US" w:eastAsia="zh-CN"/>
        </w:rPr>
        <w:t>售后服务及承诺</w:t>
      </w:r>
      <w:bookmarkEnd w:id="39"/>
      <w:bookmarkEnd w:id="40"/>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培训与售后服务方案根据结构化需求事实源生成，内容应保持对pending的可追溯关系。</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该本地草稿仅用于离线流程验证；生产正文应通过 llm_client.call_llm_api() 生成。</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针对量控制，本章节按方案撰写要求进行扩写：量控制：根据投标供应商质量保障措施进行评审。具体包括：质量管理体系、质量管理人员配备、质量计划、设计开发过程质量控制的方法措施、测试过程质量控制、交付和售后服务质量控制等内容。。方案内容应结合本节相关技术需求展开设计说明，明确响应思路、实现路径、约束边界和复核要求，避免引入未在权威 Markdown 中给出的人员、资质、价格、业绩等确定性事实。</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针对据培训计划方案进行评审，，本章节按方案撰写要求进行扩写：据培训计划方案进行评审，。方案内容应结合本节相关技术需求展开设计说明，明确响应思路、实现路径、约束边界和复核要求，避免引入未在权威 Markdown 中给出的人员、资质、价格、业绩等确定性事实。</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针对售后服务，本章节按方案撰写要求进行扩写：售后服务：自软件验收合格之日起，软件质保期为24个月。 在质保期内，中标供应商按照有关法律、法规和合同约定，承担软件维护责任。中标供应商对提供的软件在质保期内，因产品质量而导致的缺陷，必须免费提供升级服务，因此导致的损失，采购单位有权向中标供应商追偿。 超出质保期后，中标供应商应当提供上门维护服务，仅收取成本费。 中标供应商应当提供2年7×24小时上门保修，根据甲方要求，服务形式包括但不限于远程指导、现地排故和驻场调试，至故障排除为止；遇有故障时中标方需30分钟内作出实质性响应，对重大问题提供现场技术支持，根据需...。方案内容应结合本节相关技术需求展开设计说明，明确响应思路、实现路径、约束边界和复核要求，避免引入未在权威 Markdown 中给出的人员、资质、价格、业绩等确定性事实。</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针对免费培训，本章节按方案撰写要求进行扩写：免费培训：中标供应商应当根据投标文件的相关培训响应及项目实施进度，对采购单位相关人员进行培训。 培训所达到的目标：按甲方要求。培训师资要求：具备丰富的相同课程教学经验，所有的培训教员必须中文授课。培训内容：理论培训、现场操作培训，并负责编制培训教材（含安装手册、软件使用手册、 PPT 或视频）。培训项目：按甲方要求。培训科目：按甲方要求。培训对象与人数：按甲方要求。培训时间/频次：培训次数不超过5次，时长每次不少于 60 分钟。其他：投标供应商须在投标文件中提出全面、详细的培训计划，包括但不限于培训内容、培训时间...。方案内容应结合本节相关技术需求展开设计说明，明确响应思路、实现路径、约束边界和复核要求，避免引入未在权威 Markdown 中给出的人员、资质、价格、业绩等确定性事实。</w:t>
      </w:r>
    </w:p>
    <w:p ns2:paraId="56DF7FB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eastAsia="宋体" w:cs="Times New Roman"/>
          <w:szCs w:val="18"/>
          <w:lang w:val="en-US" w:eastAsia="zh-CN"/>
          <ns2:ligatures ns2:val="none"/>
        </w:rPr>
        <w:t>【CONFIRM:质量保证期承诺】</w:t>
      </w:r>
    </w:p>
    <w:p ns2:paraId="400D08A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ascii="Times New Roman" w:hAnsi="Times New Roman" w:eastAsia="宋体" w:cs="Times New Roman"/>
          <w:szCs w:val="18"/>
          <w:lang w:val="en-US" w:eastAsia="zh-CN"/>
          <ns2:ligatures ns2:val="none"/>
        </w:rPr>
        <w:t>【CONFIRM:售后服务响应承诺】</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应急支援保障响应根据结构化需求事实源生成，内容应保持对系统服务稳定性：99%；-系统服务稳定性, 安全性要求, 保障性要求, 维修性要求, 维修性要求-MTTR（平均维修时间）的可追溯关系。</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该本地草稿仅用于离线流程验证；生产正文应通过 llm_client.call_llm_api() 生成。</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定期跟踪服务响应根据结构化需求事实源生成，内容应保持对AIS/雷达等目标信息的处理与显示, 数据维护与合规, 系统服务稳定性：99%；-系统服务稳定性, 保障性要求, 软件采用分层结构和模块化设计的可追溯关系。</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该本地草稿仅用于离线流程验证；生产正文应通过 llm_client.call_llm_api() 生成。</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dobe 宋体 Std L">
    <w:altName w:val="宋体"/>
    <w:panose1 w:val="02020300000000000000"/>
    <w:charset w:val="86"/>
    <w:family w:val="roman"/>
    <w:pitch w:val="default"/>
    <w:sig w:usb0="00000000" w:usb1="00000000" w:usb2="00000016" w:usb3="00000000" w:csb0="00060007"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C1EE8"/>
    <w:multiLevelType w:val="singleLevel"/>
    <w:tmpl w:val="A56C1EE8"/>
    <w:lvl w:ilvl="0" w:tentative="0">
      <w:start w:val="1"/>
      <w:numFmt w:val="decimal"/>
      <w:suff w:val="nothing"/>
      <w:lvlText w:val="%1."/>
      <w:lvlJc w:val="left"/>
      <w:pPr>
        <w:ind w:left="454" w:leftChars="0" w:hanging="454" w:firstLineChars="0"/>
      </w:pPr>
      <w:rPr>
        <w:rFonts w:hint="default"/>
      </w:rPr>
    </w:lvl>
  </w:abstractNum>
  <w:abstractNum w:abstractNumId="1">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2">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4">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8">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10">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3">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5">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7D9871CD"/>
    <w:multiLevelType w:val="singleLevel"/>
    <w:tmpl w:val="7D9871CD"/>
    <w:lvl w:ilvl="0" w:tentative="0">
      <w:start w:val="1"/>
      <w:numFmt w:val="decimal"/>
      <w:suff w:val="nothing"/>
      <w:lvlText w:val="%1."/>
      <w:lvlJc w:val="left"/>
      <w:pPr>
        <w:ind w:left="454" w:leftChars="0" w:hanging="454" w:firstLineChars="0"/>
      </w:pPr>
      <w:rPr>
        <w:rFonts w:hint="default"/>
      </w:rPr>
    </w:lvl>
  </w:abstractNum>
  <w:num w:numId="1">
    <w:abstractNumId w:val="2"/>
  </w:num>
  <w:num w:numId="2">
    <w:abstractNumId w:val="8"/>
  </w:num>
  <w:num w:numId="3">
    <w:abstractNumId w:val="13"/>
  </w:num>
  <w:num w:numId="4">
    <w:abstractNumId w:val="14"/>
  </w:num>
  <w:num w:numId="5">
    <w:abstractNumId w:val="10"/>
  </w:num>
  <w:num w:numId="6">
    <w:abstractNumId w:val="11"/>
  </w:num>
  <w:num w:numId="7">
    <w:abstractNumId w:val="6"/>
  </w:num>
  <w:num w:numId="8">
    <w:abstractNumId w:val="15"/>
  </w:num>
  <w:num w:numId="9">
    <w:abstractNumId w:val="5"/>
  </w:num>
  <w:num w:numId="10">
    <w:abstractNumId w:val="4"/>
  </w:num>
  <w:num w:numId="11">
    <w:abstractNumId w:val="12"/>
  </w:num>
  <w:num w:numId="12">
    <w:abstractNumId w:val="7"/>
  </w:num>
  <w:num w:numId="13">
    <w:abstractNumId w:val="9"/>
  </w:num>
  <w:num w:numId="14">
    <w:abstractNumId w:val="3"/>
  </w:num>
  <w:num w:numId="15">
    <w:abstractNumId w:val="0"/>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7752C"/>
    <w:rsid w:val="01A27004"/>
    <w:rsid w:val="01D60B10"/>
    <w:rsid w:val="01E1612F"/>
    <w:rsid w:val="02181129"/>
    <w:rsid w:val="022A2346"/>
    <w:rsid w:val="025E0FB3"/>
    <w:rsid w:val="028E13EB"/>
    <w:rsid w:val="02FB17F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4C120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283A52"/>
    <w:rsid w:val="3F381DA7"/>
    <w:rsid w:val="3FF102E8"/>
    <w:rsid w:val="40036393"/>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6A26F1"/>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9A7BFD"/>
    <w:rsid w:val="5F9E00F6"/>
    <w:rsid w:val="5FC30F01"/>
    <w:rsid w:val="603D6F06"/>
    <w:rsid w:val="6054424F"/>
    <w:rsid w:val="605B55DE"/>
    <w:rsid w:val="60951ECC"/>
    <w:rsid w:val="609B59DA"/>
    <w:rsid w:val="60BC04C4"/>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3CE4319"/>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225F5B"/>
    <w:rsid w:val="723C1BCA"/>
    <w:rsid w:val="724063E2"/>
    <w:rsid w:val="725C32F5"/>
    <w:rsid w:val="72671BC0"/>
    <w:rsid w:val="72CE003A"/>
    <w:rsid w:val="73027B3B"/>
    <w:rsid w:val="7309711B"/>
    <w:rsid w:val="73440153"/>
    <w:rsid w:val="73D61710"/>
    <w:rsid w:val="740E2074"/>
    <w:rsid w:val="74277859"/>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ns0:Relationships xmlns:ns0="http://schemas.openxmlformats.org/package/2006/relationships"><ns0:Relationship Id="rId9" Type="http://schemas.openxmlformats.org/officeDocument/2006/relationships/numbering" Target="numbering.xml" /><ns0:Relationship Id="rId8" Type="http://schemas.openxmlformats.org/officeDocument/2006/relationships/customXml" Target="../customXml/item1.xml" /><ns0:Relationship Id="rId7" Type="http://schemas.openxmlformats.org/officeDocument/2006/relationships/theme" Target="theme/theme1.xml" /><ns0:Relationship Id="rId6" Type="http://schemas.openxmlformats.org/officeDocument/2006/relationships/footer" Target="footer3.xml" /><ns0:Relationship Id="rId5" Type="http://schemas.openxmlformats.org/officeDocument/2006/relationships/footer" Target="footer2.xml" /><ns0:Relationship Id="rId4" Type="http://schemas.openxmlformats.org/officeDocument/2006/relationships/footer" Target="footer1.xml" /><ns0:Relationship Id="rId3" Type="http://schemas.openxmlformats.org/officeDocument/2006/relationships/header" Target="header1.xml" /><ns0:Relationship Id="rId2" Type="http://schemas.openxmlformats.org/officeDocument/2006/relationships/settings" Target="settings.xml" /><ns0:Relationship Id="rId11" Type="http://schemas.openxmlformats.org/officeDocument/2006/relationships/fontTable" Target="fontTable.xml" /><ns0:Relationship Id="rId10" Type="http://schemas.openxmlformats.org/officeDocument/2006/relationships/customXml" Target="../customXml/item2.xml" /><ns0:Relationship Id="rId1" Type="http://schemas.openxmlformats.org/officeDocument/2006/relationships/styles" Target="styles.xml" /><ns0:Relationship Id="rId12" Type="http://schemas.openxmlformats.org/officeDocument/2006/relationships/image" Target="media/image1.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10</Pages>
  <Words>1680</Words>
  <Characters>2530</Characters>
  <Lines>1340</Lines>
  <Paragraphs>377</Paragraphs>
  <TotalTime>0</TotalTime>
  <ScaleCrop>false</ScaleCrop>
  <LinksUpToDate>false</LinksUpToDate>
  <CharactersWithSpaces>2577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2026-05-29T13:27:34Z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CC6D1B0B84CA47E7B918AED955BEBFF1_13</vt:lpwstr>
  </property>
  <property fmtid="{D5CDD505-2E9C-101B-9397-08002B2CF9AE}" pid="4" name="KSOTemplateDocerSaveRecord">
    <vt:lpwstr>eyJoZGlkIjoiNmExMDU1M2VlNGQ2ZTA5YmRmZWMwMGU0N2ZjNTQxM2QiLCJ1c2VySWQiOiI2Mzc2OTk4MDMifQ==</vt:lpwstr>
  </property>
</Properties>
</file>