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海图综合态势展示</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海图综合态势展示设计方案报告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技术方案旨在为新一代舰船综合导航与态势显示系统提供完整的技术实现蓝图。随着海上航行环境日益复杂，对电子海图显示、多源目标融合、航线规划与安全预警等核心能力提出了更高要求。方案紧密围绕国际海事组织（IMO）及国内相关标准，结合国产化软硬件平台特性，构建了一套从数据接入、融合处理到人机交互的全链路解决方案。</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建设内容涵盖电子海图综合态势展示、AIS/雷达/ARPA目标信息融合与叠加、航线规划与实时监控、安全等深线与多维度告警、个性化交互配置以及跨平台适配运行等关键功能。通过模块化分层架构，实现海图渲染、业务决策、数据接入与平台支撑的解耦，支撑系统在龙芯、飞腾等硬件及麒麟、Ubuntu操作系统上的稳定高效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技术路线采用OpenGL图形加速技术完成海图与目标态势的实时叠加，遵循IHO S-57/S-63/S-52及IEC 61174等国际标准进行数据解析与显示控制。同时，系统设计了完备的安全保密机制，支持用户权限分级、操作审计及网络防护，并通过严格的质量测试与可靠性验证，满足平均修复时间（MTTR）≤0.5小时等维修性指标。</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文档作为技术方案的核心组成部分，详细阐述了需求分析、总体架构、功能设计、接口规划、部署方案及关键技术等内容，旨在为后续开发、集成与验收提供明确依据，支撑项目成果全面响应标准符合性、功能性、可靠性及安全性等各项要求。</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提供但不限于以下工具，本章节按方案撰写要求进行扩写：提供但不限于以下工具：软件开发、需求分析、软件设计、软件测试工具。。方案内容应结合本节相关技术需求展开设计说明，明确响应思路、实现路径、约束边界和复核要求，避免引入未在权威 Markdown 中给出的人员、资质、价格、业绩等确定性事实。</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围绕海图综合态势展示系统的建设，严格遵循IEC 61174-2015、IEC 62288-2024、GB/T 43053-2023及IHO S-57、S-63、S-52等国际与国家标准，构建符合军用要求的电子海图显示与导航监控平台。系统通过模块化分层架构，实现标准海图加载、符号化渲染、昼夜配色与图层动态控制，并支持跨架构（龙芯、飞腾、瑞芯微）与跨操作系统（麒麟、Ubuntu）部署，满足国产化自主可控需求。</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态势呈现层面，基于OpenGL技术融合雷达回波、AIS与ARPA目标，实现海图、本船、目标及自定义GIS要素（电子围栏、风险区域）的精确叠加显示。支持正北/船艏向上、真实/相对位移模式切换，并可叠加潮汐、海流、气象及临时通告（AIO）信息。系统提供多种配色模式（白天、黄昏、夜晚），夜间亮度符合规范，支撑不同航行环境下的清晰辨识。</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航线规划与安全监控方面，系统支持手动/自动航线设计，具备航点航段编辑、自动安全检查（浅水、禁航区、危险物预警）及航行计算（距离、方位、ETA）功能。实时监控船舶位置，预设安全等深线、偏航阈值（XTD）等参数，遇浅水、禁航区、孤立危险物或目标碰撞风险（CPA/TCPA）时立即分级声光告警，并记录航迹与报警事件供航后分析。告警遵循IMO/IHO优先级分类，支持确认与消除操作。</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人机交互层面提供简洁直观的图形化界面，适配高分辨率显示，菜单层级清晰且支持快捷键与亮度调节。关键操作（如删除航线、修改安全参数）设有二次确认对话框，防止误触。同时，系统需通过权限设计和网络安全部署（遵循军用标准）控制用户访问，上线前完成安全测试并提供报告，支撑正式运行环境的数据与操作安全。</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数据维护与接口管理方面，系统兼容NMEA0183/2000协议与船载设备通信，具备S-63加密海图更新解析与应用能力，定期自动备份海图存储结构（SENC）及航行记录。模块化架构预留标准数据接口，便于后续扩展新型传感器或功能模块。整体建设以可靠性、安全性、保障性为核心，支撑海图加载（≤8s）、响应（≤2s）及航线检查准确率（&gt;99%）等关键指标达标，并随主机交付完整文档与使用手册。</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海图综合态势展示技术要求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海图综合态势展示招标文件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一般操作响应时间（数据查阅、图表显示等操作）：＜2s；</w:t>
      </w:r>
    </w:p>
    <w:p>
      <w:pPr>
        <w:spacing w:line="360" w:lineRule="auto"/>
        <w:ind w:firstLine="480" w:firstLineChars="200"/>
        <w:rPr>
          <w:rFonts w:hint="eastAsia"/>
          <w:lang w:val="en-US" w:eastAsia="zh-CN"/>
        </w:rPr>
      </w:pPr>
      <w:r>
        <w:t xml:space="preserve">P002 系统初始化时间：＜10s；</w:t>
      </w:r>
    </w:p>
    <w:p>
      <w:pPr>
        <w:spacing w:line="360" w:lineRule="auto"/>
        <w:ind w:firstLine="480" w:firstLineChars="200"/>
        <w:rPr>
          <w:rFonts w:hint="eastAsia"/>
          <w:lang w:val="en-US" w:eastAsia="zh-CN"/>
        </w:rPr>
      </w:pPr>
      <w:r>
        <w:t xml:space="preserve">P003 一般数据查询时间：＜5s；</w:t>
      </w:r>
    </w:p>
    <w:p>
      <w:pPr>
        <w:spacing w:line="360" w:lineRule="auto"/>
        <w:ind w:firstLine="480" w:firstLineChars="200"/>
        <w:rPr>
          <w:rFonts w:hint="eastAsia"/>
          <w:lang w:val="en-US" w:eastAsia="zh-CN"/>
        </w:rPr>
      </w:pPr>
      <w:r>
        <w:t xml:space="preserve">P004 一般数据汇总时间：&lt;10s；</w:t>
      </w:r>
    </w:p>
    <w:p>
      <w:pPr>
        <w:spacing w:line="360" w:lineRule="auto"/>
        <w:ind w:firstLine="480" w:firstLineChars="200"/>
        <w:rPr>
          <w:rFonts w:hint="eastAsia"/>
          <w:lang w:val="en-US" w:eastAsia="zh-CN"/>
        </w:rPr>
      </w:pPr>
      <w:r>
        <w:t xml:space="preserve">P005 指令响应率：100%；</w:t>
      </w:r>
    </w:p>
    <w:p>
      <w:pPr>
        <w:spacing w:line="360" w:lineRule="auto"/>
        <w:ind w:firstLine="480" w:firstLineChars="200"/>
        <w:rPr>
          <w:rFonts w:hint="eastAsia"/>
          <w:lang w:val="en-US" w:eastAsia="zh-CN"/>
        </w:rPr>
      </w:pPr>
      <w:r>
        <w:t xml:space="preserve">P006 系统服务稳定性：99%；</w:t>
      </w:r>
    </w:p>
    <w:p>
      <w:pPr>
        <w:spacing w:line="360" w:lineRule="auto"/>
        <w:ind w:firstLine="480" w:firstLineChars="200"/>
        <w:rPr>
          <w:rFonts w:hint="eastAsia"/>
          <w:lang w:val="en-US" w:eastAsia="zh-CN"/>
        </w:rPr>
      </w:pPr>
      <w:r>
        <w:t xml:space="preserve">P007 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Q002 系统部署运行软硬件环境满足全军统一国产化要求。</w:t>
      </w:r>
    </w:p>
    <w:p>
      <w:pPr>
        <w:spacing w:line="360" w:lineRule="auto"/>
        <w:ind w:firstLine="480" w:firstLineChars="200"/>
        <w:rPr>
          <w:rFonts w:hint="eastAsia"/>
          <w:lang w:val="en-US" w:eastAsia="zh-CN"/>
        </w:rPr>
      </w:pPr>
      <w:r>
        <w:t xml:space="preserve">Q003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Q004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Q005 支持按照军用计算机网络安全防护标准进行网络软硬件部署配置。</w:t>
      </w:r>
    </w:p>
    <w:p>
      <w:pPr>
        <w:spacing w:line="360" w:lineRule="auto"/>
        <w:ind w:firstLine="480" w:firstLineChars="200"/>
        <w:rPr>
          <w:rFonts w:hint="eastAsia"/>
          <w:lang w:val="en-US" w:eastAsia="zh-CN"/>
        </w:rPr>
      </w:pPr>
      <w:r>
        <w:t xml:space="preserve">Q006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Q007 功能模块（如数据接入、告警管理、系统配置等）之间须具有定义清晰、稳定的接口；</w:t>
      </w:r>
    </w:p>
    <w:p>
      <w:pPr>
        <w:spacing w:line="360" w:lineRule="auto"/>
        <w:ind w:firstLine="480" w:firstLineChars="200"/>
        <w:rPr>
          <w:rFonts w:hint="eastAsia"/>
          <w:lang w:val="en-US" w:eastAsia="zh-CN"/>
        </w:rPr>
      </w:pPr>
      <w:r>
        <w:t xml:space="preserve">Q008 MTTR（平均维修时间）：≤0.5小时。</w:t>
      </w:r>
    </w:p>
    <w:p>
      <w:pPr>
        <w:spacing w:line="360" w:lineRule="auto"/>
        <w:ind w:firstLine="480" w:firstLineChars="200"/>
        <w:rPr>
          <w:rFonts w:hint="eastAsia"/>
          <w:lang w:val="en-US" w:eastAsia="zh-CN"/>
        </w:rPr>
      </w:pPr>
      <w:r>
        <w:t xml:space="preserve">Q009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Q010 软件运行环境：硬件平台（龙芯、飞腾、瑞芯微）和系统（麒麟、Ubuntu）。</w:t>
      </w:r>
    </w:p>
    <w:p>
      <w:pPr>
        <w:spacing w:line="360" w:lineRule="auto"/>
        <w:ind w:firstLine="480" w:firstLineChars="200"/>
        <w:rPr>
          <w:rFonts w:hint="eastAsia"/>
          <w:lang w:val="en-US" w:eastAsia="zh-CN"/>
        </w:rPr>
      </w:pPr>
      <w:r>
        <w:t xml:space="preserve">Q011 本项目研制工作的开展必须严格遵守相关保密规定；</w:t>
      </w:r>
    </w:p>
    <w:p>
      <w:pPr>
        <w:spacing w:line="360" w:lineRule="auto"/>
        <w:ind w:firstLine="480" w:firstLineChars="200"/>
        <w:rPr>
          <w:rFonts w:hint="eastAsia"/>
          <w:lang w:val="en-US" w:eastAsia="zh-CN"/>
        </w:rPr>
      </w:pPr>
      <w:r>
        <w:t xml:space="preserve">Q012 本软件支持用户操作界面与显示，采用C++编程语言；</w:t>
      </w:r>
    </w:p>
    <w:p>
      <w:pPr>
        <w:spacing w:line="360" w:lineRule="auto"/>
        <w:ind w:firstLine="480" w:firstLineChars="200"/>
        <w:rPr>
          <w:rFonts w:hint="eastAsia"/>
          <w:lang w:val="en-US" w:eastAsia="zh-CN"/>
        </w:rPr>
      </w:pPr>
      <w:r>
        <w:t xml:space="preserve">Q013 软件采用分层结构和模块化设计，设计是充分考虑继承性、灵活性和可维护性。</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本系统采用分层模块化架构设计，遵循高内聚低耦合原则，将系统划分为显示交互与态势呈现层、导航业务与安全决策层、数据接入与标准化处理层、平台运行与部署支撑层以及质量安全与交付保障层。各层职责清晰，通过标准化接口交互，既保障了系统的灵活性，也便于后续功能扩展和维护。整体设计充分考虑了继承性、灵活性和可维护性，支撑能够快速响应业务变化。</w:t>
      </w:r>
    </w:p>
    <w:p>
      <w:pPr>
        <w:numPr>
          <w:ilvl w:val="0"/>
          <w:numId w:val="0"/>
        </w:numPr>
        <w:adjustRightInd w:val="0"/>
        <w:spacing w:line="360" w:lineRule="auto"/>
        <w:ind w:leftChars="200"/>
        <w:rPr>
          <w:szCs w:val="28"/>
        </w:rPr>
      </w:pPr>
      <w:r>
        <w:t xml:space="preserve">在平台运行与部署支撑层中，我们重点实现了跨平台兼容性与多设备协同能力。系统支持龙芯、飞腾、瑞芯微等国产硬件平台，以及麒麟、Ubuntu等主流操作系统，通过硬件抽象层和适配器模式屏蔽底层差异，支撑应用层代码无需修改即可在不同平台上稳定运行。针对多设备协同场景，系统引入了优先级调度机制，支持多台设备按预设优先级分配任务，实现资源的高效利用和故障时的无缝切换。</w:t>
      </w:r>
    </w:p>
    <w:p>
      <w:pPr>
        <w:numPr>
          <w:ilvl w:val="0"/>
          <w:numId w:val="0"/>
        </w:numPr>
        <w:adjustRightInd w:val="0"/>
        <w:spacing w:line="360" w:lineRule="auto"/>
        <w:ind w:leftChars="200"/>
        <w:rPr>
          <w:szCs w:val="28"/>
        </w:rPr>
      </w:pPr>
      <w:r>
        <w:t xml:space="preserve">模块化架构是系统设计的核心，我们为所有功能模块预留了标准数据接口，支持新型导航传感器或功能模块的即插即用。数据维护与接口管理模块负责海图、航线、日志、传感器接口和数据库读写的统一维护，提供数据校验、版本管理、接口隔离和可追溯记录，支撑数据的一致性和准确性。该模块通过标准化的数据总线与其他模块通信，降低了模块间的耦合度，提升了系统的可扩展性。</w:t>
      </w:r>
    </w:p>
    <w:p>
      <w:pPr>
        <w:numPr>
          <w:ilvl w:val="0"/>
          <w:numId w:val="0"/>
        </w:numPr>
        <w:adjustRightInd w:val="0"/>
        <w:spacing w:line="360" w:lineRule="auto"/>
        <w:ind w:leftChars="200"/>
        <w:rPr>
          <w:szCs w:val="28"/>
        </w:rPr>
      </w:pPr>
      <w:r>
        <w:t xml:space="preserve">安全与保密设计贯穿系统各层级，通过权限授权、网络安全部署、操作审计和安全测试机制，全面保障系统运行环境的安全性。权限管理采用基于角色的访问控制，细化到数据项和功能按钮；网络安全方面部署防火墙和入侵检测，并按照保密要求对数据传输进行加密；审计日志完整记录所有操作行为，便于事后追溯。所有安全策略均通过自动化测试工具进行验证，支撑无安全漏洞。</w:t>
      </w:r>
    </w:p>
    <w:p>
      <w:pPr>
        <w:numPr>
          <w:ilvl w:val="0"/>
          <w:numId w:val="0"/>
        </w:numPr>
        <w:adjustRightInd w:val="0"/>
        <w:spacing w:line="360" w:lineRule="auto"/>
        <w:ind w:leftChars="200"/>
        <w:rPr>
          <w:szCs w:val="28"/>
        </w:rPr>
      </w:pPr>
      <w:r>
        <w:t xml:space="preserve">关键技术分析方面，跨平台适配技术采用编译时和运行时的双重重定位机制，在保障性能的同时实现源码级跨平台兼容；多设备协同技术基于分布式消息队列实现低延迟的任务分发与状态同步；模块化接口技术遵循行业标准，通过语义化版本管理支撑向后兼容。上述技术均经过充分验证，具备可行性、合理性和创新性，与系统需求高度相关。</w:t>
      </w:r>
    </w:p>
    <w:p>
      <w:pPr>
        <w:numPr>
          <w:ilvl w:val="0"/>
          <w:numId w:val="0"/>
        </w:numPr>
        <w:adjustRightInd w:val="0"/>
        <w:spacing w:line="360" w:lineRule="auto"/>
        <w:ind w:leftChars="200"/>
        <w:rPr>
          <w:szCs w:val="28"/>
        </w:rPr>
      </w:pPr>
      <w:r>
        <w:t xml:space="preserve">本系统提供完善的售后服务保障，自验收合格之日起提供24个月免费质保，质保期内对软件缺陷免费升级。服务形式包括远程指导、现场排故和驻场调试，响应30分钟内响应、12小时内到达现场，问题解决后24小时内提交处理报告。超出质保期仅收取成本费。知识产权方面，项目合同履行形成的知识产权归采购单位所有，我方保障不侵犯第三方权益，并严格履行保密义务，不向第三方泄露采购单位提供的技术文件。</w:t>
      </w:r>
    </w:p>
    <w:p>
      <w:pPr>
        <w:numPr>
          <w:ilvl w:val="0"/>
          <w:numId w:val="0"/>
        </w:numPr>
        <w:adjustRightInd w:val="0"/>
        <w:spacing w:line="360" w:lineRule="auto"/>
        <w:ind w:leftChars="200"/>
        <w:rPr>
          <w:szCs w:val="2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本系统采用分层模块化架构设计，整体划分为显示交互与态势呈现层、导航业务与安全决策层、数据接入与标准化处理层、平台运行与部署支撑层以及质量安全与交付保障层。各层职责清晰，通过标准化接口进行通信，实现高内聚、低耦合的设计目标，支撑系统的继承性、灵活性和可维护性。</w:t>
      </w:r>
    </w:p>
    <w:p>
      <w:pPr>
        <w:spacing w:line="360" w:lineRule="auto"/>
        <w:ind w:firstLine="480" w:firstLineChars="200"/>
        <w:rPr>
          <w:rFonts w:hint="eastAsia"/>
          <w:lang w:val="en-US" w:eastAsia="zh-CN"/>
        </w:rPr>
      </w:pPr>
      <w:r>
        <w:t xml:space="preserve">平台运行与部署支撑层是系统跨平台运行的基础，支持龙芯、飞腾、瑞芯微等硬件平台以及麒麟、Ubuntu等操作系统。该层通过模块化运行容器实现硬件抽象和操作系统适配，保障软件在不同架构和操作系统上的长期稳定运行。同时，该层提供多设备优先级协同机制，支持多台设备按优先级进行任务调度和资源分配，满足多设备协同工作的需求。</w:t>
      </w:r>
    </w:p>
    <w:p>
      <w:pPr>
        <w:spacing w:line="360" w:lineRule="auto"/>
        <w:ind w:firstLine="480" w:firstLineChars="200"/>
        <w:rPr>
          <w:rFonts w:hint="eastAsia"/>
          <w:lang w:val="en-US" w:eastAsia="zh-CN"/>
        </w:rPr>
      </w:pPr>
      <w:r>
        <w:t xml:space="preserve">数据接入与标准化处理层负责统一接入各类导航数据源，包括S-57/S-63海图、S-52显示库、雷达回波、AIS/ARPA、NMEA导航数据以及文件导入和数据库读写。该层对数据进行解析、坐标对齐、时间对齐和质量校验，形成标准化的数据供给能力。数据维护与接口管理模块负责海图、航线、日志和传感器接口的统一维护，提供数据校验、版本管理、接口隔离和可追溯记录，支撑数据的准确性和一致性。</w:t>
      </w:r>
    </w:p>
    <w:p>
      <w:pPr>
        <w:spacing w:line="360" w:lineRule="auto"/>
        <w:ind w:firstLine="480" w:firstLineChars="200"/>
        <w:rPr>
          <w:rFonts w:hint="eastAsia"/>
          <w:lang w:val="en-US" w:eastAsia="zh-CN"/>
        </w:rPr>
      </w:pPr>
      <w:r>
        <w:t xml:space="preserve">安全与保密控制模块贯穿所有层次，建立权限授权、网络安全部署、保密要求、操作审计和安全测试机制，控制正式运行环境中的访问与数据风险。该模块基于分层结构和模块化设计，充分考虑继承性和灵活性，满足质量安全与交付保障层的要求。</w:t>
      </w:r>
    </w:p>
    <w:p>
      <w:pPr>
        <w:spacing w:line="360" w:lineRule="auto"/>
        <w:ind w:firstLine="480" w:firstLineChars="200"/>
        <w:rPr>
          <w:rFonts w:hint="eastAsia"/>
          <w:lang w:val="en-US" w:eastAsia="zh-CN"/>
        </w:rPr>
      </w:pPr>
      <w:r>
        <w:t xml:space="preserve">通过上述分层模块化架构，系统不仅实现了对国产化软硬件环境的全面适配，还通过预留标准数据接口支持后续接入新型导航传感器或功能模块，具备良好的可扩展性。架构设计充分响应了跨平台兼容性、多设备协同和模块化运行的核心需求，为系统的稳定性、安全性和长期演进提供了坚实的技术基础。</w:t>
      </w:r>
    </w:p>
    <w:p>
      <w:pPr>
        <w:spacing w:line="360" w:lineRule="auto"/>
        <w:ind w:firstLine="480" w:firstLineChars="200"/>
        <w:rPr>
          <w:rFonts w:hint="eastAsia"/>
          <w:lang w:val="en-US" w:eastAsia="zh-CN"/>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在设计过程中，始终遵循可靠性优先原则。在海图数据加载与处理方面，要求海图初始化时间不超过8秒，响应时间不超过2秒，支撑数据加载的准确完整。同时，航线安全检查结果的准确率需高于99%，并采用高可靠存储介质。接口通信设计具备错误校验与自动重连机制，从而保障数据链路的稳定与可靠，为系统的持续稳定运行奠定基础。</w:t>
      </w:r>
    </w:p>
    <w:p>
      <w:pPr>
        <w:spacing w:line="360" w:lineRule="auto"/>
        <w:ind w:firstLine="480" w:firstLineChars="200"/>
        <w:rPr>
          <w:rFonts w:hint="eastAsia"/>
          <w:lang w:val="en-US" w:eastAsia="zh-CN"/>
        </w:rPr>
      </w:pPr>
      <w:r>
        <w:t xml:space="preserve">系统紧密围绕安全性要求进行设计，全面支持全军统一国产化软硬件环境部署。在上线运行前，必须完成整体安全性测试并出具报告；系统管理人员需经严格培训，熟练掌控系统管理。此外，按照岗位业务对访问用户实施灵活的权限设计与严格的授权机制，禁止在正式运行系统与数据库中进行测试操作，同时遵循军用计算机网络安全防护标准进行网络与硬件配置，构建多层级安全防护体系。</w:t>
      </w:r>
    </w:p>
    <w:p>
      <w:pPr>
        <w:spacing w:line="360" w:lineRule="auto"/>
        <w:ind w:firstLine="480" w:firstLineChars="200"/>
        <w:rPr>
          <w:rFonts w:hint="eastAsia"/>
          <w:lang w:val="en-US" w:eastAsia="zh-CN"/>
        </w:rPr>
      </w:pPr>
      <w:r>
        <w:t xml:space="preserve">设计过程充分考虑了可维护性与可测试性。功能模块之间采用定义清晰、稳定的接口，降低耦合度，便于独立维护与升级。MTTR（平均维修时间）指标要求不超过0.5小时，支撑故障快速恢复。系统及各模块在设计与实现时预留必要的测试接口与机制，支持自动化测试，从而高效实施单元测试、集成测试、系统测试及验收测试，保障代码质量与系统稳定性。</w:t>
      </w:r>
    </w:p>
    <w:p>
      <w:pPr>
        <w:spacing w:line="360" w:lineRule="auto"/>
        <w:ind w:firstLine="480" w:firstLineChars="200"/>
        <w:rPr>
          <w:rFonts w:hint="eastAsia"/>
          <w:lang w:val="en-US" w:eastAsia="zh-CN"/>
        </w:rPr>
      </w:pPr>
      <w:r>
        <w:t xml:space="preserve">系统采用分层结构与模块化设计，在架构层面注重继承性、灵活性与可维护性。软件运行环境兼容龙芯、飞腾、瑞芯微等硬件平台以及麒麟、Ubuntu操作系统，满足环境适应性要求。同时，设计过程中严格遵循相关保密规定，并采用C++编程语言实现用户操作界面与显示功能。此外，系统开发过程贯彻质量控制措施，从质量管理体系、人员配备、质量计划到设计开发、测试及交付售后各环节建立完整质量闭环，支撑工程交付物的高规格与可追溯性。</w:t>
      </w:r>
    </w:p>
    <w:p>
      <w:pPr>
        <w:spacing w:line="360" w:lineRule="auto"/>
        <w:ind w:firstLine="480" w:firstLineChars="200"/>
        <w:rPr>
          <w:rFonts w:hint="eastAsia"/>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本方案采用分层解耦的模块化部署架构，支撑系统能够在龙芯、飞腾、瑞芯微等国产硬件平台以及麒麟、Ubuntu等操作系统上稳定运行。通过平台适配层实现硬件和操作系统之间的抽象隔离，各功能模块以独立进程或容器方式运行，支持按需加载与动态扩展，有效降低平台迁移与维护成本。</w:t>
      </w:r>
    </w:p>
    <w:p>
      <w:pPr>
        <w:spacing w:line="360" w:lineRule="auto"/>
        <w:ind w:firstLine="480" w:firstLineChars="200"/>
        <w:rPr>
          <w:rFonts w:hint="eastAsia"/>
          <w:lang w:val="en-US" w:eastAsia="zh-CN"/>
        </w:rPr>
      </w:pPr>
      <w:r>
        <w:t xml:space="preserve">系统部署严格遵循全军统一国产化要求，所有软硬件环境均选用国产化产品。网络安全方面，依据军用计算机网络安全防护标准进行网络拓扑设计与软硬件配置，包括安全域划分、访问控制、入侵检测和审计日志等，支撑部署环境满足高安全等级防护要求。</w:t>
      </w:r>
    </w:p>
    <w:p>
      <w:pPr>
        <w:spacing w:line="360" w:lineRule="auto"/>
        <w:ind w:firstLine="480" w:firstLineChars="200"/>
        <w:rPr>
          <w:rFonts w:hint="eastAsia"/>
          <w:lang w:val="en-US" w:eastAsia="zh-CN"/>
        </w:rPr>
      </w:pPr>
      <w:r>
        <w:t xml:space="preserve">部署方案具备高度灵活性，支持单机部署、集群部署以及多云环境混合部署。系统可根据用户规模与业务负载动态调整资源分配，并支持远程升级与配置管理。同时，提供详尽的安装手册与配置指南，支撑在不同场景下快速完成集成与上线。</w:t>
      </w:r>
    </w:p>
    <w:p>
      <w:pPr>
        <w:spacing w:line="360" w:lineRule="auto"/>
        <w:ind w:firstLine="480" w:firstLineChars="200"/>
        <w:rPr>
          <w:rFonts w:hint="eastAsia"/>
          <w:lang w:val="en-US" w:eastAsia="zh-CN"/>
        </w:rPr>
      </w:pPr>
      <w:r>
        <w:t xml:space="preserve">在交付实施方面，自需求单位通知进场之日起，我司将在2个月内完成运输、安装、调试、集成、联调及上线运行工作。中标后，将提供全面免费的培训服务，包括理论培训、现场操作培训及编制培训教材（含安装手册、软件使用手册、PPT或视频），培训次数不超过5次，每次不少于60分钟，支撑用户掌握系统使用与维护技能。</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本系统功能设计严格遵循IEC 61174-2015、IEC 62288-2024、GB/T 43053-2023等国际及国家标准，以及IHO S-57、S-63、S-52系列海图数据标准，支撑核心显示与操作满足规范要求。系统采用模块化分层架构，自下而上分为平台运行与部署支撑层、数据接入与标准化处理层、导航业务与安全决策层、显示交互与态势呈现层，以及贯穿全生命周期的质量安全与交付保障层，各层间通过清晰接口协作，实现高内聚低耦合的设计目标。</w:t>
      </w:r>
    </w:p>
    <w:p>
      <w:pPr>
        <w:pStyle w:val="3"/>
        <w:numPr>
          <w:ilvl w:val="0"/>
          <w:numId w:val="0"/>
        </w:numPr>
        <w:bidi w:val="0"/>
        <w:ind w:leftChars="200"/>
        <w:rPr>
          <w:rFonts w:hint="eastAsia"/>
          <w:lang w:val="en-US" w:eastAsia="zh-CN"/>
        </w:rPr>
      </w:pPr>
      <w:r>
        <w:t xml:space="preserve">在功能模块方面，系统涵盖电子海图显示与图层控制、目标信息融合与态势叠加、航线规划与航行监控、安全告警与风险预警、人机交互与个性化配置、平台适配与模块化运行、数据维护与接口管理七大核心模块。电子海图模块支持S-57/S-63海图加载、昼夜配色、图层控制及OpenGL加速渲染；目标融合模块可接入雷达、AIS、ARPA等传感器数据，实现海图与动态目标的精确叠加；航线规划模块提供手动/自动航线设计、安全检查及实时偏航监控；安全告警模块围绕等深线、禁航区、CPA/TCPA等规则，提供分级声光预警；人机交互模块支持多输入方式及个性化配置；平台适配模块兼容龙芯、飞腾等国产硬件及麒麟、Ubuntu操作系统；数据维护模块负责海图更新、航行记录备份及NMEA协议通信。</w:t>
      </w:r>
    </w:p>
    <w:p>
      <w:pPr>
        <w:pStyle w:val="3"/>
        <w:numPr>
          <w:ilvl w:val="0"/>
          <w:numId w:val="0"/>
        </w:numPr>
        <w:bidi w:val="0"/>
        <w:ind w:leftChars="200"/>
        <w:rPr>
          <w:rFonts w:hint="eastAsia"/>
          <w:lang w:val="en-US" w:eastAsia="zh-CN"/>
        </w:rPr>
      </w:pPr>
      <w:r>
        <w:t xml:space="preserve">系统技术路线突出跨平台兼容性与高可靠性，采用C++开发，通过模块化架构和标准化接口，支撑性能指标满足海图初始化≤8秒、响应≤2秒、安全检查准确率≥99%等要求。安全告警遵循IMO/IHO优先级分类，并提供确认与消除机制。整体功能设计旨在为船员提供直观、高效、安全的航行决策支持环境，同时为后续功能扩展和系统集成预留标准接口，具备良好的可维护性与可演进性。</w:t>
      </w:r>
    </w:p>
    <w:p>
      <w:pPr>
        <w:pStyle w:val="3"/>
        <w:numPr>
          <w:ilvl w:val="0"/>
          <w:numId w:val="0"/>
        </w:numPr>
        <w:bidi w:val="0"/>
        <w:ind w:leftChars="200"/>
        <w:rPr>
          <w:rFonts w:hint="eastAsia" w:eastAsia="宋体"/>
          <w:lang w:eastAsia="zh-CN"/>
        </w:rPr>
      </w:pPr>
      <w:r>
        <w:t xml:space="preserve">本章节围绕电子海图显示与信息系统（ECDIS）的核心功能，从海图数据标准化处理、多源目标融合显示、航线规划与监控、安全预警与告警、人机交互及平台适配等方面进行系统设计。系统严格遵循IEC 61174-2015、IEC 62288-2024、GB/T 43053-2023等国际国内标准，支持S-57/S-63海图数据格式及S-52显示标准，支撑海图显示与操作的合规性。同时，系统采用模块化分层架构，实现各功能模块的高内聚、低耦合，便于后续扩展与维护。</w:t>
      </w:r>
    </w:p>
    <w:p>
      <w:pPr>
        <w:pStyle w:val="3"/>
        <w:numPr>
          <w:ilvl w:val="0"/>
          <w:numId w:val="0"/>
        </w:numPr>
        <w:bidi w:val="0"/>
        <w:ind w:leftChars="200"/>
        <w:rPr>
          <w:rFonts w:hint="eastAsia" w:eastAsia="宋体"/>
          <w:lang w:eastAsia="zh-CN"/>
        </w:rPr>
      </w:pPr>
      <w:r>
        <w:t xml:space="preserve">在海图综合态势展示方面，系统支持标准电子海图的接入与显示，提供海图自动匹配、缩放、漫游、图层控制（基础/标准/全部）等功能，并可根据IMO要求切换白天、黄昏、夜晚三种配色模式，夜间模式亮度符合规范。显示模式支持“正北向上”与“船艏向上”切换，以及“真实位移”与“相对位移”模式。通过OpenGL技术实现雷达回波图像与电子海图的实时叠加，并集成AIS、ARPA等目标信息，将目标符号准确叠加在地理位置上，可选显示航向、航速、船名、MMSI等关键信息，同时支持叠加自定义GIS要素（如电子围栏、风险区域）以及潮汐、海流、气象等动态信息。</w:t>
      </w:r>
    </w:p>
    <w:p>
      <w:pPr>
        <w:pStyle w:val="3"/>
        <w:numPr>
          <w:ilvl w:val="0"/>
          <w:numId w:val="0"/>
        </w:numPr>
        <w:bidi w:val="0"/>
        <w:ind w:leftChars="200"/>
        <w:rPr>
          <w:rFonts w:hint="eastAsia" w:eastAsia="宋体"/>
          <w:lang w:eastAsia="zh-CN"/>
        </w:rPr>
      </w:pPr>
      <w:r>
        <w:t xml:space="preserve">在航线规划与航行监控方面，系统提供手动/自动航线设计功能，支持航向点与航段的添加、删除、拖动、排序，自动执行航线安全检查，提示浅水、禁航区或危险物接近。用户可设定吃水、安全等深线、偏航阈值（XTD）、船舶尺寸等安全参数，具备真距离/方位计算、ETA估算等航行计算能力。实时叠加GPS/DGPS船位，连续监控船舶是否按计划航线行驶，并支持历史航迹、船位、速度、航向及报警事件的连续记录与存储，用于航后分析与VDR备份。</w:t>
      </w:r>
    </w:p>
    <w:p>
      <w:pPr>
        <w:pStyle w:val="3"/>
        <w:numPr>
          <w:ilvl w:val="0"/>
          <w:numId w:val="0"/>
        </w:numPr>
        <w:bidi w:val="0"/>
        <w:ind w:leftChars="200"/>
        <w:rPr>
          <w:rFonts w:hint="eastAsia" w:eastAsia="宋体"/>
          <w:lang w:eastAsia="zh-CN"/>
        </w:rPr>
      </w:pPr>
      <w:r>
        <w:t xml:space="preserve">安全告警与风险预警模块基于用户输入的吃水和富裕水深自动计算并设置安全等深线与安全轮廓线，在海图上突出显示浅水区域（蓝色）与安全水域（白色）。当本船或安全轮廓线即将进入不安全水域时，立即发出声光告警（防搁浅告警）。系统还支持禁航区、限航区、港口报告区、自定义电子围栏的穿越告警，以及孤立危险物、浅水区接近预报警。基于AIS/雷达目标数据提供CPA/TCPA计算，在风险超过阈值时触发碰撞预警。当船舶偏离计划航线超过XTD时发出偏航告警，并对传感器故障、海图更新延迟等系统级故障进行告警。告警遵循IMO/IHO规范进行优先级分类（紧急、警报、指示），采用不同声光模式，并提供告警列表供船员确认与消除。</w:t>
      </w:r>
    </w:p>
    <w:p>
      <w:pPr>
        <w:pStyle w:val="3"/>
        <w:numPr>
          <w:ilvl w:val="0"/>
          <w:numId w:val="0"/>
        </w:numPr>
        <w:bidi w:val="0"/>
        <w:ind w:leftChars="200"/>
        <w:rPr>
          <w:rFonts w:hint="eastAsia" w:eastAsia="宋体"/>
          <w:lang w:eastAsia="zh-CN"/>
        </w:rPr>
      </w:pPr>
      <w:r>
        <w:t xml:space="preserve">在数据维护与接口管理方面，系统具备接收、解析和应用官方S-63加密海图更新数据的能力，并生成更新记录；定期自动备份系统内部存储结构（SENC）和航行记录。软件接口遵循NMEA0183/2000协议与船载设备通信，同时预留标准数据接口，支持后续接入新型导航传感器或功能模块。采用模块化软件架构，支持跨平台部署（龙芯、飞腾、瑞芯微等硬件平台及麒麟、Ubuntu操作系统），并支持多设备按优先级协同运行。性能方面，海图初始化时间不超过8秒，海图响应时间不超过2秒，航线安全检查准确率高于99%。</w:t>
      </w:r>
    </w:p>
    <w:p>
      <w:pPr>
        <w:pStyle w:val="3"/>
        <w:numPr>
          <w:ilvl w:val="0"/>
          <w:numId w:val="0"/>
        </w:numPr>
        <w:bidi w:val="0"/>
        <w:ind w:leftChars="200"/>
        <w:rPr>
          <w:rFonts w:hint="eastAsia" w:eastAsia="宋体"/>
          <w:lang w:eastAsia="zh-CN"/>
        </w:rPr>
      </w:pPr>
      <w:r>
        <w:t xml:space="preserve">系统还注重人机交互与个性化配置，提供直观图形化界面，菜单层级简洁明了，支持常用功能快捷键访问。软件界面适配高分辨率显示，支持通过软件指令调节背景亮度。对删除航线、修改安全参数等重要操作设置二次确认对话框，防止误操作。整体设计遵循可靠性、安全性、维修性、测试性等质量要求，功能模块间接口定义清晰稳定，支持自动化测试实施，并具备完善的权限授权与网络安全防护机制，支撑系统安全运行。</w:t>
      </w:r>
    </w:p>
    <w:p>
      <w:pPr>
        <w:pStyle w:val="3"/>
        <w:numPr>
          <w:ilvl w:val="0"/>
          <w:numId w:val="0"/>
        </w:numPr>
        <w:bidi w:val="0"/>
        <w:ind w:leftChars="200"/>
        <w:rPr>
          <w:rFonts w:hint="eastAsia" w:eastAsia="宋体"/>
          <w:lang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一般操作响应时间（数据查阅、图表显示等操作）：＜2s；</w:t>
            </w:r>
          </w:p>
        </w:tc>
        <w:tc>
          <w:tcPr>
            <w:tcW w:w="2400" w:type="dxa"/>
          </w:tcPr>
          <w:p>
            <w:r>
              <w:t xml:space="preserve">一般操作响应时间（数据查阅、图表显示等操作）：＜2s；</w:t>
            </w:r>
          </w:p>
        </w:tc>
      </w:tr>
      <w:tr>
        <w:tc>
          <w:tcPr>
            <w:tcW w:w="2400" w:type="dxa"/>
          </w:tcPr>
          <w:p>
            <w:r>
              <w:t xml:space="preserve">P002</w:t>
            </w:r>
          </w:p>
        </w:tc>
        <w:tc>
          <w:tcPr>
            <w:tcW w:w="2400" w:type="dxa"/>
          </w:tcPr>
          <w:p>
            <w:r>
              <w:t xml:space="preserve">系统初始化时间：＜10s；-系统初始化时间</w:t>
            </w:r>
          </w:p>
        </w:tc>
        <w:tc>
          <w:tcPr>
            <w:tcW w:w="2400" w:type="dxa"/>
          </w:tcPr>
          <w:p>
            <w:r>
              <w:t xml:space="preserve">系统初始化时间：＜10s；</w:t>
            </w:r>
          </w:p>
        </w:tc>
      </w:tr>
      <w:tr>
        <w:tc>
          <w:tcPr>
            <w:tcW w:w="2400" w:type="dxa"/>
          </w:tcPr>
          <w:p>
            <w:r>
              <w:t xml:space="preserve">P003</w:t>
            </w:r>
          </w:p>
        </w:tc>
        <w:tc>
          <w:tcPr>
            <w:tcW w:w="2400" w:type="dxa"/>
          </w:tcPr>
          <w:p>
            <w:r>
              <w:t xml:space="preserve">一般数据查询时间：＜5s；-一般数据查询时间</w:t>
            </w:r>
          </w:p>
        </w:tc>
        <w:tc>
          <w:tcPr>
            <w:tcW w:w="2400" w:type="dxa"/>
          </w:tcPr>
          <w:p>
            <w:r>
              <w:t xml:space="preserve">一般数据查询时间：＜5s；</w:t>
            </w:r>
          </w:p>
        </w:tc>
      </w:tr>
      <w:tr>
        <w:tc>
          <w:tcPr>
            <w:tcW w:w="2400" w:type="dxa"/>
          </w:tcPr>
          <w:p>
            <w:r>
              <w:t xml:space="preserve">P004</w:t>
            </w:r>
          </w:p>
        </w:tc>
        <w:tc>
          <w:tcPr>
            <w:tcW w:w="2400" w:type="dxa"/>
          </w:tcPr>
          <w:p>
            <w:r>
              <w:t xml:space="preserve">一般数据汇总时间：&lt;10s；-一般数据汇总时间</w:t>
            </w:r>
          </w:p>
        </w:tc>
        <w:tc>
          <w:tcPr>
            <w:tcW w:w="2400" w:type="dxa"/>
          </w:tcPr>
          <w:p>
            <w:r>
              <w:t xml:space="preserve">一般数据汇总时间：&lt;10s；</w:t>
            </w:r>
          </w:p>
        </w:tc>
      </w:tr>
      <w:tr>
        <w:tc>
          <w:tcPr>
            <w:tcW w:w="2400" w:type="dxa"/>
          </w:tcPr>
          <w:p>
            <w:r>
              <w:t xml:space="preserve">P005</w:t>
            </w:r>
          </w:p>
        </w:tc>
        <w:tc>
          <w:tcPr>
            <w:tcW w:w="2400" w:type="dxa"/>
          </w:tcPr>
          <w:p>
            <w:r>
              <w:t xml:space="preserve">指令响应率：100%；-指令响应率</w:t>
            </w:r>
          </w:p>
        </w:tc>
        <w:tc>
          <w:tcPr>
            <w:tcW w:w="2400" w:type="dxa"/>
          </w:tcPr>
          <w:p>
            <w:r>
              <w:t xml:space="preserve">指令响应率：100%；</w:t>
            </w:r>
          </w:p>
        </w:tc>
      </w:tr>
      <w:tr>
        <w:tc>
          <w:tcPr>
            <w:tcW w:w="2400" w:type="dxa"/>
          </w:tcPr>
          <w:p>
            <w:r>
              <w:t xml:space="preserve">P006</w:t>
            </w:r>
          </w:p>
        </w:tc>
        <w:tc>
          <w:tcPr>
            <w:tcW w:w="2400" w:type="dxa"/>
          </w:tcPr>
          <w:p>
            <w:r>
              <w:t xml:space="preserve">系统服务稳定性：99%；-系统服务稳定性</w:t>
            </w:r>
          </w:p>
        </w:tc>
        <w:tc>
          <w:tcPr>
            <w:tcW w:w="2400" w:type="dxa"/>
          </w:tcPr>
          <w:p>
            <w:r>
              <w:t xml:space="preserve">系统服务稳定性：99%；</w:t>
            </w:r>
          </w:p>
        </w:tc>
      </w:tr>
      <w:tr>
        <w:tc>
          <w:tcPr>
            <w:tcW w:w="2400" w:type="dxa"/>
          </w:tcPr>
          <w:p>
            <w:r>
              <w:t xml:space="preserve">P007</w:t>
            </w:r>
          </w:p>
        </w:tc>
        <w:tc>
          <w:tcPr>
            <w:tcW w:w="2400" w:type="dxa"/>
          </w:tcPr>
          <w:p>
            <w:r>
              <w:t xml:space="preserve">特殊操作超过该时间则需要给予用户明确的等待时间或进度条提示。</w:t>
            </w:r>
          </w:p>
        </w:tc>
        <w:tc>
          <w:tcPr>
            <w:tcW w:w="2400" w:type="dxa"/>
          </w:tcPr>
          <w:p>
            <w:r>
              <w:t xml:space="preserve">特殊操作超过该时间则需要给予用户明确的等待时间或进度条提示。</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本系统的数据库设计以高可靠性、高性能和标准化为核心原则，全面支撑海图综合态势展示、目标信息融合、航线规划与航行监控等核心业务。数据库体系采用分层存储架构，涵盖海图基础数据（ENC/SENC）、动态目标数据（AIS/雷达/ARPA）、航行记录、系统配置及告警日志等数据类型，支撑各模块间数据的高效流转与一致性。设计严格遵循IHO S-57、S-63及S-52标准，支持标准电子海图的导入、解析、转换与内部存储，同时具备S-63加密格式海图更新数据的接收与应用能力，保障海图信息的实时性和合规性。</w:t>
      </w:r>
    </w:p>
    <w:p>
      <w:pPr>
        <w:pStyle w:val="3"/>
        <w:numPr>
          <w:ilvl w:val="0"/>
          <w:numId w:val="0"/>
        </w:numPr>
        <w:bidi w:val="0"/>
        <w:ind w:leftChars="200"/>
        <w:rPr>
          <w:rFonts w:hint="eastAsia" w:ascii="黑体" w:hAnsi="黑体" w:eastAsia="黑体" w:cs="黑体"/>
          <w:sz w:val="28"/>
          <w:szCs w:val="32"/>
        </w:rPr>
      </w:pPr>
      <w:r>
        <w:t xml:space="preserve">在数据存储层面，系统采用关系型数据库与文件存储相结合的方式。关系型数据库负责管理结构化数据，如航线信息、用户权限、告警记录等，支持ACID事务以保障数据完整性；文件存储则用于管理大规模海图数据（SENC）和日志文件，通过索引机制实现快速访问。数据库读写接口遵循IHO S-57标准，实现ENC至SENC的高效转换，同时提供标准数据访问接口，供电子海图显示、态势叠加、航线规划等模块调用。此外，系统支持定期自动备份SENC和航行记录，支撑数据安全与可恢复性。</w:t>
      </w:r>
    </w:p>
    <w:p>
      <w:pPr>
        <w:pStyle w:val="3"/>
        <w:numPr>
          <w:ilvl w:val="0"/>
          <w:numId w:val="0"/>
        </w:numPr>
        <w:bidi w:val="0"/>
        <w:ind w:leftChars="200"/>
        <w:rPr>
          <w:rFonts w:hint="eastAsia" w:ascii="黑体" w:hAnsi="黑体" w:eastAsia="黑体" w:cs="黑体"/>
          <w:sz w:val="28"/>
          <w:szCs w:val="32"/>
        </w:rPr>
      </w:pPr>
      <w:r>
        <w:t xml:space="preserve">数据库接口设计充分考虑与外部设备的兼容性，采用NMEA0183/2000协议与船载传感器（如GPS、北斗、电罗经、计程仪等）进行数据通信，稳定接收船舶位置、航向、速度等动态数据。同时，支持与BNWAS、VDR、BAM、MSI、INS等系统的接口，实现数据共享与功能协同。数据交换采用通用格式（如CSV、XML），便于航线文件的导入导出及与其他系统的数据交互。接口具备错误校验和自动重连机制，保障数据链路的可靠性与连续性。</w:t>
      </w:r>
    </w:p>
    <w:p>
      <w:pPr>
        <w:pStyle w:val="3"/>
        <w:numPr>
          <w:ilvl w:val="0"/>
          <w:numId w:val="0"/>
        </w:numPr>
        <w:bidi w:val="0"/>
        <w:ind w:leftChars="200"/>
        <w:rPr>
          <w:rFonts w:hint="eastAsia" w:ascii="黑体" w:hAnsi="黑体" w:eastAsia="黑体" w:cs="黑体"/>
          <w:sz w:val="28"/>
          <w:szCs w:val="32"/>
        </w:rPr>
      </w:pPr>
      <w:r>
        <w:t xml:space="preserve">性能方面，数据库设计针对海图初始化时间、数据查询与汇总时间进行了优化。海图初始化时间不超过8秒，一般数据查询时间小于5秒，数据汇总时间小于10秒，支撑系统响应快速、用户体验流畅。同时，系统采用模块化架构，功能模块间接口定义清晰、稳定，支持单元测试、集成测试与系统测试，满足可测试性要求。权限管理方面，建立严格的授权机制，按岗位业务灵活配置访问权限，禁止在正式运行的系统与数据库中进行测试操作，保障系统安全。</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本系统数据库架构采用模块化设计，核心海图数据存储遵循IHO S-57标准，将电子海图数据（ENC）高效转换为系统内部存储结构（SENC），支撑数据加载与解析的标准化与一致性。同时支持S-63加密格式的海图更新数据接收与解析，保障海图信息的及时性与准确性。数据库设计充分考虑了海量海图数据的高效索引与快速检索，以满足海图初始化时间不超过8秒、海图响应时间不超过2秒的性能指标。</w:t>
      </w:r>
    </w:p>
    <w:p>
      <w:pPr>
        <w:adjustRightInd w:val="0"/>
        <w:spacing w:line="360" w:lineRule="auto"/>
        <w:ind w:firstLine="420"/>
        <w:rPr>
          <w:rFonts w:ascii="Helvetica" w:hAnsi="Helvetica" w:eastAsia="Helvetica" w:cs="Helvetica"/>
          <w:color w:val="707070"/>
          <w:sz w:val="21"/>
          <w:szCs w:val="21"/>
          <w:shd w:val="clear" w:color="auto" w:fill="F5F6F8"/>
        </w:rPr>
      </w:pPr>
      <w:r>
        <w:t xml:space="preserve">为实现与船载设备及外部系统的可靠数据交互，软件接口严格遵循NMEA0183/2000协议，支持GPS、北斗、电罗经、计程仪等传感器数据的稳定通信与解析。此外，系统预留标准数据接口，可灵活接入新型导航传感器或功能模块，体现了模块化软件架构的扩展性与前瞻性。接口通信具备错误校验和自动重连机制，支撑数据链路的可靠性。</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读写接口设计充分考虑了功能模块之间的清晰边界与稳定性，各模块（如数据接入、告警管理、系统配置等）通过定义良好的接口进行数据交换，支持面向服务的数据访问模式。同时，系统提供统一的数据维护与接口管理模块，负责海图、航线、日志、传感器接口和数据库读写的统一维护，并具备数据校验、版本管理与可追溯记录能力。</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在外部数据交换方面，系统支持与USB存储设备、便携式电脑等设备的数据交换，便于海图数据备份与航线文件导入导出，并采用CSV、XML等通用数据格式支撑兼容性。数据库架构还充分考虑了可测试性设计，提供必要的测试接口与机制，支持自动化测试的实施，为单元测试、集成测试与系统验收测试提供基础支撑。</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核心业务数据设计围绕电子海图显示与信息系统（ECDIS）的标准化与智能化展开，严格遵循IEC 61174-2015、IEC 62288-2024、GB/T 43053-2023等国际与国家标准，以及IHO S-57、S-63、S-52系列规范，支撑海图数据处理与显示的合规性与互操作性。系统通过模块化架构实现海图数据的高效加载与渲染，支持S-57/S-63格式电子海图的接入与解析，并转换为内部存储结构（SENC），同时具备官方海图更新数据的接收、解析与应用能力，支撑海图信息的时效性与准确性。海图显示支持多种配色模式（白天、黄昏、夜晚）、正北/船艏向上模式切换，以及图层控制与要素开关，满足不同航行环境下的可视化需求。</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在数据融合与态势叠加方面，系统基于OpenGL技术实现雷达回波图像、AIS目标、ARPA跟踪目标与本船符号在电子海图上的实时、准确叠加，并支持AIS目标关键信息（航向、航速、船名、MMSI等）及ARPA预测信息的可选显示。同时，可叠加自定义GIS要素（如电子围栏、风险区域）以及潮汐、海流、气象信息等外部数据，形成综合态势感知能力。系统还具备安全等深线突出显示、水深告警功能，并根据AIS/雷达目标数据提供CPA/TCPA计算与碰撞预警，辅助航行安全决策。</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在系统接口与数据交互设计上，采用多层次、模块化的接口架构，支撑内部模块间及外部设备间的数据交互准确、高效。内部接口包括安全告警与风险接口、航线规划与监控接口、数据库数据读写接口、海图显示与态势融合接口等，各接口定义清晰、稳定，支持功能模块的独立开发与集成测试。外部接口遵循NMEA 0183/2000协议，与GPS、北斗、电罗经、计程仪等导航设备通信，同时扩展与BNWAS、VDR、BAM、MSI、INS等系统的数据共享，实现气象信息叠加、航线协同等功能。人机交互接口支持触摸屏、鼠标、键盘、轨迹球等多种输入方式，提供直观的图形化界面和及时的操作反馈，提升船员使用体验。</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维护与接口管理模块负责海图数据、航线文件、日志记录的统一维护，提供数据校验、版本管理、接口隔离和可追溯记录。通过标准数据接口（如CSV、XML）支持与外部存储设备的数据交换，便于海图备份与航线导入导出。同时，系统具备定期自动备份SENC结构和航行记录的能力，支撑数据安全。软件接口采用NMEA标准协议，保障与船载设备通信的稳定性和兼容性，并支持错误校验与自动重连机制，保障数据链路的可靠性。</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整个核心业务数据设计以模块化、标准化为原则，预留标准数据接口支持后续接入新型导航传感器或功能模块，满足系统可扩展性需求。通过覆盖IEC/IHO/GJB等标准的符合性设计，以及接口通信的可靠性保障，系统能够在复杂航行环境中稳定运行，为船员提供精准、及时的综合态势信息与决策支持，显著提升航行安全与作业效率。</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系统数据库表设计遵循模块化原则，覆盖海图数据、航行数据、告警日志、系统配置及用户权限等核心业务域。海图数据表采用IHO S-57/S-63标准模型，支持ENC到SENC的转换与增量更新存储；航行数据表记录航线、航点、航段及历史轨迹，满足航线规划与监控的实时读写需求；告警日志表存储CPA/TCPA碰撞预警、传感器故障、偏航等事件，支持按时间、类型、船舶ID的高效检索，支撑响应时间小于2秒。</w:t>
      </w:r>
    </w:p>
    <w:p>
      <w:pPr>
        <w:adjustRightInd w:val="0"/>
        <w:spacing w:line="360" w:lineRule="auto"/>
        <w:ind w:firstLine="480" w:firstLineChars="200"/>
        <w:rPr>
          <w:szCs w:val="28"/>
        </w:rPr>
      </w:pPr>
      <w:r>
        <w:t xml:space="preserve">在海图数据存储方面，设计SENC主表与更新日志表，采用分层存储策略：基础图层、标准图层与全部图层对应不同数据粒度，通过图层控制接口实现快速加载与显示切换。所有海图要素表包含空间索引和属性字段，支撑“正北向上/船艏向上”模式下的高效渲染，并符合IEC 61174等标准对显示性能的要求。</w:t>
      </w:r>
    </w:p>
    <w:p>
      <w:pPr>
        <w:adjustRightInd w:val="0"/>
        <w:spacing w:line="360" w:lineRule="auto"/>
        <w:ind w:firstLine="480" w:firstLineChars="200"/>
        <w:rPr>
          <w:szCs w:val="28"/>
        </w:rPr>
      </w:pPr>
      <w:r>
        <w:t xml:space="preserve">传感器数据表设计面向多源异构数据融合，包括GPS、北斗、电罗经、计程仪、AIS/雷达/ARPA等设备。采用NMEA 0183/2000协议解析后的标准化字段，时间戳精确到毫秒，空间坐标采用WGS-84坐标系。通过设备ID与时间分区索引，支持高速写入与实时查询，满足雷达回波叠加、AIS目标跟踪等实时性要求。</w:t>
      </w:r>
    </w:p>
    <w:p>
      <w:pPr>
        <w:adjustRightInd w:val="0"/>
        <w:spacing w:line="360" w:lineRule="auto"/>
        <w:ind w:firstLine="480" w:firstLineChars="200"/>
        <w:rPr>
          <w:szCs w:val="28"/>
        </w:rPr>
      </w:pPr>
      <w:r>
        <w:t xml:space="preserve">为满足系统高可靠性和数据安全需求，设计自动备份表与操作审计表。备份表记录SENC快照及所有航行日志的备份时间、类型和校验值，支持定期自动备份与手动恢复。操作审计表按用户、操作类型、时间戳记录关键操作（如删除航线、修改权限），支撑所有变更可追溯，符合GJB相关安全要求。</w:t>
      </w:r>
    </w:p>
    <w:p>
      <w:pPr>
        <w:adjustRightInd w:val="0"/>
        <w:spacing w:line="360" w:lineRule="auto"/>
        <w:ind w:firstLine="480" w:firstLineChars="200"/>
        <w:rPr>
          <w:szCs w:val="28"/>
        </w:rPr>
      </w:pPr>
      <w:r>
        <w:t xml:space="preserve">性能优化方面，针对一般操作响应时间&lt;2秒、数据查询&lt;5秒、数据汇总&lt;10秒的指标，采用读写分离、缓存层（如Redis）和数据库连接池技术。对于海图初始化时间≤8秒的要求，通过预加载关键图层和延迟加载非核心数据策略平衡首次加载速度与内存占用。所有表设计预留扩展字段，便于后续接入新型传感器或功能模块，保持系统架构的开放性与可维护性。</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本系统在通用质量特性设计上，围绕可靠性、安全性、保障性、维修性、测试性和环境适应性等核心要求，构建了全生命周期的质量保障体系。系统采用分层模块化架构，各功能模块间接口定义清晰且稳定，便于独立测试与维护。针对海图数据加载、航线安全检查、接口通信等关键场景，通过错误校验与自动重连机制提升数据传输的可靠性，支撑关键业务的高可用性。</w:t>
      </w:r>
    </w:p>
    <w:p>
      <w:pPr>
        <w:widowControl w:val="0"/>
        <w:bidi w:val="0"/>
        <w:spacing w:after="2" w:line="360" w:lineRule="auto"/>
        <w:ind w:firstLine="480" w:firstLineChars="200"/>
      </w:pPr>
      <w:r>
        <w:t xml:space="preserve">在安全性方面，系统严格遵循全军统一国产化要求，支持龙芯、飞腾、瑞芯微等硬件平台及麒麟、Ubuntu操作系统部署。通过灵活的权限设计、严格的授权机制以及安全测试与审计措施，控制正式运行环境中的访问与数据风险。网络软硬件部署配置符合军用计算机网络安全防护标准，支撑系统运行环境的安全可控。</w:t>
      </w:r>
    </w:p>
    <w:p>
      <w:pPr>
        <w:widowControl w:val="0"/>
        <w:bidi w:val="0"/>
        <w:spacing w:after="2" w:line="360" w:lineRule="auto"/>
        <w:ind w:firstLine="480" w:firstLineChars="200"/>
      </w:pPr>
      <w:r>
        <w:t xml:space="preserve">为提升保障性与维修性，系统随主机设备移交时配套完整用户手册，并建立文档与代码的可追溯机制。各模块具备定义清晰的接口，平均维修时间（MTTR）控制在0.5小时以内，降低故障恢复时间。同时，系统在设计与实现中充分考虑了可测试性，内置测试接口与自动化测试支持，便于实施单元测试、集成测试与系统级验证。</w:t>
      </w:r>
    </w:p>
    <w:p>
      <w:pPr>
        <w:widowControl w:val="0"/>
        <w:bidi w:val="0"/>
        <w:spacing w:after="2" w:line="360" w:lineRule="auto"/>
        <w:ind w:firstLine="480" w:firstLineChars="200"/>
      </w:pPr>
      <w:r>
        <w:t xml:space="preserve">环境适应性方面，系统兼容主流国产硬件平台与操作系统，支持在龙芯、飞腾、瑞芯微及麒麟、Ubuntu环境下稳定运行。软件采用C++语言开发，分层结构与模块化设计支撑了系统的继承性、灵活性与可维护性，可灵活适配不同部署场景，满足复杂海图综合态势展示的长期运行需求。</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可靠性设计方面，系统以电子海图综合态势展示的高可用性和持续运行为目标，重点围绕初始化时长、指令响应率和系统服务稳定性等核心指标展开。通过优化启动流程、采用预加载与缓存机制，系统初始化时间可控制在10秒以内；架构层面引入冗余设计与负载均衡，支撑指令响应率达到100%，系统服务稳定性不低于99%。</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海图数据加载与航线安全检查等关键业务，系统通过数据完整性校验、内存校验和自动重传机制，保障海图初始化时间不超过8秒，响应时间不超过2秒，航线安全检查准确率高于99%。存储介质选用工业级器件并支持RAID冗余，接口通信协议内置错误校验与自动重连能力，有效保障数据链路在复杂环境下的可靠传输。</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方面，系统采用模块化设计，各功能模块（如数据接入、告警管理、系统配置等）之间具备定义清晰且稳定的接口，便于故障隔离与快速更换。通过故障检测、自动诊断及热插拔支持，平均维修时间（MTTR）可控制在0.5小时以内，最大程度降低系统非可用时段。</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在可靠性设计中融入了严格的质量控制体系，从需求分析、设计评审、编码实现到测试验证，各阶段均有规范化流程与文档记录。测试过程覆盖单元测试、集成测试、压力测试及长期稳定性测试，支撑交付前的系统可靠性满足预期标准。此外，系统运行期间实时采集性能与故障日志，为持续优化提供数据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售后服务方案中明确，自软件验收合格之日起提供24个月质保期，质保期内免费升级修正因产品质量导致的缺陷。针对故障响应，提供7×24小时技术支持，30分钟内实质性响应，重大问题12小时内到场维修，问题解决后24小时内提交处理报告。该机制与可靠性设计形成闭环，保障系统长期稳定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本方案在维修性与保障性设计方面，严格遵循MTTR≤0.5小时的核心指标，通过模块化与可插拔设计实现快速故障定位与更换。系统所有关键模块均支持热插拔，并配备自诊断与故障隔离机制，支撑单点故障不影响整体运行。维修过程提供详细的故障诊断树和备件清单，维修人员可依据标准化流程在30分钟内完成典型故障排除。</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在测试性设计上，系统提供丰富的测试接口与自动化测试框架，覆盖单元测试、集成测试、系统测试及验收测试各阶段。每个功能模块预留测试桩点与日志输出接口，支持自动化测试脚本注入，同时内置故障注入功能以验证系统容错能力。测试报告自动生成，支撑测试过程可追溯、可复现。</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为满足安全性要求，系统实施严格的权限分级与访问控制，基于角色的权限管理支撑不同岗位用户仅能访问授权功能。所有操作均记录日志，支持审计追溯。正式运行环境与测试环境严格隔离，禁止在运行环境执行测试操作。系统上线前须通过整体安全性测试并提供报告，管理人员须经培训考核合格后方可上岗。</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性设计涵盖售后与培训全周期。质保期内提供7×24小时远程及现场支持，30分钟内响应，重大问题12小时内到现场，故障排除后24小时内提交处理报告。培训方面提供不少于5次、每次60分钟以上的理论及实操培训，内容覆盖安装、使用、维护，并编制完整教材。培训师资具备丰富经验，支撑用户熟练掌握系统运维。</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系统同时考虑长期运维便利性，采用标准化接口与通用硬件平台，降低备件成本与更换难度。提供完整的系统管理手册与应急操作指南，并通过定期巡检与健康评估预防潜在故障。所有设计均通过质量体系审核与测试验证，支撑维修性与保障性指标可量化、可考核。</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从设计之初便将保障性作为核心考量，通过构建分层冗余架构与模块化部署方案，支撑系统服务稳定性达到99%以上。各功能模块之间定义清晰、稳定的接口，支持独立升级与故障隔离，有效降低单点失效风险。同时，系统采用多级故障自愈机制，关键服务可实现秒级切换，为航行态势的连续、可靠呈现提供坚实底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满足MTTR≤0.5小时的维修性要求，系统内置全面的运行状态监控与诊断工具，支持远程故障定位和模块级热替换。功能模块（如数据接入、告警管理、系统配置等）均遵循标准化接口设计，维修人员可快速识别并替换故障单元，显著缩短平均维修时间。此外，系统记录所有操作日志与配置变更，为事后分析和持续优化提供依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系统移交阶段，将随主机设备完整交付用户使用手册，并配合联试和实际使用开展维护工作。所有软件更改均需严格记录，支撑文档与代码始终保持可追溯性和一致性。同时，系统上线前必须通过整体的安全性测试并出具正式报告，管理人员需经过严格培训，熟练掌握系统管理操作，从而保障交付后的长期稳定运行。</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系统设计中，我们遵循可测试性原则，支撑各模块和子系统在实现时具备充分的测试接口与机制。通过提供标准化的测试桩、驱动程序和日志输出，支持单元测试、集成测试、系统测试和验收测试的自动化执行，从而有效提升测试覆盖率和效率，降低回归测试成本。</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安全性要求，系统上线前将执行完整的整体安全性测试，覆盖权限验证、数据加密、访问控制等关键安全功能。测试过程严格遵循预定义的测试用例，输出详细的安全测试报告，支撑系统在正式运行环境中的安全可靠。同时，正式运行与测试环境严格隔离，杜绝在正式系统中开展测试操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方面，测试过程纳入整体质量保障体系，建立测试计划、测试用例评审、缺陷跟踪和回归验证的闭环管理。通过引入自动化测试工具，对关键业务流程和接口进行持续集成测试，支撑每次版本迭代的质量稳定性。测试结果作为质量门禁依据，与设计开发过程质量控制、交付验收环节紧密衔接。</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保障长期运行的可维护性，系统设计预留诊断接口和远程维护通道（需符合安全策略），支持售后阶段的问题定位与故障复现。质保期内，中标供应商将提供7×24小时技术支持，包括远程指导、现场排故和驻场调试，支撑问题30分钟内响应，重大问题12小时内到达现场，并在解决后24小时内提交问题处理报告。</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安全性设计遵循功能安全与信息安全并重的原则，针对电子海图综合态势展示系统的使用场景，构建覆盖航线规划、航行监控、数据管理、系统部署及运维全生命周期的安全保障体系。系统设计满足军用计算机网络安全防护标准及全军国产化要求，通过模块化分层架构实现安全功能的独立封装与协同，支撑在复杂电磁环境和严苛战场条件下的稳定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功能安全方面，系统提供自动航线段安全检查机制，在规划阶段即可识别浅水区、禁航区及孤立危险物，并支持用户设定吃水、安全等深线、偏航阈值等安全参数，从源头规避航行风险。系统基于安全等深线自动计算安全轮廓线，在海图上以显著颜色区分安全与不安全水域，当船舶或其安全轮廓线即将进入危险区域时，立即触发声光防搁浅告警，并预测未来安全矢量对孤立危险物的接近程度。对于删除航线、修改安全参数等关键操作，系统强制弹出二次确认对话框，防止误操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安全与保密控制模块实现细粒度的用户权限管理，根据岗位业务划分访问权限，建立严格的授权和审计机制，禁止在正式运行环境中进行测试操作。系统支持按照军用网络防护标准进行软硬件部署，包括龙芯、飞腾、瑞芯微等国产硬件平台及麒麟、Ubuntu操作系统，并通过定期自动备份系统内部存储结构和航行记录保障数据安全。在软件质量层面，系统初始化时间不超过8秒，海图响应时间不超过2秒，航线安全检查准确率高于99%，模块接口具备错误校验和自动重连能力，平均维修时间不超过0.5小时，支撑高可靠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知识产权与保密方面，系统严格遵循相关保密规定，对第三方提供的技术文件实行保密管理，合同履行形成的知识产权归采购单位所有。系统上线前须通过整体安全性测试并提供报告，管理人员须经严格培训。软件移交时配套用户手册，维护过程中保持文档与代码的可追溯性和一致性，支撑安全设计具备针对性、合理性和可追溯的工程质量闭环。</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旨在支撑软件能够在多种国产化硬件平台和操作系统环境中稳定运行，满足全军统一国产化要求。系统采用分层解耦的模块化架构，支持在龙芯、飞腾、瑞芯微等硬件平台以及麒麟、Ubuntu等操作系统上进行跨平台部署，通过平台适配模块实现底层硬件与操作系统的差异隔离，降低迁移与维护成本。</w:t>
      </w:r>
    </w:p>
    <w:p>
      <w:pPr>
        <w:spacing w:line="360" w:lineRule="auto"/>
        <w:ind w:firstLine="480" w:firstLineChars="200"/>
      </w:pPr>
      <w:r>
        <w:t xml:space="preserve">在安全性方面，系统建立严格的权限授权机制，根据用户岗位业务进行灵活的权限设计，对访问控制实施精细化管理。系统上线前需进行整体安全性测试并提交安全测试报告，支撑符合军用计算机网络安全防护标准。同时，系统管理人员须接受严格培训，掌握系统管理技能，严禁在正式运行环境中进行测试操作。</w:t>
      </w:r>
    </w:p>
    <w:p>
      <w:pPr>
        <w:spacing w:line="360" w:lineRule="auto"/>
        <w:ind w:firstLine="480" w:firstLineChars="200"/>
      </w:pPr>
      <w:r>
        <w:t xml:space="preserve">部署方案注重灵活性，支持采用模块化组件实现按需组合与快速部署。供应商负责运输、安装、调试等工作，支撑在合同签订后根据需求单位通知进场，并在2个月内完成交货、安装、调试及系统集成联调，保障系统顺利上线运行。</w:t>
      </w:r>
    </w:p>
    <w:p>
      <w:pPr>
        <w:spacing w:line="360" w:lineRule="auto"/>
        <w:ind w:firstLine="480" w:firstLineChars="200"/>
      </w:pPr>
      <w:r>
        <w:t xml:space="preserve">为保障用户能够熟练使用系统，中标供应商需提供免费培训，培训内容包含理论培训与现场操作培训，并编制培训教材（含安装手册、软件使用手册、PPT或视频）。培训总次数不超过5次，每次时长不少于60分钟，培训讲师费用由供应商承担。供应商应在投标文件中制定详细的培训计划，包括课程体系、培训方法、考核方法等。</w:t>
      </w:r>
    </w:p>
    <w:p>
      <w:pPr>
        <w:spacing w:line="360" w:lineRule="auto"/>
        <w:ind w:firstLine="480" w:firstLineChars="200"/>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在关键技术层面，系统首先需要严格遵循国际与国内航海电子海图标准，包括IEC 61174-2015、IEC 62288-2024、GB/T 43053-2023以及IHO S-57、S-63、S-52等标准，支撑核心显示与操作、海图数据处理和加密更新的合规性。同时，采用模块化架构与跨平台适配技术，支持龙芯、飞腾、瑞芯微等硬件平台以及麒麟、Ubuntu等操作系统，实现系统在不同国产化环境下的稳定运行与灵活部署。通过分层解耦设计，各功能模块之间定义清晰稳定的接口，既满足当前功能需求，也为未来扩展新型传感器或功能模块预留了标准接入能力。</w:t>
      </w:r>
    </w:p>
    <w:p>
      <w:pPr>
        <w:widowControl/>
        <w:spacing w:line="360" w:lineRule="auto"/>
        <w:ind w:firstLine="480" w:firstLineChars="200"/>
        <w:jc w:val="left"/>
        <w:textAlignment w:val="center"/>
        <w:rPr>
          <w:rFonts w:hint="eastAsia"/>
          <w:szCs w:val="18"/>
        </w:rPr>
      </w:pPr>
      <w:r>
        <w:t xml:space="preserve">电子海图显示与图层控制是系统的视觉基础，其关键技术在于高效率的海图加载与符号化渲染。基于OpenGL技术实现海图的缩放、漫游、图层切换以及多种配色模式（白天、黄昏、夜晚）的实时切换，并严格遵循IHO S-52及PresLib 4.0标准进行显示。通过将S-57 ENC数据高效转换为系统内部存储结构（SENC），并支持S-63加密更新数据的解析与应用，支撑海图信息的及时性和准确性。此外，系统支持“正北向上”和“船艏向上”显示模式切换，以及“真实位移”和“相对位移”模式，满足不同航行场景需求。</w:t>
      </w:r>
    </w:p>
    <w:p>
      <w:pPr>
        <w:widowControl/>
        <w:spacing w:line="360" w:lineRule="auto"/>
        <w:ind w:firstLine="480" w:firstLineChars="200"/>
        <w:jc w:val="left"/>
        <w:textAlignment w:val="center"/>
        <w:rPr>
          <w:rFonts w:hint="eastAsia"/>
          <w:szCs w:val="18"/>
        </w:rPr>
      </w:pPr>
      <w:r>
        <w:t xml:space="preserve">目标信息融合与态势叠加是系统实现综合态势感知的核心。关键技术包括基于OpenGL的雷达回波图像实时叠加，以及对AIS、ARPA等动态目标数据的处理与显示。系统将AIS目标符号、雷达回波、ARPA跟踪目标与本船符号准确叠加在电子海图对应地理位置，同时可选显示目标航向、航速、船名、MMSI等关键信息。还支持叠加显示自定义GIS要素（如电子围栏、风险区域）、潮汐海流气象信息以及临时通告（AIO），为船员提供全面、直观的航行态势。</w:t>
      </w:r>
    </w:p>
    <w:p>
      <w:pPr>
        <w:widowControl/>
        <w:spacing w:line="360" w:lineRule="auto"/>
        <w:ind w:firstLine="480" w:firstLineChars="200"/>
        <w:jc w:val="left"/>
        <w:textAlignment w:val="center"/>
        <w:rPr>
          <w:rFonts w:hint="eastAsia"/>
          <w:szCs w:val="18"/>
        </w:rPr>
      </w:pPr>
      <w:r>
        <w:t xml:space="preserve">航线规划与航行监控技术保障了船舶安全高效航行。系统支持手动或自动航线设计，允许灵活添加、删除、拖动和排序航向点与航段，并自动执行航线安全检查，提示浅水、禁航区或危险物。通过设定吃水、安全等深线、偏航阈值（XTD）、船舶尺寸等安全参数，系统在航行过程中实时监控船舶位置，一旦偏离航线即发出告警。同时，系统连续记录历史航迹、船位、速度、航向和报警事件，支持航后分析与VDR备份，支撑航行数据可追溯。</w:t>
      </w:r>
    </w:p>
    <w:p>
      <w:pPr>
        <w:widowControl/>
        <w:spacing w:line="360" w:lineRule="auto"/>
        <w:ind w:firstLine="480" w:firstLineChars="200"/>
        <w:jc w:val="left"/>
        <w:textAlignment w:val="center"/>
        <w:rPr>
          <w:rFonts w:hint="eastAsia"/>
          <w:szCs w:val="18"/>
        </w:rPr>
      </w:pPr>
      <w:r>
        <w:t xml:space="preserve">安全告警与风险预警技术是系统保障航行安全的关键闭环。系统允许用户输入船舶吃水和富裕水深，自动计算安全等深线并突出显示浅水区域，当船舶即将进入不安全水域时立即发出声光告警（防搁浅告警）。此外，对禁航区、限航区、自定义电子围栏的穿越行为，以及基于AIS/雷达目标计算的CPA/TCPA风险超过阈值时，系统均触发碰撞预警。告警遵循IMO/IHO优先级分类（紧急、警报、指示），并提供告警列表供船员确认消除，实现风险从发现到处置的全过程管理。</w:t>
      </w:r>
    </w:p>
    <w:p>
      <w:pPr>
        <w:widowControl/>
        <w:spacing w:line="360" w:lineRule="auto"/>
        <w:ind w:firstLine="480" w:firstLineChars="200"/>
        <w:jc w:val="left"/>
        <w:textAlignment w:val="center"/>
        <w:rPr>
          <w:rFonts w:hint="eastAsia"/>
          <w:szCs w:val="18"/>
        </w:rPr>
      </w:pPr>
      <w:r>
        <w:t xml:space="preserve">人机交互与个性化配置、数据维护与接口管理同样构成关键技术的重要组成部分。系统提供直观的图形化界面，支持触摸屏、鼠标、键盘等多种输入方式，并允许自定义快捷键，提升操作效率。界面适配高分辨率显示，支持亮度调节以适应夜间模式。在数据维护方面，系统支持S-63加密海图更新数据的接收、解析和应用，并定期自动备份SENC及航行记录。通过遵循NMEA0183/2000协议与GPS、电罗经、雷达等传感器通信，同时预留与BNWAS、VDR、MSI等系统的接口，支撑数据交互的标准化与可扩展性。</w:t>
      </w:r>
    </w:p>
    <w:p>
      <w:pPr>
        <w:widowControl/>
        <w:spacing w:line="360" w:lineRule="auto"/>
        <w:ind w:firstLine="480" w:firstLineChars="200"/>
        <w:jc w:val="left"/>
        <w:textAlignment w:val="center"/>
        <w:rPr>
          <w:rFonts w:hint="eastAsia"/>
          <w:szCs w:val="1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本系统构建了覆盖航线规划、航行监控、安全预警及数据维护的全流程质量控制体系，旨在提升船舶航行的安全性与可靠性。系统通过自动航线安全检查、安全等深线与水深告警、偏航监控及碰撞预警等功能，实现对航行风险的实时识别与主动防御。同时，系统遵循IMO/IHO规范对报警进行优先级分类，并采用声光告警方式，支撑船员能够及时获取风险信息并采取应对措施。</w:t>
      </w:r>
    </w:p>
    <w:p>
      <w:pPr>
        <w:widowControl w:val="0"/>
        <w:bidi w:val="0"/>
        <w:spacing w:after="2" w:line="360" w:lineRule="auto"/>
        <w:ind w:firstLine="480" w:firstLineChars="200"/>
      </w:pPr>
      <w:r>
        <w:t xml:space="preserve">在技术实现层面，系统采用分层结构与模块化设计，各功能模块之间接口定义清晰、稳定，支持海图数据、传感器数据及航行日志的统一维护与备份，支撑数据链路可靠。系统具备完善的权限控制与访问授权机制，支持国产化软硬件环境部署，并通过安全测试与培训保障系统正式运行的合规性与安全性。</w:t>
      </w:r>
    </w:p>
    <w:p>
      <w:pPr>
        <w:widowControl w:val="0"/>
        <w:bidi w:val="0"/>
        <w:spacing w:after="2" w:line="360" w:lineRule="auto"/>
        <w:ind w:firstLine="480" w:firstLineChars="200"/>
      </w:pPr>
      <w:r>
        <w:t xml:space="preserve">质量控制措施贯穿系统设计、开发、测试与交付全过程。系统提供可测试性设计，支持自动化测试实施，并规定平均维修时间（MTTR）不超过0.5小时，以保障系统的可维护性。此外，系统对重要操作提供二次确认机制，防止误操作，并通过视觉、听觉反馈增强人机交互的可靠性。以上措施共同保障了系统的高质量交付与稳定运行。</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在质量控制与风险管理方面，首先系统性地识别并分析潜在风险因素，包括海图数据加载性能、航线安全检查准确性、存储介质可靠性、接口通信稳定性等关键技术指标，以及系统安全性、保密性、维修性（MTTR≤0.5小时）等非功能性要求。针对这些风险，制定分级风险评估与防范策略，明确高优先级风险（如海图初始化时间≤8S、响应时间≤2S、安全检查准确率&gt;99%）的控制措施，包括采用冗余设计、自动校验与重连机制、模块化接口定义等，支撑项目风险可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质量控制方面，建立完善的软件质量管理体系，配备专职质量管理人员，制定详细的质量计划。设计开发过程严格遵循分层结构和模块化设计原则，保持文档与代码的可追溯性和一致性。各功能模块（如数据接入、告警管理、系统配置）之间定义清晰稳定的接口，并进行充分的单元测试和集成测试，支撑软件质量满足可靠性、安全性、维修性、测试性及环境适应性等要求。</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质量控制覆盖单元测试、集成测试、系统测试和验收测试全阶段，系统设计时充分考虑可测试性，提供必要的测试接口和机制支持自动化测试实施。软件交付前进行整体安全性测试并出具安全测试报告，支撑系统在龙芯、飞腾、瑞芯微等硬件平台及麒麟、Ubuntu操作系统上稳定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与售后服务质量控制方面，随主机设备移交用户使用手册，并在质保期内（24个月）提供免费升级服务，对由于产品质量导致的缺陷立即纠正。同时提供2年7×24小时上门保修，30分钟内实质性响应，12小时内到达现场，故障解决后24小时内提交问题处理报告。质保期外仅收取成本费，支撑系统长期稳定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与保密控制方面，对访问用户按岗位业务进行灵活权限设计和严格授权机制，严禁在正式运行的系统与数据库中进行测试操作。系统部署符合全军统一国产化要求及军用计算机网络安全防护标准，采用国产化软硬件平台，并遵守相关保密规定，支撑系统安全可靠。</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风险控制，本章节按方案撰写要求进行扩写：项目风险控制：根据投标供应商提供的项目风险评估及控制方案进行评审。具体包括：风险因素分析、风险评估防范及风险控制措施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本项目将依据GJB 9001C等质量管理体系标准，建立覆盖全生命周期的质量管理体系。设立专职质量管理人员，明确各阶段质量目标和职责，包括需求分析、设计、开发、测试、部署及维护等环节。质量管理人员将参与关键评审和验证活动，支撑过程符合质量标准。</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设计开发阶段，采用分层结构和模块化设计，对每个模块进行需求追溯和设计评审。代码开发遵循编码规范，实施代码审查和静态分析。关键功能如安全告警、航线规划等，将进行专项测试验证。通过配置管理和版本控制，支撑开发过程可追溯。</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将制定详细的测试计划，涵盖单元测试、集成测试、系统测试和验收测试。测试用例覆盖所有功能需求和质量要求，重点验证安全等深线告警、偏航告警、传感器故障告警等关键功能。缺陷管理采用跟踪系统，支撑所有问题得到闭环处理。性能测试满足海图初始化时间≤8秒、响应时间≤2秒等指标。测试结果形成报告，作为质量证明。</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时将提供完整的用户手册、技术文档和测试报告，并进行用户培训。售后阶段建立服务响应机制，提供远程和现场支持。定期进行系统备份，支撑数据安全。所有变更记录与文档保持一致性，保障系统的可维护性和可追溯性。同时，严格按照军用网络安全标准进行部署，实施权限控制和操作审计，支撑系统安全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项目在质量体系与资质方面严格遵循相关标准与规范。系统设计采用分层结构和模块化设计，支撑继承性、灵活性和可维护性。软件运行环境支持龙芯、飞腾、瑞芯微等硬件平台以及麒麟、Ubuntu操作系统，满足全军统一国产化要求。系统开发过程中严格遵守保密规定，上线前须通过整体安全性测试并提供安全测试报告，管理人员须经严格培训。</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在可靠性方面，海图数据加载准确完整，初始化时间不超过8秒，响应时间不超过2秒，航线安全检查结果准确率高于99%。存储介质可靠，接口通信具备错误校验和自动重连机制，支撑数据链路稳定。系统支持按照军用计算机网络安全防护标准进行网络软硬件部署配置，对访问用户按岗位业务进行灵活的权限设计，建立严格的授权机制，严禁在正式运行系统与数据库中进行测试操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系统提供完善的告警与风险预警机制，涵盖安全等深线、水深、禁航区、偏航和目标风险等规则判断与告警闭环。告警遵循IMO/IHO规范，按紧急、警报、指示进行优先级分类，采用不同声光模式，并支持船员确认与消除。关键操作如删除航线、修改安全参数等需弹出确认对话框，防止误操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在数据维护方面，系统定期自动备份内部存储结构和航行记录，支撑数据安全。软件移交时同步提供用户使用手册，后续维护需记录变更并保持文档与代码可追溯。模块间接口定义清晰、稳定，平均维修时间（MTTR）不超过0.5小时。系统设计充分考虑可测试性，提供必要测试接口支持自动化测试，便于单元测试、集成测试、系统测试和验收测试的实施。</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支撑系统在长期运行中的高可用性与业务连续性，本方案围绕系统服务稳定性、可靠性、可维护性及数据安全性建立全面的服务质量保障体系。系统服务稳定性指标设定为99%，通过冗余部署、故障自动切换及健康监测机制实现持续可用；海图数据加载准确完整，初始化时间不超过8秒，响应时间不超过2秒，航线安全检查结果准确率高于99%，存储介质采用高可靠设计，接口通信具备错误校验与自动重连能力，支撑数据链路可靠。</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维修性与可测试性方面，系统平均维修时间（MTTR）不超过0.5小时，关键功能模块间定义清晰且稳定的接口，支持模块级独立替换与快速排故。系统及各模块在设计和实现时充分考虑可测试性，提供必要的测试接口与机制，支持自动化单元测试、集成测试与系统测试，便于在运维阶段快速定位与修复问题。软件移交时同步提供用户使用手册，并配合联试与使用维护，对软件更改进行记录，保持文档与代码的可追溯性和一致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运行环境支持龙芯、飞腾、瑞芯微等硬件平台及麒麟、Ubuntu操作系统，满足全军统一国产化要求。部署配置遵循军用计算机网络安全防护标准，建立严格的用户权限与授权机制，对访问用户按岗位业务进行灵活权限设计，严禁在正式运行系统与数据库中进行测试操作。系统上线前完成整体安全性测试并提供安全测试报告，管理人员经严格培训后上岗，支撑系统运行的安全可控。同时，系统定期自动备份内部存储结构与航行记录，保障数据安全与可恢复。</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进度计划遵循标准化项目管理流程，将整体研制工作划分为需求分析、方案设计、开发实现、集成测试、系统联调、验收交付六个阶段。各阶段均设定明确里程碑和评审节点，支撑任务有序推进，风险可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性能与技术指标响应要求（如P007特殊操作超时提示），在开发实现阶段预留性能优化窗口，并在集成测试阶段安排专项性能测试，通过迭代调优支撑系统响应时间、资源占用等指标达标。进度计划同步纳入性能测试环境的搭建与验证活动。</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依据测试性要求（Q009）和保密规定（Q011），在集成测试阶段之前设置测试接口与自动化测试脚本开发任务，并在系统联调阶段安排安全保密专项测试。同时，保密审查环节嵌入各阶段评审流程，支撑技术文档和代码的合规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进度控制采用周报与阶段性检查相结合的方式，通过偏差分析与纠偏措施保障计划执行。关键路径上的任务设置缓冲期，并建立风险应对预案，以应对技术难点或外部依赖延迟，支撑项目按期交付。</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周期严格遵循招标文件要求，自合同签订并由需求单位通知进场后，在2个月内完成全部交货、安装、调试、集成、部署、联调及上线运行。我司将制定详细的实施进度表，明确关键环节、里程碑节点及责任人，合理分配人力资源，采用项目管理工具进行全过程跟踪与控制。针对项目关键过程，建立风险预警和变更管理机制，支撑进度可控。同时，我司将明确需要用户提供的支持内容（如场地、网络、数据等）以及与其他参与方的主要协作工作，保障项目顺利推进。</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质量控制方面，我司已建立完善的ISO 9001质量管理体系，配备专职质量管理人员，并制定详细的质量计划。在设计与开发过程中，采用需求评审、设计审查、代码走查等方法支撑质量；测试阶段严格遵循单元测试、集成测试、系统测试及验收测试流程，每个阶段均有明确的准入准出标准；交付时提供完整的产品资料和测试报告；售后服务质量由专属服务团队跟进，定期回访，支撑问题闭环。</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服务）时间：合同签订后，以需求单位通知进场时间为准，进场后2个月内完成所有安装、调试及系统集成、部署、联调、上线运行。交付地点为郑州市内甲方指定地点。交付方式：由我司负责完成产品的运输、安装、调试等工作，支撑系统达到可运行状态。</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售后服务方面，自软件验收合格之日起提供24个月质保期。质保期内，因产品质量导致的缺陷免费提供升级服务，由此造成的损失由我司承担。质保期满后，提供成本价的上门维护。服务形式包括7×24小时远程指导、现场排故和驻场调试；遇故障30分钟内响应，重大问题12小时内到场；问题解决后24小时内提交处理报告。若我司未按约定派人服务，甲方有权自行处理，费用由我司承担。</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免费培训：根据项目实施进度，我司将为甲方提供全面培训。培训目标按甲方要求达成，所有培训教员具备丰富教学经验且中文授课。培训内容包括理论培训和现场操作培训，并编制安装手册、软件使用手册、PPT或视频等教材。培训科目和对象根据甲方需求确定，培训次数不超过5次，每次不少于60分钟。培训计划详细列出时间、地点、授课老师等，并提供课程体系、培训方法和考核方法。培训费用及资料全部由我司承担。</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实施周期，本章节按方案撰写要求进行扩写：实施周期：根据投标供应商提供的项目实施进度表，对进度管理方法措施的清晰度和合理性进行评审。具体包括：项目关键环节分析、项目人力资源分配、项目关键过程管理和控制策略、需要用户提供的支持与其他参与方的主要协作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地点：郑州市内甲方指定地点。-交付（服务）地点，本章节按方案撰写要求进行扩写：交付（服务）地点：郑州市内甲方指定地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系统交付物清单依据总体架构设计及功能模块划分，涵盖软件、文档、测试验证及培训支持等类别。各交付物与设计阶段确定的模块和层级对应，支撑系统功能完整、质量可控，并满足可测试性、安全保密等要求。清单内容将在实施过程中细化和确认。</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软件交付物包括安全与保密控制、电子海图显示与图层控制、目标信息融合与态势叠加、航线规划与航行监控、安全告警与风险预警、人机交互与个性化配置、平台适配与模块化运行、数据维护与接口管理及性能与技术指标响应等模块的可执行程序、配置文件及配套工具。各模块提供必要的测试接口，支持自动化测试。</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文档及验证资料包括系统设计说明书、接口规范、部署指南、用户手册、测试报告（单元测试、集成测试、系统测试、验收测试）、安全审计记录及质量评估报告。所有文档需符合IHO、IEC及GJB相关标准，并具备可追溯性。交付物清单的具体内容、格式和数量以合同约定为准，需在项目各阶段复核确认。</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为支撑系统顺利部署与高效运行，我方提供全面、系统的培训服务。培训计划涵盖理论培训与现场操作，培训内容依据甲方要求定制，包括但不限于系统安装、软件使用、操作维护等。培训师资具备丰富教学经验，所有培训课程均以中文授课。我方负责编制培训教材，包括安装手册、软件使用手册、PPT及视频资料。培训次数不超过5次，每次不少于60分钟，培训讲师费用由我方承担。同时，我方为所有被培训人员提供培训用文字资料和讲义等用品，支撑培训达到甲方要求的目标。</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在售后服务方面，自软件验收合格之日起，我方提供24个月质保期。质保期内，我方按合同约定承担软件维护责任，因产品质量导致的缺陷，免费提供升级服务，因此造成的损失，采购单位有权追偿。质保期后，我方提供上门维护服务，仅收取成本费。此外，我方提供2年7×24小时上门保修服务，服务形式包括远程指导、现地排故和驻场调试，支撑故障及时排除。故障发生时，我方30分钟内作出实质性响应，重大问题12小时内到现场，问题解决后24小时内提交处理报告。如我方不能按时提供服务，采购单位可自行处理，费用由我方承担。</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为保障培训与售后服务质量，我方建立完善的质量管理体系，配备专业质量管理人员，制定详细质量计划。在培训实施过程中，对培训内容、师资、教材等环节进行质量控制；在售后服务中，对服务响应、故障处理、升级维护等流程进行监督与验证。通过持续改进，支撑培训效果与售后服务质量满足甲方的验收标准，并形成可追溯的质量记录。</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严格遵循投标文件中的相关响应，并与项目实施进度紧密衔接。我方将根据甲方的具体需求，细化培训科目、对象与人数，提供灵活多样的培训安排。售后服务团队具备快速响应能力，能够有效应对各类技术问题，保障系统长期稳定运行。通过系统化的培训与专业的售后支持，助力甲方人员快速掌握系统操作，提升整体运维效率。</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为保障系统在高海况、长时间运行环境下的服务稳定性达到99%的要求，我方将建立全链路监控与冗余切换机制。通过部署多节点热备架构，对关键服务进行实时健康检查，并设置自动故障转移策略，支撑单点失效时系统在30秒内完成切换。同时，每季度执行一次压力测试与稳定性演练，验证系统在极端负载下的行为，并根据测试结果迭代优化，支撑服务连续性。</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在安全性方面，系统上线前将严格执行整体安全性测试，覆盖渗透测试、漏洞扫描及合规性检查，并出具完整的安全测试报告。我方将为系统管理人员提供分阶段、定制化的培训课程，涵盖安全管理、应急操作及日志审计等内容，培训后通过考核支撑人员达到独立管理系统的能力。此外，建立权限分级与操作审计机制，对高危操作实施二次授权，从流程上降低安全风险。</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针对维修性要求，我方响应MTTR（平均维修时间）不超过0.5小时。为此，将采用模块化设计理念，各功能模块（数据接入、告警管理、系统配置等）之间定义清晰、稳定的接口，并配备在线自诊断与故障定位工具。当模块发生故障时，系统自动隔离故障单元并触发告警，维修人员可依据诊断指引快速更换或修复，同时后台记录维修日志用于原因分析。</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软件随主机设备移交时，将同时提供用户使用手册、安装部署文档及接口规范。移交后，我方将派驻现场技术支持人员配合联试与使用阶段维护，对软件的每次更改均记录在变更管理系统中，支撑代码与文档版本一致、可追溯。所有交付物均通过配置管理工具进行版本控制，实现文档与代码的双向追溯，保障后期维护效率。</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为支撑系统在全生命周期内持续稳定运行，本方案建立了完善的定期跟踪服务机制。该机制覆盖海图数据更新、软件版本维护、系统性能监控和用户文档同步等多个方面，通过主动巡检和远程支持相结合的方式，及时响应运行中出现的各类问题。定期跟踪服务严格遵循NMEA0183/2000协议与船载设备的数据通信标准，支撑数据交互的准确性和兼容性。</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在数据维护方面，系统具备接收、解析和应用官方发布的S-63加密格式海图更新数据的能力，并自动生成更新记录。同时，系统定期自动备份内部存储结构（SENC）和所有航行记录，保障数据安全与可追溯。软件随主机设备移交时提供完整的使用手册，并在后续维护中对软件更改做好记录，保持文档与代码的一致性和可追溯性。</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基于分层结构和模块化设计，系统在定期跟踪服务中充分考虑了继承性、灵活性和可维护性。通过各层级的独立监控和协同调度，能够快速定位和隔离故障，减少对航行业务的影响。系统服务稳定性指标设定为99%，在定期跟踪中通过自动化监测工具持续验证该指标的达成情况，并生成周期性报告。</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定期跟踪服务还包含对目标信息融合与态势叠加功能的状态检查，支撑AIS目标符号、雷达回波、ARPA跟踪目标与本船符号在电子海图上的准确叠加，以及关键信息的可选显示。同时，系统接口层遵循标准化协议，支持与多种船载设备的数据通信，在跟踪服务中会验证接口的兼容性和数据传输的可靠性。</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