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5"/>
        <w:tblpPr w:leftFromText="180" w:rightFromText="180" w:vertAnchor="page" w:horzAnchor="page" w:tblpX="2528" w:tblpY="3798"/>
        <w:tblW w:w="8145" w:type="dxa"/>
        <w:tblInd w:w="0" w:type="dxa"/>
        <w:tblLayout w:type="fixed"/>
        <w:tblCellMar>
          <w:top w:w="0" w:type="dxa"/>
          <w:left w:w="0" w:type="dxa"/>
          <w:bottom w:w="0" w:type="dxa"/>
          <w:right w:w="0" w:type="dxa"/>
        </w:tblCellMar>
      </w:tblPr>
      <w:tblGrid>
        <w:gridCol w:w="8145"/>
      </w:tblGrid>
      <w:tr w14:paraId="50F4E0A5">
        <w:tblPrEx>
          <w:tblCellMar>
            <w:top w:w="0" w:type="dxa"/>
            <w:left w:w="0" w:type="dxa"/>
            <w:bottom w:w="0" w:type="dxa"/>
            <w:right w:w="0" w:type="dxa"/>
          </w:tblCellMar>
        </w:tblPrEx>
        <w:trPr>
          <w:cantSplit/>
        </w:trPr>
        <w:tc>
          <w:tcPr>
            <w:tcW w:w="8145" w:type="dxa"/>
          </w:tcPr>
          <w:p w14:paraId="0DB0C150">
            <w:pPr>
              <w:widowControl/>
              <w:spacing w:before="240" w:after="120"/>
              <w:jc w:val="center"/>
              <w:rPr>
                <w:rFonts w:hint="eastAsia" w:ascii="宋体" w:hAnsi="宋体" w:cs="宋体"/>
                <w:b/>
                <w:bCs/>
                <w:spacing w:val="30"/>
                <w:kern w:val="0"/>
                <w:sz w:val="48"/>
                <w:szCs w:val="48"/>
              </w:rPr>
            </w:pPr>
            <w:r>
              <w:rPr>
                <w:rFonts w:hint="eastAsia" w:ascii="宋体" w:hAnsi="宋体" w:cs="宋体"/>
                <w:b/>
                <w:bCs/>
                <w:caps/>
                <w:color w:val="000000"/>
                <w:spacing w:val="30"/>
                <w:kern w:val="0"/>
                <w:sz w:val="48"/>
                <w:szCs w:val="48"/>
              </w:rPr>
              <w:t>（文档编号）</w:t>
            </w:r>
          </w:p>
        </w:tc>
      </w:tr>
      <w:tr w14:paraId="05E24A59">
        <w:tblPrEx>
          <w:tblCellMar>
            <w:top w:w="0" w:type="dxa"/>
            <w:left w:w="0" w:type="dxa"/>
            <w:bottom w:w="0" w:type="dxa"/>
            <w:right w:w="0" w:type="dxa"/>
          </w:tblCellMar>
        </w:tblPrEx>
        <w:trPr>
          <w:cantSplit/>
        </w:trPr>
        <w:tc>
          <w:tcPr>
            <w:tcW w:w="8145" w:type="dxa"/>
          </w:tcPr>
          <w:p>
            <w:r>
              <w:t>电子海图显示与信息系统</w:t>
            </w:r>
          </w:p>
        </w:tc>
      </w:tr>
      <w:tr w14:paraId="37592975">
        <w:tblPrEx>
          <w:tblCellMar>
            <w:top w:w="0" w:type="dxa"/>
            <w:left w:w="0" w:type="dxa"/>
            <w:bottom w:w="0" w:type="dxa"/>
            <w:right w:w="0" w:type="dxa"/>
          </w:tblCellMar>
        </w:tblPrEx>
        <w:trPr>
          <w:cantSplit/>
        </w:trPr>
        <w:tc>
          <w:tcPr>
            <w:tcW w:w="8145" w:type="dxa"/>
          </w:tcPr>
          <w:p w14:paraId="554AF300">
            <w:pPr>
              <w:widowControl/>
              <w:spacing w:before="240" w:after="240"/>
              <w:jc w:val="center"/>
              <w:rPr>
                <w:rFonts w:hint="eastAsia" w:ascii="宋体" w:hAnsi="宋体" w:cs="宋体"/>
                <w:b/>
                <w:bCs/>
                <w:spacing w:val="30"/>
                <w:kern w:val="0"/>
                <w:sz w:val="48"/>
                <w:szCs w:val="48"/>
              </w:rPr>
            </w:pPr>
            <w:r>
              <w:rPr>
                <w:rFonts w:hint="eastAsia" w:hAnsi="宋体"/>
                <w:b/>
                <w:bCs/>
                <w:color w:val="000000"/>
                <w:sz w:val="48"/>
                <w:szCs w:val="48"/>
              </w:rPr>
              <w:t>方案报告</w:t>
            </w:r>
          </w:p>
        </w:tc>
      </w:tr>
    </w:tbl>
    <w:p w14:paraId="4132E148">
      <w:pPr>
        <w:spacing w:line="360" w:lineRule="auto"/>
        <w:ind w:firstLine="588"/>
        <w:sectPr>
          <w:pgSz w:w="11906" w:h="16838"/>
          <w:pgMar w:top="1276" w:right="1055" w:bottom="1418" w:left="2325" w:header="850" w:footer="1134" w:gutter="0"/>
          <w:pgBorders>
            <w:top w:val="thinThickMediumGap" w:color="auto" w:sz="24" w:space="1"/>
            <w:left w:val="thinThickMediumGap" w:color="auto" w:sz="24" w:space="4"/>
            <w:bottom w:val="thickThinMediumGap" w:color="auto" w:sz="24" w:space="1"/>
            <w:right w:val="thickThinMediumGap" w:color="auto" w:sz="24" w:space="4"/>
          </w:pgBorders>
          <w:cols w:space="720" w:num="1"/>
          <w:docGrid w:type="linesAndChars" w:linePitch="381" w:charSpace="2867"/>
        </w:sectPr>
      </w:pPr>
      <w:bookmarkStart w:id="71" w:name="_GoBack"/>
      <w:bookmarkEnd w:id="71"/>
      <w:r>
        <w:rPr>
          <w:sz w:val="28"/>
        </w:rPr>
        <mc:AlternateContent>
          <mc:Choice Requires="wps">
            <w:drawing>
              <wp:anchor distT="0" distB="0" distL="114300" distR="114300" simplePos="0" relativeHeight="251660288" behindDoc="0" locked="0" layoutInCell="1" allowOverlap="1">
                <wp:simplePos x="0" y="0"/>
                <wp:positionH relativeFrom="column">
                  <wp:posOffset>3347720</wp:posOffset>
                </wp:positionH>
                <wp:positionV relativeFrom="paragraph">
                  <wp:posOffset>133985</wp:posOffset>
                </wp:positionV>
                <wp:extent cx="1989455" cy="1219200"/>
                <wp:effectExtent l="0" t="0" r="10795" b="0"/>
                <wp:wrapNone/>
                <wp:docPr id="1049926588" name="文本框 4"/>
                <wp:cNvGraphicFramePr/>
                <a:graphic xmlns:a="http://schemas.openxmlformats.org/drawingml/2006/main">
                  <a:graphicData uri="http://schemas.microsoft.com/office/word/2010/wordprocessingShape">
                    <wps:wsp>
                      <wps:cNvSpPr txBox="1">
                        <a:spLocks noChangeArrowheads="1"/>
                      </wps:cNvSpPr>
                      <wps:spPr bwMode="auto">
                        <a:xfrm>
                          <a:off x="0" y="0"/>
                          <a:ext cx="1989455" cy="1219200"/>
                        </a:xfrm>
                        <a:prstGeom prst="rect">
                          <a:avLst/>
                        </a:prstGeom>
                        <a:solidFill>
                          <a:srgbClr val="FFFFFF"/>
                        </a:solidFill>
                        <a:ln>
                          <a:noFill/>
                        </a:ln>
                      </wps:spPr>
                      <wps:txbx>
                        <w:txbxContent>
                          <w:p w14:paraId="041B2E55">
                            <w:pPr>
                              <w:spacing w:line="360" w:lineRule="auto"/>
                              <w:rPr>
                                <w:rFonts w:hint="eastAsia" w:ascii="宋体" w:hAnsi="宋体" w:cs="宋体"/>
                                <w:color w:val="000000"/>
                                <w:sz w:val="32"/>
                                <w:szCs w:val="32"/>
                                <w:u w:val="single"/>
                              </w:rPr>
                            </w:pPr>
                            <w:r>
                              <w:rPr>
                                <w:rFonts w:hint="eastAsia" w:ascii="宋体" w:hAnsi="宋体" w:cs="宋体"/>
                                <w:color w:val="000000"/>
                                <w:sz w:val="32"/>
                                <w:szCs w:val="32"/>
                              </w:rPr>
                              <w:t xml:space="preserve">阶   段 </w:t>
                            </w:r>
                            <w:r>
                              <w:rPr>
                                <w:rFonts w:hint="eastAsia" w:ascii="宋体" w:hAnsi="宋体" w:cs="宋体"/>
                                <w:color w:val="000000"/>
                                <w:sz w:val="32"/>
                                <w:szCs w:val="32"/>
                                <w:u w:val="single"/>
                              </w:rPr>
                              <w:t xml:space="preserve">    S   </w:t>
                            </w:r>
                          </w:p>
                          <w:p w14:paraId="21CD16C6">
                            <w:pPr>
                              <w:spacing w:line="360" w:lineRule="auto"/>
                              <w:rPr>
                                <w:rFonts w:hint="eastAsia" w:ascii="宋体" w:hAnsi="宋体" w:cs="宋体"/>
                                <w:sz w:val="32"/>
                                <w:szCs w:val="32"/>
                                <w:u w:val="single"/>
                              </w:rPr>
                            </w:pPr>
                            <w:r>
                              <w:rPr>
                                <w:rFonts w:hint="eastAsia" w:ascii="宋体" w:hAnsi="宋体" w:cs="宋体"/>
                                <w:color w:val="000000"/>
                                <w:sz w:val="32"/>
                                <w:szCs w:val="32"/>
                              </w:rPr>
                              <w:t xml:space="preserve">密   级 </w:t>
                            </w:r>
                            <w:r>
                              <w:rPr>
                                <w:rFonts w:hint="eastAsia" w:ascii="宋体" w:hAnsi="宋体" w:cs="宋体"/>
                                <w:color w:val="000000"/>
                                <w:sz w:val="32"/>
                                <w:szCs w:val="32"/>
                                <w:u w:val="single"/>
                              </w:rPr>
                              <w:t xml:space="preserve">  公开  </w:t>
                            </w:r>
                          </w:p>
                          <w:p w14:paraId="53EF5DA1"/>
                        </w:txbxContent>
                      </wps:txbx>
                      <wps:bodyPr rot="0" vert="horz" wrap="square" lIns="91440" tIns="45720" rIns="91440" bIns="45720" anchor="t" anchorCtr="0" upright="1">
                        <a:noAutofit/>
                      </wps:bodyPr>
                    </wps:wsp>
                  </a:graphicData>
                </a:graphic>
              </wp:anchor>
            </w:drawing>
          </mc:Choice>
          <mc:Fallback>
            <w:pict>
              <v:shape id="文本框 4" o:spid="_x0000_s1026" o:spt="202" type="#_x0000_t202" style="position:absolute;left:0pt;margin-left:263.6pt;margin-top:10.55pt;height:96pt;width:156.65pt;z-index:251660288;mso-width-relative:page;mso-height-relative:page;" fillcolor="#FFFFFF" filled="t" stroked="f" coordsize="21600,21600" o:gfxdata="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yDkMo2AAAAAoBAAAPAAAAAAAAAAEAIAAAACIAAABkcnMvZG93bnJldi54&#10;bWxQSwECFAAUAAAACACHTuJAYu9IJzMCAABIBAAADgAAAAAAAAABACAAAAAnAQAAZHJzL2Uyb0Rv&#10;Yy54bWxQSwUGAAAAAAYABgBZAQAAzAUAAAAA&#10;">
                <v:fill on="t" focussize="0,0"/>
                <v:stroke on="f"/>
                <v:imagedata o:title=""/>
                <o:lock v:ext="edit" aspectratio="f"/>
                <v:textbox>
                  <w:txbxContent>
                    <w:p w14:paraId="041B2E55">
                      <w:pPr>
                        <w:spacing w:line="360" w:lineRule="auto"/>
                        <w:rPr>
                          <w:rFonts w:hint="eastAsia" w:ascii="宋体" w:hAnsi="宋体" w:cs="宋体"/>
                          <w:color w:val="000000"/>
                          <w:sz w:val="32"/>
                          <w:szCs w:val="32"/>
                          <w:u w:val="single"/>
                        </w:rPr>
                      </w:pPr>
                      <w:r>
                        <w:rPr>
                          <w:rFonts w:hint="eastAsia" w:ascii="宋体" w:hAnsi="宋体" w:cs="宋体"/>
                          <w:color w:val="000000"/>
                          <w:sz w:val="32"/>
                          <w:szCs w:val="32"/>
                        </w:rPr>
                        <w:t xml:space="preserve">阶   段 </w:t>
                      </w:r>
                      <w:r>
                        <w:rPr>
                          <w:rFonts w:hint="eastAsia" w:ascii="宋体" w:hAnsi="宋体" w:cs="宋体"/>
                          <w:color w:val="000000"/>
                          <w:sz w:val="32"/>
                          <w:szCs w:val="32"/>
                          <w:u w:val="single"/>
                        </w:rPr>
                        <w:t xml:space="preserve">    S   </w:t>
                      </w:r>
                    </w:p>
                    <w:p w14:paraId="21CD16C6">
                      <w:pPr>
                        <w:spacing w:line="360" w:lineRule="auto"/>
                        <w:rPr>
                          <w:rFonts w:hint="eastAsia" w:ascii="宋体" w:hAnsi="宋体" w:cs="宋体"/>
                          <w:sz w:val="32"/>
                          <w:szCs w:val="32"/>
                          <w:u w:val="single"/>
                        </w:rPr>
                      </w:pPr>
                      <w:r>
                        <w:rPr>
                          <w:rFonts w:hint="eastAsia" w:ascii="宋体" w:hAnsi="宋体" w:cs="宋体"/>
                          <w:color w:val="000000"/>
                          <w:sz w:val="32"/>
                          <w:szCs w:val="32"/>
                        </w:rPr>
                        <w:t xml:space="preserve">密   级 </w:t>
                      </w:r>
                      <w:r>
                        <w:rPr>
                          <w:rFonts w:hint="eastAsia" w:ascii="宋体" w:hAnsi="宋体" w:cs="宋体"/>
                          <w:color w:val="000000"/>
                          <w:sz w:val="32"/>
                          <w:szCs w:val="32"/>
                          <w:u w:val="single"/>
                        </w:rPr>
                        <w:t xml:space="preserve">  公开  </w:t>
                      </w:r>
                    </w:p>
                    <w:p w14:paraId="53EF5DA1"/>
                  </w:txbxContent>
                </v:textbox>
              </v:shape>
            </w:pict>
          </mc:Fallback>
        </mc:AlternateContent>
      </w:r>
      <w:r>
        <w:rPr>
          <w:sz w:val="28"/>
        </w:rPr>
        <mc:AlternateContent>
          <mc:Choice Requires="wps">
            <w:drawing>
              <wp:anchor distT="0" distB="0" distL="114300" distR="114300" simplePos="0" relativeHeight="251659264" behindDoc="0" locked="0" layoutInCell="1" allowOverlap="1">
                <wp:simplePos x="0" y="0"/>
                <wp:positionH relativeFrom="column">
                  <wp:posOffset>233045</wp:posOffset>
                </wp:positionH>
                <wp:positionV relativeFrom="paragraph">
                  <wp:posOffset>48895</wp:posOffset>
                </wp:positionV>
                <wp:extent cx="2924810" cy="1551940"/>
                <wp:effectExtent l="0" t="0" r="8890" b="10160"/>
                <wp:wrapNone/>
                <wp:docPr id="764867187" name="文本框 1"/>
                <wp:cNvGraphicFramePr/>
                <a:graphic xmlns:a="http://schemas.openxmlformats.org/drawingml/2006/main">
                  <a:graphicData uri="http://schemas.microsoft.com/office/word/2010/wordprocessingShape">
                    <wps:wsp>
                      <wps:cNvSpPr txBox="1">
                        <a:spLocks noChangeArrowheads="1"/>
                      </wps:cNvSpPr>
                      <wps:spPr bwMode="auto">
                        <a:xfrm>
                          <a:off x="0" y="0"/>
                          <a:ext cx="2924810" cy="1551940"/>
                        </a:xfrm>
                        <a:prstGeom prst="rect">
                          <a:avLst/>
                        </a:prstGeom>
                        <a:solidFill>
                          <a:srgbClr val="FFFFFF"/>
                        </a:solidFill>
                        <a:ln>
                          <a:noFill/>
                        </a:ln>
                      </wps:spPr>
                      <wps:txbx>
                        <w:txbxContent>
                          <w:p w14:paraId="7825E933">
                            <w:pPr>
                              <w:spacing w:line="360" w:lineRule="auto"/>
                              <w:rPr>
                                <w:rFonts w:hint="eastAsia" w:ascii="宋体" w:hAnsi="宋体"/>
                                <w:color w:val="000000"/>
                                <w:sz w:val="32"/>
                                <w:szCs w:val="32"/>
                                <w:u w:val="single"/>
                              </w:rPr>
                            </w:pPr>
                            <w:r>
                              <w:rPr>
                                <w:rFonts w:hint="eastAsia" w:ascii="宋体" w:hAnsi="宋体"/>
                                <w:color w:val="000000"/>
                                <w:sz w:val="32"/>
                                <w:szCs w:val="32"/>
                              </w:rPr>
                              <w:t>文档编号</w:t>
                            </w:r>
                            <w:r>
                              <w:rPr>
                                <w:rFonts w:hint="eastAsia" w:ascii="宋体" w:hAnsi="宋体"/>
                                <w:color w:val="000000"/>
                                <w:sz w:val="32"/>
                                <w:szCs w:val="32"/>
                                <w:u w:val="single"/>
                              </w:rPr>
                              <w:t xml:space="preserve">（文档编号）    </w:t>
                            </w:r>
                          </w:p>
                          <w:p w14:paraId="61703F3D">
                            <w:pPr>
                              <w:spacing w:line="360" w:lineRule="auto"/>
                              <w:rPr>
                                <w:rFonts w:hint="eastAsia" w:ascii="宋体" w:hAnsi="宋体"/>
                                <w:color w:val="000000"/>
                                <w:sz w:val="32"/>
                                <w:szCs w:val="32"/>
                                <w:u w:val="single"/>
                              </w:rPr>
                            </w:pPr>
                            <w:r>
                              <w:rPr>
                                <w:rFonts w:hint="eastAsia" w:ascii="宋体" w:hAnsi="宋体"/>
                                <w:color w:val="000000"/>
                                <w:sz w:val="32"/>
                                <w:szCs w:val="32"/>
                              </w:rPr>
                              <w:t>软盘编号</w:t>
                            </w:r>
                            <w:r>
                              <w:rPr>
                                <w:rFonts w:hint="eastAsia" w:ascii="宋体" w:hAnsi="宋体"/>
                                <w:color w:val="000000"/>
                                <w:sz w:val="32"/>
                                <w:szCs w:val="32"/>
                                <w:u w:val="single"/>
                              </w:rPr>
                              <w:t xml:space="preserve">         </w:t>
                            </w:r>
                            <w:r>
                              <w:rPr>
                                <w:rFonts w:ascii="宋体" w:hAnsi="宋体"/>
                                <w:color w:val="000000"/>
                                <w:sz w:val="32"/>
                                <w:szCs w:val="32"/>
                                <w:u w:val="single"/>
                              </w:rPr>
                              <w:t xml:space="preserve">     </w:t>
                            </w:r>
                            <w:r>
                              <w:rPr>
                                <w:rFonts w:hint="eastAsia" w:ascii="宋体" w:hAnsi="宋体"/>
                                <w:color w:val="000000"/>
                                <w:sz w:val="32"/>
                                <w:szCs w:val="32"/>
                                <w:u w:val="single"/>
                              </w:rPr>
                              <w:t xml:space="preserve"> </w:t>
                            </w:r>
                            <w:r>
                              <w:rPr>
                                <w:rFonts w:ascii="宋体" w:hAnsi="宋体"/>
                                <w:color w:val="000000"/>
                                <w:sz w:val="32"/>
                                <w:szCs w:val="32"/>
                                <w:u w:val="single"/>
                              </w:rPr>
                              <w:t xml:space="preserve"> </w:t>
                            </w:r>
                          </w:p>
                          <w:p w14:paraId="2A36EECA">
                            <w:pPr>
                              <w:spacing w:line="360" w:lineRule="auto"/>
                              <w:rPr>
                                <w:sz w:val="32"/>
                                <w:szCs w:val="32"/>
                              </w:rPr>
                            </w:pPr>
                            <w:r>
                              <w:rPr>
                                <w:rFonts w:hint="eastAsia" w:ascii="宋体" w:hAnsi="宋体"/>
                                <w:color w:val="000000"/>
                                <w:sz w:val="32"/>
                                <w:szCs w:val="32"/>
                              </w:rPr>
                              <w:t>版    本</w:t>
                            </w:r>
                            <w:r>
                              <w:rPr>
                                <w:rFonts w:hint="eastAsia" w:ascii="宋体" w:hAnsi="宋体"/>
                                <w:color w:val="000000"/>
                                <w:sz w:val="32"/>
                                <w:szCs w:val="32"/>
                                <w:u w:val="single"/>
                              </w:rPr>
                              <w:t xml:space="preserve">  </w:t>
                            </w:r>
                            <w:r>
                              <w:rPr>
                                <w:rFonts w:ascii="宋体" w:hAnsi="宋体"/>
                                <w:color w:val="000000"/>
                                <w:sz w:val="32"/>
                                <w:szCs w:val="32"/>
                                <w:u w:val="single"/>
                              </w:rPr>
                              <w:t xml:space="preserve">   </w:t>
                            </w:r>
                            <w:bookmarkStart w:id="70" w:name="sig_VERSION"/>
                            <w:bookmarkEnd w:id="70"/>
                            <w:r>
                              <w:rPr>
                                <w:rFonts w:hint="eastAsia" w:ascii="宋体" w:hAnsi="宋体"/>
                                <w:color w:val="000000"/>
                                <w:sz w:val="32"/>
                                <w:szCs w:val="32"/>
                                <w:u w:val="single"/>
                              </w:rPr>
                              <w:t xml:space="preserve"> </w:t>
                            </w:r>
                            <w:r>
                              <w:rPr>
                                <w:rFonts w:ascii="宋体" w:hAnsi="宋体"/>
                                <w:color w:val="000000"/>
                                <w:sz w:val="32"/>
                                <w:szCs w:val="32"/>
                                <w:u w:val="single"/>
                              </w:rPr>
                              <w:t>V1</w:t>
                            </w:r>
                            <w:r>
                              <w:rPr>
                                <w:rFonts w:hint="eastAsia" w:ascii="宋体" w:hAnsi="宋体"/>
                                <w:color w:val="000000"/>
                                <w:sz w:val="32"/>
                                <w:szCs w:val="32"/>
                                <w:u w:val="single"/>
                              </w:rPr>
                              <w:t>.</w:t>
                            </w:r>
                            <w:r>
                              <w:rPr>
                                <w:rFonts w:ascii="宋体" w:hAnsi="宋体"/>
                                <w:color w:val="000000"/>
                                <w:sz w:val="32"/>
                                <w:szCs w:val="32"/>
                                <w:u w:val="single"/>
                              </w:rPr>
                              <w:t>0</w:t>
                            </w:r>
                            <w:r>
                              <w:rPr>
                                <w:rFonts w:hint="eastAsia" w:ascii="宋体" w:hAnsi="宋体"/>
                                <w:color w:val="000000"/>
                                <w:sz w:val="32"/>
                                <w:szCs w:val="32"/>
                                <w:u w:val="single"/>
                              </w:rPr>
                              <w:t xml:space="preserve">0     </w:t>
                            </w:r>
                          </w:p>
                        </w:txbxContent>
                      </wps:txbx>
                      <wps:bodyPr rot="0" vert="horz" wrap="square" lIns="91440" tIns="45720" rIns="91440" bIns="45720" anchor="t" anchorCtr="0" upright="1">
                        <a:noAutofit/>
                      </wps:bodyPr>
                    </wps:wsp>
                  </a:graphicData>
                </a:graphic>
              </wp:anchor>
            </w:drawing>
          </mc:Choice>
          <mc:Fallback>
            <w:pict>
              <v:shape id="文本框 1" o:spid="_x0000_s1026" o:spt="202" type="#_x0000_t202" style="position:absolute;left:0pt;margin-left:18.35pt;margin-top:3.85pt;height:122.2pt;width:230.3pt;z-index:251659264;mso-width-relative:page;mso-height-relative:page;" fillcolor="#FFFFFF" filled="t" stroked="f" coordsize="21600,21600" o:gfxdata="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kdQotcAAAAIAQAADwAAAAAAAAABACAAAAAiAAAAZHJzL2Rvd25yZXYueG1s&#10;UEsBAhQAFAAAAAgAh07iQAIbqo8yAgAARwQAAA4AAAAAAAAAAQAgAAAAJgEAAGRycy9lMm9Eb2Mu&#10;eG1sUEsFBgAAAAAGAAYAWQEAAMoFAAAAAA==&#10;">
                <v:fill on="t" focussize="0,0"/>
                <v:stroke on="f"/>
                <v:imagedata o:title=""/>
                <o:lock v:ext="edit" aspectratio="f"/>
                <v:textbox>
                  <w:txbxContent>
                    <w:p w14:paraId="7825E933">
                      <w:pPr>
                        <w:spacing w:line="360" w:lineRule="auto"/>
                        <w:rPr>
                          <w:rFonts w:hint="eastAsia" w:ascii="宋体" w:hAnsi="宋体"/>
                          <w:color w:val="000000"/>
                          <w:sz w:val="32"/>
                          <w:szCs w:val="32"/>
                          <w:u w:val="single"/>
                        </w:rPr>
                      </w:pPr>
                      <w:r>
                        <w:rPr>
                          <w:rFonts w:hint="eastAsia" w:ascii="宋体" w:hAnsi="宋体"/>
                          <w:color w:val="000000"/>
                          <w:sz w:val="32"/>
                          <w:szCs w:val="32"/>
                        </w:rPr>
                        <w:t>文档编号</w:t>
                      </w:r>
                      <w:r>
                        <w:rPr>
                          <w:rFonts w:hint="eastAsia" w:ascii="宋体" w:hAnsi="宋体"/>
                          <w:color w:val="000000"/>
                          <w:sz w:val="32"/>
                          <w:szCs w:val="32"/>
                          <w:u w:val="single"/>
                        </w:rPr>
                        <w:t xml:space="preserve">（文档编号）    </w:t>
                      </w:r>
                    </w:p>
                    <w:p w14:paraId="61703F3D">
                      <w:pPr>
                        <w:spacing w:line="360" w:lineRule="auto"/>
                        <w:rPr>
                          <w:rFonts w:hint="eastAsia" w:ascii="宋体" w:hAnsi="宋体"/>
                          <w:color w:val="000000"/>
                          <w:sz w:val="32"/>
                          <w:szCs w:val="32"/>
                          <w:u w:val="single"/>
                        </w:rPr>
                      </w:pPr>
                      <w:r>
                        <w:rPr>
                          <w:rFonts w:hint="eastAsia" w:ascii="宋体" w:hAnsi="宋体"/>
                          <w:color w:val="000000"/>
                          <w:sz w:val="32"/>
                          <w:szCs w:val="32"/>
                        </w:rPr>
                        <w:t>软盘编号</w:t>
                      </w:r>
                      <w:r>
                        <w:rPr>
                          <w:rFonts w:hint="eastAsia" w:ascii="宋体" w:hAnsi="宋体"/>
                          <w:color w:val="000000"/>
                          <w:sz w:val="32"/>
                          <w:szCs w:val="32"/>
                          <w:u w:val="single"/>
                        </w:rPr>
                        <w:t xml:space="preserve">         </w:t>
                      </w:r>
                      <w:r>
                        <w:rPr>
                          <w:rFonts w:ascii="宋体" w:hAnsi="宋体"/>
                          <w:color w:val="000000"/>
                          <w:sz w:val="32"/>
                          <w:szCs w:val="32"/>
                          <w:u w:val="single"/>
                        </w:rPr>
                        <w:t xml:space="preserve">     </w:t>
                      </w:r>
                      <w:r>
                        <w:rPr>
                          <w:rFonts w:hint="eastAsia" w:ascii="宋体" w:hAnsi="宋体"/>
                          <w:color w:val="000000"/>
                          <w:sz w:val="32"/>
                          <w:szCs w:val="32"/>
                          <w:u w:val="single"/>
                        </w:rPr>
                        <w:t xml:space="preserve"> </w:t>
                      </w:r>
                      <w:r>
                        <w:rPr>
                          <w:rFonts w:ascii="宋体" w:hAnsi="宋体"/>
                          <w:color w:val="000000"/>
                          <w:sz w:val="32"/>
                          <w:szCs w:val="32"/>
                          <w:u w:val="single"/>
                        </w:rPr>
                        <w:t xml:space="preserve"> </w:t>
                      </w:r>
                    </w:p>
                    <w:p w14:paraId="2A36EECA">
                      <w:pPr>
                        <w:spacing w:line="360" w:lineRule="auto"/>
                        <w:rPr>
                          <w:sz w:val="32"/>
                          <w:szCs w:val="32"/>
                        </w:rPr>
                      </w:pPr>
                      <w:r>
                        <w:rPr>
                          <w:rFonts w:hint="eastAsia" w:ascii="宋体" w:hAnsi="宋体"/>
                          <w:color w:val="000000"/>
                          <w:sz w:val="32"/>
                          <w:szCs w:val="32"/>
                        </w:rPr>
                        <w:t>版    本</w:t>
                      </w:r>
                      <w:r>
                        <w:rPr>
                          <w:rFonts w:hint="eastAsia" w:ascii="宋体" w:hAnsi="宋体"/>
                          <w:color w:val="000000"/>
                          <w:sz w:val="32"/>
                          <w:szCs w:val="32"/>
                          <w:u w:val="single"/>
                        </w:rPr>
                        <w:t xml:space="preserve">  </w:t>
                      </w:r>
                      <w:r>
                        <w:rPr>
                          <w:rFonts w:ascii="宋体" w:hAnsi="宋体"/>
                          <w:color w:val="000000"/>
                          <w:sz w:val="32"/>
                          <w:szCs w:val="32"/>
                          <w:u w:val="single"/>
                        </w:rPr>
                        <w:t xml:space="preserve">   </w:t>
                      </w:r>
                      <w:bookmarkStart w:id="70" w:name="sig_VERSION"/>
                      <w:bookmarkEnd w:id="70"/>
                      <w:r>
                        <w:rPr>
                          <w:rFonts w:hint="eastAsia" w:ascii="宋体" w:hAnsi="宋体"/>
                          <w:color w:val="000000"/>
                          <w:sz w:val="32"/>
                          <w:szCs w:val="32"/>
                          <w:u w:val="single"/>
                        </w:rPr>
                        <w:t xml:space="preserve"> </w:t>
                      </w:r>
                      <w:r>
                        <w:rPr>
                          <w:rFonts w:ascii="宋体" w:hAnsi="宋体"/>
                          <w:color w:val="000000"/>
                          <w:sz w:val="32"/>
                          <w:szCs w:val="32"/>
                          <w:u w:val="single"/>
                        </w:rPr>
                        <w:t>V1</w:t>
                      </w:r>
                      <w:r>
                        <w:rPr>
                          <w:rFonts w:hint="eastAsia" w:ascii="宋体" w:hAnsi="宋体"/>
                          <w:color w:val="000000"/>
                          <w:sz w:val="32"/>
                          <w:szCs w:val="32"/>
                          <w:u w:val="single"/>
                        </w:rPr>
                        <w:t>.</w:t>
                      </w:r>
                      <w:r>
                        <w:rPr>
                          <w:rFonts w:ascii="宋体" w:hAnsi="宋体"/>
                          <w:color w:val="000000"/>
                          <w:sz w:val="32"/>
                          <w:szCs w:val="32"/>
                          <w:u w:val="single"/>
                        </w:rPr>
                        <w:t>0</w:t>
                      </w:r>
                      <w:r>
                        <w:rPr>
                          <w:rFonts w:hint="eastAsia" w:ascii="宋体" w:hAnsi="宋体"/>
                          <w:color w:val="000000"/>
                          <w:sz w:val="32"/>
                          <w:szCs w:val="32"/>
                          <w:u w:val="single"/>
                        </w:rPr>
                        <w:t xml:space="preserve">0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742950</wp:posOffset>
                </wp:positionH>
                <wp:positionV relativeFrom="paragraph">
                  <wp:posOffset>4025900</wp:posOffset>
                </wp:positionV>
                <wp:extent cx="4057015" cy="3639820"/>
                <wp:effectExtent l="0" t="0" r="19685" b="17780"/>
                <wp:wrapTopAndBottom/>
                <wp:docPr id="588002945" name="文本框 3"/>
                <wp:cNvGraphicFramePr/>
                <a:graphic xmlns:a="http://schemas.openxmlformats.org/drawingml/2006/main">
                  <a:graphicData uri="http://schemas.microsoft.com/office/word/2010/wordprocessingShape">
                    <wps:wsp>
                      <wps:cNvSpPr txBox="1">
                        <a:spLocks noChangeArrowheads="1"/>
                      </wps:cNvSpPr>
                      <wps:spPr bwMode="auto">
                        <a:xfrm>
                          <a:off x="0" y="0"/>
                          <a:ext cx="4057015" cy="3639820"/>
                        </a:xfrm>
                        <a:prstGeom prst="rect">
                          <a:avLst/>
                        </a:prstGeom>
                        <a:solidFill>
                          <a:srgbClr val="FFFFFF"/>
                        </a:solidFill>
                        <a:ln w="9525">
                          <a:solidFill>
                            <a:srgbClr val="FFFFFF"/>
                          </a:solidFill>
                          <a:miter lim="800000"/>
                        </a:ln>
                      </wps:spPr>
                      <wps:txbx>
                        <w:txbxContent>
                          <w:p w14:paraId="20A451C2">
                            <w:pPr>
                              <w:rPr>
                                <w:rFonts w:hint="eastAsia" w:ascii="宋体" w:hAnsi="宋体"/>
                                <w:color w:val="000000"/>
                                <w:sz w:val="32"/>
                                <w:u w:val="single"/>
                              </w:rPr>
                            </w:pPr>
                            <w:r>
                              <w:rPr>
                                <w:rFonts w:hint="eastAsia" w:ascii="宋体" w:hAnsi="宋体"/>
                                <w:color w:val="000000"/>
                                <w:sz w:val="32"/>
                              </w:rPr>
                              <w:t>单     位</w:t>
                            </w:r>
                            <w:r>
                              <w:rPr>
                                <w:rFonts w:hint="eastAsia" w:ascii="宋体" w:hAnsi="宋体"/>
                                <w:color w:val="000000"/>
                                <w:sz w:val="32"/>
                                <w:u w:val="single"/>
                              </w:rPr>
                              <w:t xml:space="preserve"> 投标人名称待确认  </w:t>
                            </w:r>
                          </w:p>
                          <w:p w14:paraId="5AE145E8">
                            <w:pPr>
                              <w:rPr>
                                <w:rFonts w:hint="eastAsia" w:ascii="宋体" w:hAnsi="宋体"/>
                                <w:color w:val="000000"/>
                                <w:sz w:val="32"/>
                                <w:u w:val="single"/>
                              </w:rPr>
                            </w:pPr>
                            <w:r>
                              <w:rPr>
                                <w:rFonts w:hint="eastAsia" w:ascii="宋体" w:hAnsi="宋体"/>
                                <w:color w:val="000000"/>
                                <w:sz w:val="32"/>
                              </w:rPr>
                              <w:t>编写</w:t>
                            </w:r>
                            <w:r>
                              <w:rPr>
                                <w:rFonts w:hint="eastAsia" w:ascii="宋体" w:hAnsi="宋体" w:cs="宋体"/>
                                <w:color w:val="000000"/>
                                <w:sz w:val="32"/>
                                <w:lang w:bidi="ar"/>
                              </w:rPr>
                              <w:t>/日期</w:t>
                            </w:r>
                            <w:r>
                              <w:rPr>
                                <w:rFonts w:hint="eastAsia" w:ascii="宋体" w:hAnsi="宋体"/>
                                <w:color w:val="000000"/>
                                <w:sz w:val="32"/>
                                <w:u w:val="single"/>
                              </w:rPr>
                              <w:t xml:space="preserve">        </w:t>
                            </w:r>
                            <w:r>
                              <w:rPr>
                                <w:rFonts w:ascii="宋体" w:hAnsi="宋体"/>
                                <w:color w:val="000000"/>
                                <w:sz w:val="32"/>
                                <w:u w:val="single"/>
                              </w:rPr>
                              <w:t xml:space="preserve">  </w:t>
                            </w:r>
                            <w:r>
                              <w:rPr>
                                <w:rFonts w:hint="eastAsia" w:ascii="宋体" w:hAnsi="宋体"/>
                                <w:color w:val="000000"/>
                                <w:sz w:val="32"/>
                                <w:u w:val="single"/>
                              </w:rPr>
                              <w:t xml:space="preserve">                  </w:t>
                            </w:r>
                          </w:p>
                          <w:p w14:paraId="0F43CB99">
                            <w:pPr>
                              <w:rPr>
                                <w:rFonts w:hint="eastAsia" w:ascii="宋体" w:hAnsi="宋体"/>
                                <w:color w:val="000000"/>
                                <w:sz w:val="32"/>
                                <w:u w:val="single"/>
                              </w:rPr>
                            </w:pPr>
                            <w:r>
                              <w:rPr>
                                <w:rFonts w:hint="eastAsia" w:ascii="宋体" w:hAnsi="宋体"/>
                                <w:color w:val="000000"/>
                                <w:sz w:val="32"/>
                              </w:rPr>
                              <w:t>校对</w:t>
                            </w:r>
                            <w:r>
                              <w:rPr>
                                <w:rFonts w:hint="eastAsia" w:ascii="宋体" w:hAnsi="宋体" w:cs="宋体"/>
                                <w:color w:val="000000"/>
                                <w:sz w:val="32"/>
                                <w:lang w:bidi="ar"/>
                              </w:rPr>
                              <w:t>/日期</w:t>
                            </w:r>
                            <w:r>
                              <w:rPr>
                                <w:rFonts w:hint="eastAsia" w:ascii="宋体" w:hAnsi="宋体"/>
                                <w:color w:val="000000"/>
                                <w:sz w:val="32"/>
                                <w:u w:val="single"/>
                              </w:rPr>
                              <w:t xml:space="preserve">                            </w:t>
                            </w:r>
                          </w:p>
                          <w:p w14:paraId="36E658CA">
                            <w:pPr>
                              <w:rPr>
                                <w:rFonts w:hint="eastAsia" w:ascii="宋体" w:hAnsi="宋体"/>
                                <w:color w:val="000000"/>
                                <w:sz w:val="32"/>
                                <w:u w:val="single"/>
                              </w:rPr>
                            </w:pPr>
                            <w:r>
                              <w:rPr>
                                <w:rFonts w:hint="eastAsia" w:ascii="宋体" w:hAnsi="宋体"/>
                                <w:color w:val="000000"/>
                                <w:sz w:val="32"/>
                              </w:rPr>
                              <w:t>审核</w:t>
                            </w:r>
                            <w:r>
                              <w:rPr>
                                <w:rFonts w:hint="eastAsia" w:ascii="宋体" w:hAnsi="宋体" w:cs="宋体"/>
                                <w:color w:val="000000"/>
                                <w:sz w:val="32"/>
                                <w:lang w:bidi="ar"/>
                              </w:rPr>
                              <w:t>/日期</w:t>
                            </w:r>
                            <w:r>
                              <w:rPr>
                                <w:rFonts w:hint="eastAsia" w:ascii="宋体" w:hAnsi="宋体"/>
                                <w:color w:val="000000"/>
                                <w:sz w:val="32"/>
                                <w:u w:val="single"/>
                              </w:rPr>
                              <w:t xml:space="preserve">                            </w:t>
                            </w:r>
                          </w:p>
                          <w:p w14:paraId="3DE91DAB">
                            <w:pPr>
                              <w:rPr>
                                <w:rFonts w:hint="eastAsia" w:ascii="宋体" w:hAnsi="宋体"/>
                                <w:color w:val="000000"/>
                                <w:sz w:val="32"/>
                                <w:u w:val="single"/>
                              </w:rPr>
                            </w:pPr>
                            <w:r>
                              <w:rPr>
                                <w:rFonts w:hint="eastAsia" w:ascii="宋体" w:hAnsi="宋体"/>
                                <w:color w:val="000000"/>
                                <w:sz w:val="32"/>
                              </w:rPr>
                              <w:t>会签</w:t>
                            </w:r>
                            <w:r>
                              <w:rPr>
                                <w:rFonts w:hint="eastAsia" w:ascii="宋体" w:hAnsi="宋体" w:cs="宋体"/>
                                <w:color w:val="000000"/>
                                <w:sz w:val="32"/>
                                <w:lang w:bidi="ar"/>
                              </w:rPr>
                              <w:t>/日期</w:t>
                            </w:r>
                            <w:r>
                              <w:rPr>
                                <w:rFonts w:hint="eastAsia" w:ascii="宋体" w:hAnsi="宋体"/>
                                <w:color w:val="000000"/>
                                <w:sz w:val="32"/>
                                <w:u w:val="single"/>
                              </w:rPr>
                              <w:t xml:space="preserve">                             </w:t>
                            </w:r>
                          </w:p>
                          <w:p w14:paraId="3323EC42">
                            <w:pPr>
                              <w:rPr>
                                <w:rFonts w:hint="eastAsia" w:ascii="宋体" w:hAnsi="宋体"/>
                                <w:color w:val="000000"/>
                                <w:sz w:val="32"/>
                                <w:u w:val="single"/>
                              </w:rPr>
                            </w:pPr>
                            <w:r>
                              <w:rPr>
                                <w:rFonts w:hint="eastAsia" w:ascii="宋体" w:hAnsi="宋体"/>
                                <w:color w:val="000000"/>
                                <w:sz w:val="32"/>
                              </w:rPr>
                              <w:t>标审</w:t>
                            </w:r>
                            <w:r>
                              <w:rPr>
                                <w:rFonts w:hint="eastAsia" w:ascii="宋体" w:hAnsi="宋体" w:cs="宋体"/>
                                <w:color w:val="000000"/>
                                <w:sz w:val="32"/>
                                <w:lang w:bidi="ar"/>
                              </w:rPr>
                              <w:t>/日期</w:t>
                            </w:r>
                            <w:r>
                              <w:rPr>
                                <w:rFonts w:hint="eastAsia" w:ascii="宋体" w:hAnsi="宋体"/>
                                <w:color w:val="000000"/>
                                <w:sz w:val="32"/>
                                <w:u w:val="single"/>
                              </w:rPr>
                              <w:t xml:space="preserve">                            </w:t>
                            </w:r>
                          </w:p>
                          <w:p w14:paraId="042B703B">
                            <w:pPr>
                              <w:rPr>
                                <w:rFonts w:hint="eastAsia" w:ascii="宋体" w:hAnsi="宋体"/>
                                <w:color w:val="FF0000"/>
                                <w:sz w:val="32"/>
                                <w:u w:val="single"/>
                              </w:rPr>
                            </w:pPr>
                            <w:r>
                              <w:rPr>
                                <w:rFonts w:hint="eastAsia" w:ascii="宋体" w:hAnsi="宋体"/>
                                <w:color w:val="000000"/>
                                <w:sz w:val="32"/>
                              </w:rPr>
                              <w:t>批准</w:t>
                            </w:r>
                            <w:r>
                              <w:rPr>
                                <w:rFonts w:hint="eastAsia" w:ascii="宋体" w:hAnsi="宋体" w:cs="宋体"/>
                                <w:color w:val="000000"/>
                                <w:sz w:val="32"/>
                                <w:lang w:bidi="ar"/>
                              </w:rPr>
                              <w:t>/日期</w:t>
                            </w:r>
                            <w:r>
                              <w:rPr>
                                <w:rFonts w:hint="eastAsia" w:ascii="宋体" w:hAnsi="宋体"/>
                                <w:color w:val="000000"/>
                                <w:sz w:val="32"/>
                                <w:u w:val="single"/>
                              </w:rPr>
                              <w:t xml:space="preserve">                            </w:t>
                            </w:r>
                          </w:p>
                        </w:txbxContent>
                      </wps:txbx>
                      <wps:bodyPr rot="0" vert="horz" wrap="square" lIns="91440" tIns="45720" rIns="91440" bIns="45720" anchor="t" anchorCtr="0" upright="1">
                        <a:noAutofit/>
                      </wps:bodyPr>
                    </wps:wsp>
                  </a:graphicData>
                </a:graphic>
              </wp:anchor>
            </w:drawing>
          </mc:Choice>
          <mc:Fallback>
            <w:pict>
              <v:shape id="文本框 3" o:spid="_x0000_s1026" o:spt="202" type="#_x0000_t202" style="position:absolute;left:0pt;margin-left:58.5pt;margin-top:317pt;height:286.6pt;width:319.45pt;mso-wrap-distance-bottom:0pt;mso-wrap-distance-top:0pt;z-index:251661312;mso-width-relative:page;mso-height-relative:page;" fillcolor="#FFFFFF" filled="t" stroked="t" coordsize="21600,21600" o:gfxdata="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rH+FN2QAAAAwBAAAPAAAAAAAAAAEA&#10;IAAAACIAAABkcnMvZG93bnJldi54bWxQSwECFAAUAAAACACHTuJAeE+EQkcCAACQBAAADgAAAAAA&#10;AAABACAAAAAoAQAAZHJzL2Uyb0RvYy54bWxQSwUGAAAAAAYABgBZAQAA4QUAAAAA&#10;">
                <v:fill on="t" focussize="0,0"/>
                <v:stroke color="#FFFFFF" miterlimit="8" joinstyle="miter"/>
                <v:imagedata o:title=""/>
                <o:lock v:ext="edit" aspectratio="f"/>
                <v:textbox>
                  <w:txbxContent>
                    <w:p w14:paraId="20A451C2">
                      <w:pPr>
                        <w:rPr>
                          <w:rFonts w:hint="eastAsia" w:ascii="宋体" w:hAnsi="宋体"/>
                          <w:color w:val="000000"/>
                          <w:sz w:val="32"/>
                          <w:u w:val="single"/>
                        </w:rPr>
                      </w:pPr>
                      <w:r>
                        <w:rPr>
                          <w:rFonts w:hint="eastAsia" w:ascii="宋体" w:hAnsi="宋体"/>
                          <w:color w:val="000000"/>
                          <w:sz w:val="32"/>
                        </w:rPr>
                        <w:t>单     位</w:t>
                      </w:r>
                      <w:r>
                        <w:rPr>
                          <w:rFonts w:hint="eastAsia" w:ascii="宋体" w:hAnsi="宋体"/>
                          <w:color w:val="000000"/>
                          <w:sz w:val="32"/>
                          <w:u w:val="single"/>
                        </w:rPr>
                        <w:t xml:space="preserve"> 投标人名称待确认  </w:t>
                      </w:r>
                    </w:p>
                    <w:p w14:paraId="5AE145E8">
                      <w:pPr>
                        <w:rPr>
                          <w:rFonts w:hint="eastAsia" w:ascii="宋体" w:hAnsi="宋体"/>
                          <w:color w:val="000000"/>
                          <w:sz w:val="32"/>
                          <w:u w:val="single"/>
                        </w:rPr>
                      </w:pPr>
                      <w:r>
                        <w:rPr>
                          <w:rFonts w:hint="eastAsia" w:ascii="宋体" w:hAnsi="宋体"/>
                          <w:color w:val="000000"/>
                          <w:sz w:val="32"/>
                        </w:rPr>
                        <w:t>编写</w:t>
                      </w:r>
                      <w:r>
                        <w:rPr>
                          <w:rFonts w:hint="eastAsia" w:ascii="宋体" w:hAnsi="宋体" w:cs="宋体"/>
                          <w:color w:val="000000"/>
                          <w:sz w:val="32"/>
                          <w:lang w:bidi="ar"/>
                        </w:rPr>
                        <w:t>/日期</w:t>
                      </w:r>
                      <w:r>
                        <w:rPr>
                          <w:rFonts w:hint="eastAsia" w:ascii="宋体" w:hAnsi="宋体"/>
                          <w:color w:val="000000"/>
                          <w:sz w:val="32"/>
                          <w:u w:val="single"/>
                        </w:rPr>
                        <w:t xml:space="preserve">        </w:t>
                      </w:r>
                      <w:r>
                        <w:rPr>
                          <w:rFonts w:ascii="宋体" w:hAnsi="宋体"/>
                          <w:color w:val="000000"/>
                          <w:sz w:val="32"/>
                          <w:u w:val="single"/>
                        </w:rPr>
                        <w:t xml:space="preserve">  </w:t>
                      </w:r>
                      <w:r>
                        <w:rPr>
                          <w:rFonts w:hint="eastAsia" w:ascii="宋体" w:hAnsi="宋体"/>
                          <w:color w:val="000000"/>
                          <w:sz w:val="32"/>
                          <w:u w:val="single"/>
                        </w:rPr>
                        <w:t xml:space="preserve">                  </w:t>
                      </w:r>
                    </w:p>
                    <w:p w14:paraId="0F43CB99">
                      <w:pPr>
                        <w:rPr>
                          <w:rFonts w:hint="eastAsia" w:ascii="宋体" w:hAnsi="宋体"/>
                          <w:color w:val="000000"/>
                          <w:sz w:val="32"/>
                          <w:u w:val="single"/>
                        </w:rPr>
                      </w:pPr>
                      <w:r>
                        <w:rPr>
                          <w:rFonts w:hint="eastAsia" w:ascii="宋体" w:hAnsi="宋体"/>
                          <w:color w:val="000000"/>
                          <w:sz w:val="32"/>
                        </w:rPr>
                        <w:t>校对</w:t>
                      </w:r>
                      <w:r>
                        <w:rPr>
                          <w:rFonts w:hint="eastAsia" w:ascii="宋体" w:hAnsi="宋体" w:cs="宋体"/>
                          <w:color w:val="000000"/>
                          <w:sz w:val="32"/>
                          <w:lang w:bidi="ar"/>
                        </w:rPr>
                        <w:t>/日期</w:t>
                      </w:r>
                      <w:r>
                        <w:rPr>
                          <w:rFonts w:hint="eastAsia" w:ascii="宋体" w:hAnsi="宋体"/>
                          <w:color w:val="000000"/>
                          <w:sz w:val="32"/>
                          <w:u w:val="single"/>
                        </w:rPr>
                        <w:t xml:space="preserve">                            </w:t>
                      </w:r>
                    </w:p>
                    <w:p w14:paraId="36E658CA">
                      <w:pPr>
                        <w:rPr>
                          <w:rFonts w:hint="eastAsia" w:ascii="宋体" w:hAnsi="宋体"/>
                          <w:color w:val="000000"/>
                          <w:sz w:val="32"/>
                          <w:u w:val="single"/>
                        </w:rPr>
                      </w:pPr>
                      <w:r>
                        <w:rPr>
                          <w:rFonts w:hint="eastAsia" w:ascii="宋体" w:hAnsi="宋体"/>
                          <w:color w:val="000000"/>
                          <w:sz w:val="32"/>
                        </w:rPr>
                        <w:t>审核</w:t>
                      </w:r>
                      <w:r>
                        <w:rPr>
                          <w:rFonts w:hint="eastAsia" w:ascii="宋体" w:hAnsi="宋体" w:cs="宋体"/>
                          <w:color w:val="000000"/>
                          <w:sz w:val="32"/>
                          <w:lang w:bidi="ar"/>
                        </w:rPr>
                        <w:t>/日期</w:t>
                      </w:r>
                      <w:r>
                        <w:rPr>
                          <w:rFonts w:hint="eastAsia" w:ascii="宋体" w:hAnsi="宋体"/>
                          <w:color w:val="000000"/>
                          <w:sz w:val="32"/>
                          <w:u w:val="single"/>
                        </w:rPr>
                        <w:t xml:space="preserve">                            </w:t>
                      </w:r>
                    </w:p>
                    <w:p w14:paraId="3DE91DAB">
                      <w:pPr>
                        <w:rPr>
                          <w:rFonts w:hint="eastAsia" w:ascii="宋体" w:hAnsi="宋体"/>
                          <w:color w:val="000000"/>
                          <w:sz w:val="32"/>
                          <w:u w:val="single"/>
                        </w:rPr>
                      </w:pPr>
                      <w:r>
                        <w:rPr>
                          <w:rFonts w:hint="eastAsia" w:ascii="宋体" w:hAnsi="宋体"/>
                          <w:color w:val="000000"/>
                          <w:sz w:val="32"/>
                        </w:rPr>
                        <w:t>会签</w:t>
                      </w:r>
                      <w:r>
                        <w:rPr>
                          <w:rFonts w:hint="eastAsia" w:ascii="宋体" w:hAnsi="宋体" w:cs="宋体"/>
                          <w:color w:val="000000"/>
                          <w:sz w:val="32"/>
                          <w:lang w:bidi="ar"/>
                        </w:rPr>
                        <w:t>/日期</w:t>
                      </w:r>
                      <w:r>
                        <w:rPr>
                          <w:rFonts w:hint="eastAsia" w:ascii="宋体" w:hAnsi="宋体"/>
                          <w:color w:val="000000"/>
                          <w:sz w:val="32"/>
                          <w:u w:val="single"/>
                        </w:rPr>
                        <w:t xml:space="preserve">                             </w:t>
                      </w:r>
                    </w:p>
                    <w:p w14:paraId="3323EC42">
                      <w:pPr>
                        <w:rPr>
                          <w:rFonts w:hint="eastAsia" w:ascii="宋体" w:hAnsi="宋体"/>
                          <w:color w:val="000000"/>
                          <w:sz w:val="32"/>
                          <w:u w:val="single"/>
                        </w:rPr>
                      </w:pPr>
                      <w:r>
                        <w:rPr>
                          <w:rFonts w:hint="eastAsia" w:ascii="宋体" w:hAnsi="宋体"/>
                          <w:color w:val="000000"/>
                          <w:sz w:val="32"/>
                        </w:rPr>
                        <w:t>标审</w:t>
                      </w:r>
                      <w:r>
                        <w:rPr>
                          <w:rFonts w:hint="eastAsia" w:ascii="宋体" w:hAnsi="宋体" w:cs="宋体"/>
                          <w:color w:val="000000"/>
                          <w:sz w:val="32"/>
                          <w:lang w:bidi="ar"/>
                        </w:rPr>
                        <w:t>/日期</w:t>
                      </w:r>
                      <w:r>
                        <w:rPr>
                          <w:rFonts w:hint="eastAsia" w:ascii="宋体" w:hAnsi="宋体"/>
                          <w:color w:val="000000"/>
                          <w:sz w:val="32"/>
                          <w:u w:val="single"/>
                        </w:rPr>
                        <w:t xml:space="preserve">                            </w:t>
                      </w:r>
                    </w:p>
                    <w:p w14:paraId="042B703B">
                      <w:pPr>
                        <w:rPr>
                          <w:rFonts w:hint="eastAsia" w:ascii="宋体" w:hAnsi="宋体"/>
                          <w:color w:val="FF0000"/>
                          <w:sz w:val="32"/>
                          <w:u w:val="single"/>
                        </w:rPr>
                      </w:pPr>
                      <w:r>
                        <w:rPr>
                          <w:rFonts w:hint="eastAsia" w:ascii="宋体" w:hAnsi="宋体"/>
                          <w:color w:val="000000"/>
                          <w:sz w:val="32"/>
                        </w:rPr>
                        <w:t>批准</w:t>
                      </w:r>
                      <w:r>
                        <w:rPr>
                          <w:rFonts w:hint="eastAsia" w:ascii="宋体" w:hAnsi="宋体" w:cs="宋体"/>
                          <w:color w:val="000000"/>
                          <w:sz w:val="32"/>
                          <w:lang w:bidi="ar"/>
                        </w:rPr>
                        <w:t>/日期</w:t>
                      </w:r>
                      <w:r>
                        <w:rPr>
                          <w:rFonts w:hint="eastAsia" w:ascii="宋体" w:hAnsi="宋体"/>
                          <w:color w:val="000000"/>
                          <w:sz w:val="32"/>
                          <w:u w:val="single"/>
                        </w:rPr>
                        <w:t xml:space="preserve">                            </w:t>
                      </w:r>
                    </w:p>
                  </w:txbxContent>
                </v:textbox>
                <w10:wrap type="topAndBottom"/>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812800</wp:posOffset>
                </wp:positionH>
                <wp:positionV relativeFrom="paragraph">
                  <wp:posOffset>8096250</wp:posOffset>
                </wp:positionV>
                <wp:extent cx="3891280" cy="447675"/>
                <wp:effectExtent l="0" t="0" r="13970" b="9525"/>
                <wp:wrapNone/>
                <wp:docPr id="35"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891280" cy="447675"/>
                        </a:xfrm>
                        <a:prstGeom prst="rect">
                          <a:avLst/>
                        </a:prstGeom>
                        <a:noFill/>
                        <a:ln>
                          <a:noFill/>
                        </a:ln>
                      </wps:spPr>
                      <wps:txbx>
                        <w:txbxContent>
                          <w:p w14:paraId="09A08CF8">
                            <w:pPr>
                              <w:pStyle w:val="65"/>
                              <w:jc w:val="center"/>
                              <w:rPr>
                                <w:rFonts w:hint="eastAsia" w:ascii="宋体" w:hAnsi="宋体" w:cs="宋体"/>
                                <w:b w:val="0"/>
                                <w:szCs w:val="32"/>
                              </w:rPr>
                            </w:pPr>
                            <w:r>
                              <w:rPr>
                                <w:rFonts w:hint="eastAsia" w:ascii="宋体" w:hAnsi="宋体" w:cs="宋体"/>
                                <w:b w:val="0"/>
                                <w:szCs w:val="32"/>
                              </w:rPr>
                              <w:t>投标人名称待确认</w:t>
                            </w:r>
                          </w:p>
                          <w:p w14:paraId="6F4CCABA">
                            <w:pPr>
                              <w:jc w:val="center"/>
                            </w:pP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64pt;margin-top:637.5pt;height:35.25pt;width:306.4pt;z-index:251662336;mso-width-relative:page;mso-height-relative:page;" filled="f" stroked="f" coordsize="21600,21600" o:gfxdata="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RiHX6tkAAAANAQAADwAAAAAAAAAB&#10;ACAAAAAiAAAAZHJzL2Rvd25yZXYueG1sUEsBAhQAFAAAAAgAh07iQIuMHjkPAgAABgQAAA4AAAAA&#10;AAAAAQAgAAAAKAEAAGRycy9lMm9Eb2MueG1sUEsFBgAAAAAGAAYAWQEAAKkFAAAAAA==&#10;">
                <v:fill on="f" focussize="0,0"/>
                <v:stroke on="f"/>
                <v:imagedata o:title=""/>
                <o:lock v:ext="edit" aspectratio="f"/>
                <v:textbox inset="0mm,0mm,0mm,0mm">
                  <w:txbxContent>
                    <w:p w14:paraId="09A08CF8">
                      <w:pPr>
                        <w:pStyle w:val="65"/>
                        <w:jc w:val="center"/>
                        <w:rPr>
                          <w:rFonts w:hint="eastAsia" w:ascii="宋体" w:hAnsi="宋体" w:cs="宋体"/>
                          <w:b w:val="0"/>
                          <w:szCs w:val="32"/>
                        </w:rPr>
                      </w:pPr>
                      <w:r>
                        <w:rPr>
                          <w:rFonts w:hint="eastAsia" w:ascii="宋体" w:hAnsi="宋体" w:cs="宋体"/>
                          <w:b w:val="0"/>
                          <w:szCs w:val="32"/>
                        </w:rPr>
                        <w:t>投标人名称待确认</w:t>
                      </w:r>
                    </w:p>
                    <w:p w14:paraId="6F4CCABA">
                      <w:pPr>
                        <w:jc w:val="center"/>
                      </w:pPr>
                    </w:p>
                  </w:txbxContent>
                </v:textbox>
              </v:shape>
            </w:pict>
          </mc:Fallback>
        </mc:AlternateContent>
      </w:r>
    </w:p>
    <w:p w14:paraId="6A609F38">
      <w:pPr>
        <w:tabs>
          <w:tab w:val="left" w:pos="709"/>
        </w:tabs>
      </w:pPr>
      <w:bookmarkStart w:id="0" w:name="_Toc15125"/>
    </w:p>
    <w:p w14:paraId="0722E6FD">
      <w:pPr>
        <w:tabs>
          <w:tab w:val="left" w:pos="709"/>
        </w:tabs>
      </w:pPr>
    </w:p>
    <w:p w14:paraId="0251CAE8">
      <w:pPr>
        <w:tabs>
          <w:tab w:val="left" w:pos="7658"/>
        </w:tabs>
        <w:jc w:val="left"/>
        <w:sectPr>
          <w:footerReference r:id="rId5" w:type="first"/>
          <w:headerReference r:id="rId3" w:type="default"/>
          <w:footerReference r:id="rId4" w:type="default"/>
          <w:pgSz w:w="11906" w:h="16838"/>
          <w:pgMar w:top="851" w:right="1418" w:bottom="1418" w:left="1418" w:header="567" w:footer="1077" w:gutter="0"/>
          <w:pgNumType w:fmt="upperRoman" w:start="1"/>
          <w:cols w:space="425" w:num="1"/>
          <w:titlePg/>
          <w:docGrid w:linePitch="508" w:charSpace="2163"/>
        </w:sectPr>
      </w:pPr>
      <w:r>
        <w:rPr>
          <w:rFonts w:hint="eastAsia"/>
        </w:rPr>
        <w:tab/>
      </w:r>
    </w:p>
    <w:bookmarkEnd w:id="0"/>
    <w:p w14:paraId="16EE665A">
      <w:pPr>
        <w:spacing w:line="300" w:lineRule="auto"/>
        <w:ind w:firstLine="480"/>
        <w:jc w:val="center"/>
        <w:rPr>
          <w:rFonts w:hint="eastAsia" w:ascii="黑体" w:hAnsi="黑体" w:eastAsia="黑体" w:cs="黑体"/>
          <w:sz w:val="28"/>
          <w:szCs w:val="21"/>
        </w:rPr>
      </w:pPr>
      <w:r>
        <w:rPr>
          <w:rFonts w:hint="eastAsia" w:ascii="仿宋" w:hAnsi="仿宋" w:eastAsia="仿宋" w:cs="黑体"/>
          <w:b w:val="0"/>
          <w:sz w:val="24"/>
          <w:szCs w:val="21"/>
          <w:lang w:val="en-US" w:eastAsia="zh-CN"/>
        </w:rPr>
        <w:t>电子海图显示与信息系统设计方案报告</w:t>
      </w:r>
      <w:r>
        <w:rPr>
          <w:rFonts w:hint="eastAsia" w:ascii="黑体" w:hAnsi="黑体" w:eastAsia="黑体" w:cs="黑体"/>
          <w:sz w:val="28"/>
          <w:szCs w:val="21"/>
        </w:rPr>
      </w:r>
    </w:p>
    <w:p w14:paraId="52D93960">
      <w:pPr>
        <w:keepNext/>
        <w:keepLines/>
        <w:numPr>
          <w:ilvl w:val="0"/>
          <w:numId w:val="11"/>
        </w:numPr>
        <w:tabs>
          <w:tab w:val="left" w:pos="0"/>
        </w:tabs>
        <w:spacing w:line="360" w:lineRule="auto"/>
        <w:outlineLvl w:val="0"/>
        <w:rPr>
          <w:rFonts w:ascii="Calibri" w:hAnsi="Calibri" w:eastAsia="黑体"/>
          <w:bCs/>
          <w:kern w:val="44"/>
          <w:sz w:val="30"/>
          <w:szCs w:val="44"/>
        </w:rPr>
      </w:pPr>
      <w:bookmarkStart w:id="1" w:name="_Toc7618"/>
      <w:r>
        <w:rPr>
          <w:rFonts w:hint="eastAsia" w:ascii="Calibri" w:hAnsi="Calibri" w:eastAsia="黑体"/>
          <w:bCs/>
          <w:kern w:val="44"/>
          <w:sz w:val="30"/>
          <w:szCs w:val="44"/>
        </w:rPr>
        <w:t>概述</w:t>
      </w:r>
      <w:bookmarkEnd w:id="1"/>
    </w:p>
    <w:p w14:paraId="1F68F351">
      <w:pPr>
        <w:keepNext/>
        <w:keepLines/>
        <w:numPr>
          <w:ilvl w:val="1"/>
          <w:numId w:val="11"/>
        </w:numPr>
        <w:tabs>
          <w:tab w:val="left" w:pos="19"/>
        </w:tabs>
        <w:spacing w:before="140" w:after="140" w:line="360" w:lineRule="auto"/>
        <w:outlineLvl w:val="1"/>
        <w:rPr>
          <w:rFonts w:hint="eastAsia" w:ascii="黑体" w:hAnsi="黑体" w:eastAsia="黑体" w:cs="黑体"/>
          <w:sz w:val="28"/>
          <w:szCs w:val="32"/>
          <w:lang w:val="en-US" w:eastAsia="zh-CN"/>
        </w:rPr>
      </w:pPr>
      <w:bookmarkStart w:id="2" w:name="_Toc28687"/>
      <w:bookmarkStart w:id="3" w:name="_Toc23575"/>
      <w:r>
        <w:rPr>
          <w:rFonts w:hint="eastAsia" w:ascii="黑体" w:hAnsi="黑体" w:eastAsia="黑体" w:cs="黑体"/>
          <w:sz w:val="28"/>
          <w:szCs w:val="32"/>
          <w:lang w:val="en-US" w:eastAsia="zh-CN"/>
        </w:rPr>
        <w:t>编写目的</w:t>
      </w:r>
      <w:bookmarkEnd w:id="2"/>
      <w:bookmarkEnd w:id="3"/>
    </w:p>
    <w:p w14:paraId="04359E4E">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hint="default" w:ascii="仿宋" w:hAnsi="仿宋" w:eastAsia="仿宋" w:cs="Times New Roman"/>
          <w:b w:val="0"/>
          <w:kern w:val="2"/>
          <w:sz w:val="24"/>
          <w:szCs w:val="24"/>
          <w:lang w:val="en-US" w:eastAsia="zh-CN" w:bidi="ar-SA"/>
          <w14:ligatures w14:val="standardContextual"/>
        </w:rPr>
        <w:t>本设计方案用于响应电子海图显示与信息系统项目的技术要求、商务要求和技术评分要求，说明投标方案的建设思路、功能设计、架构设计、质量保障、实施交付和服务承诺安排。文档以 input 目录中的招标资料为事实来源，通过需求响应矩阵建立条款与方案章节之间的对应关系，避免脱离依据的泛化描述。</w:t>
      </w:r>
      <w:r>
        <w:rPr>
          <w:rFonts w:hint="eastAsia" w:ascii="Times New Roman" w:hAnsi="Times New Roman" w:eastAsia="宋体" w:cs="Times New Roman"/>
          <w:kern w:val="2"/>
          <w:sz w:val="24"/>
          <w:szCs w:val="24"/>
          <w:lang w:val="en-US" w:eastAsia="zh-CN" w:bidi="ar-SA"/>
          <w14:ligatures w14:val="standardContextual"/>
        </w:rPr>
      </w:r>
      <w:r>
        <w:rPr>
          <w:rFonts w:hint="default" w:ascii="Times New Roman" w:hAnsi="Times New Roman" w:eastAsia="宋体" w:cs="Times New Roman"/>
          <w:kern w:val="2"/>
          <w:sz w:val="24"/>
          <w:szCs w:val="24"/>
          <w:lang w:val="en-US" w:eastAsia="zh-CN" w:bidi="ar-SA"/>
          <w14:ligatures w14:val="standardContextual"/>
        </w:rPr>
      </w:r>
    </w:p>
    <w:p w14:paraId="01AEADAA">
      <w:pPr>
        <w:keepNext/>
        <w:keepLines/>
        <w:numPr>
          <w:ilvl w:val="1"/>
          <w:numId w:val="11"/>
        </w:numPr>
        <w:tabs>
          <w:tab w:val="left" w:pos="19"/>
        </w:tabs>
        <w:spacing w:before="140" w:after="140" w:line="360" w:lineRule="auto"/>
        <w:outlineLvl w:val="1"/>
        <w:rPr>
          <w:rFonts w:hint="eastAsia" w:ascii="黑体" w:hAnsi="黑体" w:eastAsia="黑体" w:cs="黑体"/>
          <w:sz w:val="28"/>
          <w:szCs w:val="32"/>
          <w:lang w:val="en-US" w:eastAsia="zh-CN"/>
        </w:rPr>
      </w:pPr>
      <w:bookmarkStart w:id="4" w:name="_Toc18778"/>
      <w:bookmarkStart w:id="5" w:name="_Ref8741"/>
      <w:bookmarkStart w:id="6" w:name="_Toc22801"/>
      <w:r>
        <w:rPr>
          <w:rFonts w:hint="eastAsia" w:ascii="黑体" w:hAnsi="黑体" w:eastAsia="黑体" w:cs="黑体"/>
          <w:sz w:val="28"/>
          <w:szCs w:val="32"/>
          <w:lang w:val="en-US" w:eastAsia="zh-CN"/>
        </w:rPr>
        <w:t>建设内容</w:t>
      </w:r>
      <w:bookmarkEnd w:id="4"/>
      <w:bookmarkEnd w:id="5"/>
      <w:bookmarkEnd w:id="6"/>
    </w:p>
    <w:p w14:paraId="4279C183">
      <w:pPr>
        <w:widowControl w:val="0"/>
        <w:bidi w:val="0"/>
        <w:spacing w:after="2" w:line="300" w:lineRule="auto"/>
        <w:ind w:firstLineChars="200" w:firstLine="480"/>
        <w:rPr>
          <w:rFonts w:hint="eastAsia" w:ascii="Times New Roman" w:hAnsi="Times New Roman" w:eastAsia="等线" w:cs="Times New Roman"/>
          <w:kern w:val="2"/>
          <w:sz w:val="24"/>
          <w:szCs w:val="24"/>
          <w:lang w:val="en-US" w:eastAsia="zh-CN" w:bidi="ar-SA"/>
          <w14:ligatures w14:val="standardContextual"/>
        </w:rPr>
      </w:pPr>
      <w:r>
        <w:rPr>
          <w:rFonts w:hint="default" w:ascii="仿宋" w:hAnsi="仿宋" w:eastAsia="仿宋" w:cs="Times New Roman"/>
          <w:b w:val="0"/>
          <w:kern w:val="2"/>
          <w:sz w:val="24"/>
          <w:szCs w:val="24"/>
          <w:lang w:val="en-US" w:eastAsia="zh-CN" w:bidi="ar-SA"/>
          <w14:ligatures w14:val="standardContextual"/>
        </w:rPr>
        <w:t>本项目建设内容主要覆盖电子海图显示与信息系统相关软件能力建设，功能范围包括海图综合态势展示、AIS/雷达等目标信息的处理与显示、航线规划、安全等深线与水深告警、航行监控导航与安全预警、个性化设置需求、基础平台与架构要求、数据维护与合规等模块，并结合性能、质量、安全、接口、部署、培训和售后等要求形成完整技术方案。商务侧重点包括1.交付（服务）时间：合同签订后，以需求单位通知进场时间为准，进场后2个月内交货安装调试完毕，并完成系统的集成、部署、联调、上线运行。；2.交付（服务）地点：郑州市内甲方指定地点。；3.交付（服务）方式：供应商完成运输、安装、调试等工作。；1.自软件验收合格之日起，软件质保期为24个月。；2.在质保期内，中标供应商按照有关法律、法规和合同约定，承担软件维护责任。中标供应商对提供的软件在质保期内，因产品质量而导致的缺陷，必须免费提供升级服务，因此导致的损失，采购单位有权向中标供应商追偿。。</w:t>
      </w:r>
      <w:r>
        <w:rPr>
          <w:rFonts w:hint="eastAsia" w:ascii="Times New Roman" w:hAnsi="Times New Roman" w:eastAsia="宋体" w:cs="Times New Roman"/>
          <w:kern w:val="2"/>
          <w:sz w:val="24"/>
          <w:szCs w:val="24"/>
          <w:lang w:val="en-US" w:eastAsia="zh-CN" w:bidi="ar-SA"/>
          <w14:ligatures w14:val="standardContextual"/>
        </w:rPr>
      </w:r>
      <w:r>
        <w:rPr>
          <w:rFonts w:hint="default" w:ascii="Times New Roman" w:hAnsi="Times New Roman" w:eastAsia="宋体" w:cs="Times New Roman"/>
          <w:kern w:val="2"/>
          <w:sz w:val="24"/>
          <w:szCs w:val="24"/>
          <w:lang w:val="en-US" w:eastAsia="zh-CN" w:bidi="ar-SA"/>
          <w14:ligatures w14:val="standardContextual"/>
        </w:rPr>
      </w:r>
    </w:p>
    <w:p w14:paraId="18B5BD15">
      <w:pPr>
        <w:keepNext/>
        <w:keepLines/>
        <w:numPr>
          <w:ilvl w:val="1"/>
          <w:numId w:val="11"/>
        </w:numPr>
        <w:tabs>
          <w:tab w:val="left" w:pos="19"/>
        </w:tabs>
        <w:spacing w:before="140" w:after="140" w:line="360" w:lineRule="auto"/>
        <w:outlineLvl w:val="1"/>
        <w:rPr>
          <w:rFonts w:hint="eastAsia" w:ascii="黑体" w:hAnsi="黑体" w:eastAsia="黑体" w:cs="黑体"/>
          <w:sz w:val="28"/>
          <w:szCs w:val="32"/>
          <w:lang w:val="en-US" w:eastAsia="zh-CN"/>
        </w:rPr>
      </w:pPr>
      <w:bookmarkStart w:id="7" w:name="_Toc13326"/>
      <w:bookmarkStart w:id="8" w:name="_Ref3127"/>
      <w:bookmarkStart w:id="9" w:name="_Ref1416"/>
      <w:bookmarkStart w:id="10" w:name="_Toc2684"/>
      <w:r>
        <w:rPr>
          <w:rFonts w:hint="eastAsia" w:ascii="黑体" w:hAnsi="黑体" w:eastAsia="黑体" w:cs="黑体"/>
          <w:sz w:val="28"/>
          <w:szCs w:val="32"/>
          <w:lang w:val="en-US" w:eastAsia="zh-CN"/>
        </w:rPr>
        <w:t>编写依据</w:t>
      </w:r>
      <w:bookmarkEnd w:id="7"/>
      <w:bookmarkEnd w:id="8"/>
      <w:bookmarkEnd w:id="9"/>
      <w:bookmarkEnd w:id="10"/>
    </w:p>
    <w:p w14:paraId="79A0DB48">
      <w:pPr>
        <w:widowControl w:val="0"/>
        <w:bidi w:val="0"/>
        <w:spacing w:after="2" w:line="360" w:lineRule="auto"/>
        <w:ind w:firstLine="480" w:firstLineChars="200"/>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引用规范和标准如下所示。</w:t>
      </w:r>
    </w:p>
    <w:p w14:paraId="6ECA54C5">
      <w:pPr>
        <w:numPr>
          <w:ilvl w:val="0"/>
          <w:numId w:val="12"/>
        </w:numPr>
        <w:spacing w:after="0" w:line="240" w:lineRule="auto"/>
        <w:ind w:left="425" w:leftChars="0" w:hanging="425" w:firstLineChars="0"/>
        <w:jc w:val="center"/>
        <w:rPr>
          <w:rFonts w:hint="default" w:ascii="Times New Roman" w:hAnsi="Times New Roman" w:eastAsia="宋体" w:cs="Times New Roman"/>
          <w:color w:val="auto"/>
          <w:sz w:val="24"/>
          <w:szCs w:val="24"/>
          <w:lang w:val="en-US" w:eastAsia="zh-CN"/>
          <w14:ligatures w14:val="none"/>
        </w:rPr>
      </w:pPr>
      <w:r>
        <w:rPr>
          <w:rFonts w:hint="eastAsia" w:ascii="Times New Roman" w:hAnsi="Times New Roman" w:eastAsia="宋体" w:cs="Times New Roman"/>
          <w:color w:val="auto"/>
          <w:sz w:val="24"/>
          <w:szCs w:val="24"/>
          <w:lang w:val="en-US" w:eastAsia="zh-CN"/>
          <w14:ligatures w14:val="none"/>
        </w:rPr>
        <w:t>参照表</w:t>
      </w:r>
    </w:p>
    <w:tbl>
      <w:tblPr>
        <w:tblStyle w:val="25"/>
        <w:tblW w:w="5000" w:type="pct"/>
        <w:jc w:val="center"/>
        <w:tblLayout w:type="fixed"/>
        <w:tblCellMar>
          <w:top w:w="0" w:type="dxa"/>
          <w:left w:w="108" w:type="dxa"/>
          <w:bottom w:w="0" w:type="dxa"/>
          <w:right w:w="108" w:type="dxa"/>
        </w:tblCellMar>
      </w:tblPr>
      <w:tblGrid>
        <w:gridCol w:w="745"/>
        <w:gridCol w:w="2242"/>
        <w:gridCol w:w="4570"/>
        <w:gridCol w:w="965"/>
      </w:tblGrid>
      <w:tr w14:paraId="40F6FC99">
        <w:tblPrEx>
          <w:tblCellMar>
            <w:top w:w="0" w:type="dxa"/>
            <w:left w:w="108" w:type="dxa"/>
            <w:bottom w:w="0" w:type="dxa"/>
            <w:right w:w="108" w:type="dxa"/>
          </w:tblCellMar>
        </w:tblPrEx>
        <w:trPr>
          <w:trHeight w:val="600" w:hRule="atLeast"/>
          <w:tblHeader/>
          <w:jc w:val="center"/>
        </w:trPr>
        <w:tc>
          <w:tcPr>
            <w:tcW w:w="437" w:type="pct"/>
            <w:tcBorders>
              <w:top w:val="single" w:color="000000" w:sz="12" w:space="0"/>
              <w:left w:val="single" w:color="000000" w:sz="12" w:space="0"/>
              <w:bottom w:val="single" w:color="000000" w:sz="12" w:space="0"/>
              <w:right w:val="single" w:color="000000" w:sz="8" w:space="0"/>
            </w:tcBorders>
            <w:vAlign w:val="center"/>
          </w:tcPr>
          <w:p w14:paraId="7B362AF5">
            <w:pPr>
              <w:widowControl/>
              <w:spacing w:after="0" w:line="240" w:lineRule="auto"/>
              <w:ind w:firstLine="0" w:firstLineChars="0"/>
              <w:jc w:val="left"/>
              <w:textAlignment w:val="center"/>
              <w:rPr>
                <w:rFonts w:ascii="Times New Roman" w:hAnsi="Times New Roman" w:eastAsia="宋体" w:cs="Times New Roman"/>
                <w:b/>
                <w:bCs/>
                <w:szCs w:val="24"/>
                <w:lang w:bidi="ar"/>
                <w14:ligatures w14:val="none"/>
              </w:rPr>
            </w:pPr>
            <w:bookmarkStart w:id="11" w:name="_Hlk205283058"/>
            <w:r>
              <w:rPr>
                <w:rFonts w:hint="eastAsia" w:ascii="Times New Roman" w:hAnsi="Times New Roman" w:eastAsia="宋体" w:cs="Times New Roman"/>
                <w:b/>
                <w:bCs/>
                <w:szCs w:val="24"/>
                <w:lang w:bidi="ar"/>
                <w14:ligatures w14:val="none"/>
              </w:rPr>
              <w:t>序 号</w:t>
            </w:r>
          </w:p>
        </w:tc>
        <w:tc>
          <w:tcPr>
            <w:tcW w:w="1315" w:type="pct"/>
            <w:tcBorders>
              <w:top w:val="single" w:color="000000" w:sz="12" w:space="0"/>
              <w:left w:val="nil"/>
              <w:bottom w:val="single" w:color="000000" w:sz="12" w:space="0"/>
              <w:right w:val="single" w:color="000000" w:sz="8" w:space="0"/>
            </w:tcBorders>
            <w:vAlign w:val="center"/>
          </w:tcPr>
          <w:p w14:paraId="4D5EC2C8">
            <w:pPr>
              <w:widowControl/>
              <w:spacing w:after="0" w:line="240" w:lineRule="auto"/>
              <w:ind w:firstLine="0" w:firstLineChars="0"/>
              <w:jc w:val="left"/>
              <w:textAlignment w:val="center"/>
              <w:rPr>
                <w:rFonts w:ascii="Times New Roman" w:hAnsi="Times New Roman" w:eastAsia="宋体" w:cs="Times New Roman"/>
                <w:b/>
                <w:bCs/>
                <w:szCs w:val="24"/>
                <w:lang w:bidi="ar"/>
                <w14:ligatures w14:val="none"/>
              </w:rPr>
            </w:pPr>
            <w:r>
              <w:rPr>
                <w:rFonts w:hint="eastAsia" w:ascii="Times New Roman" w:hAnsi="Times New Roman" w:eastAsia="宋体" w:cs="Times New Roman"/>
                <w:b/>
                <w:bCs/>
                <w:szCs w:val="24"/>
                <w:lang w:bidi="ar"/>
                <w14:ligatures w14:val="none"/>
              </w:rPr>
              <w:t>标  识</w:t>
            </w:r>
          </w:p>
        </w:tc>
        <w:tc>
          <w:tcPr>
            <w:tcW w:w="2681" w:type="pct"/>
            <w:tcBorders>
              <w:top w:val="single" w:color="000000" w:sz="12" w:space="0"/>
              <w:left w:val="nil"/>
              <w:bottom w:val="single" w:color="000000" w:sz="12" w:space="0"/>
              <w:right w:val="single" w:color="000000" w:sz="8" w:space="0"/>
            </w:tcBorders>
            <w:vAlign w:val="center"/>
          </w:tcPr>
          <w:p w14:paraId="05B1D7D9">
            <w:pPr>
              <w:widowControl/>
              <w:spacing w:after="0" w:line="240" w:lineRule="auto"/>
              <w:ind w:firstLine="0" w:firstLineChars="0"/>
              <w:jc w:val="left"/>
              <w:textAlignment w:val="center"/>
              <w:rPr>
                <w:rFonts w:ascii="Times New Roman" w:hAnsi="Times New Roman" w:eastAsia="宋体" w:cs="Times New Roman"/>
                <w:b/>
                <w:bCs/>
                <w:szCs w:val="24"/>
                <w:lang w:bidi="ar"/>
                <w14:ligatures w14:val="none"/>
              </w:rPr>
            </w:pPr>
            <w:r>
              <w:rPr>
                <w:rFonts w:hint="eastAsia" w:ascii="Times New Roman" w:hAnsi="Times New Roman" w:eastAsia="宋体" w:cs="Times New Roman"/>
                <w:b/>
                <w:bCs/>
                <w:szCs w:val="24"/>
                <w:lang w:bidi="ar"/>
                <w14:ligatures w14:val="none"/>
              </w:rPr>
              <w:t>名  称</w:t>
            </w:r>
          </w:p>
        </w:tc>
        <w:tc>
          <w:tcPr>
            <w:tcW w:w="566" w:type="pct"/>
            <w:tcBorders>
              <w:top w:val="single" w:color="000000" w:sz="12" w:space="0"/>
              <w:left w:val="nil"/>
              <w:bottom w:val="single" w:color="000000" w:sz="12" w:space="0"/>
              <w:right w:val="single" w:color="000000" w:sz="12" w:space="0"/>
            </w:tcBorders>
            <w:vAlign w:val="center"/>
          </w:tcPr>
          <w:p w14:paraId="2A76FC5C">
            <w:pPr>
              <w:widowControl/>
              <w:spacing w:after="0" w:line="240" w:lineRule="auto"/>
              <w:ind w:firstLine="0" w:firstLineChars="0"/>
              <w:jc w:val="left"/>
              <w:textAlignment w:val="center"/>
              <w:rPr>
                <w:rFonts w:ascii="Times New Roman" w:hAnsi="Times New Roman" w:eastAsia="宋体" w:cs="Times New Roman"/>
                <w:b/>
                <w:bCs/>
                <w:szCs w:val="24"/>
                <w:lang w:bidi="ar"/>
                <w14:ligatures w14:val="none"/>
              </w:rPr>
            </w:pPr>
            <w:r>
              <w:rPr>
                <w:rFonts w:hint="eastAsia" w:ascii="Times New Roman" w:hAnsi="Times New Roman" w:eastAsia="宋体" w:cs="Times New Roman"/>
                <w:b/>
                <w:bCs/>
                <w:szCs w:val="24"/>
                <w:lang w:bidi="ar"/>
                <w14:ligatures w14:val="none"/>
              </w:rPr>
              <w:t>版 本</w:t>
            </w:r>
          </w:p>
        </w:tc>
      </w:tr>
      <w:tr w14:paraId="39F07F3A">
        <w:tblPrEx>
          <w:tblCellMar>
            <w:top w:w="0" w:type="dxa"/>
            <w:left w:w="108" w:type="dxa"/>
            <w:bottom w:w="0" w:type="dxa"/>
            <w:right w:w="108" w:type="dxa"/>
          </w:tblCellMar>
        </w:tblPrEx>
        <w:trPr>
          <w:trHeight w:val="600" w:hRule="atLeast"/>
          <w:jc w:val="center"/>
        </w:trPr>
        <w:tc>
          <w:tcPr>
            <w:tcW w:w="437" w:type="pct"/>
            <w:tcBorders>
              <w:top w:val="single" w:color="000000" w:sz="12" w:space="0"/>
              <w:left w:val="single" w:color="000000" w:sz="12" w:space="0"/>
              <w:bottom w:val="single" w:color="000000" w:sz="4" w:space="0"/>
              <w:right w:val="single" w:color="000000" w:sz="4" w:space="0"/>
            </w:tcBorders>
            <w:vAlign w:val="center"/>
          </w:tcPr>
          <w:p w14:paraId="3D1B8D4A">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12" w:space="0"/>
              <w:left w:val="single" w:color="000000" w:sz="4" w:space="0"/>
              <w:bottom w:val="single" w:color="000000" w:sz="4" w:space="0"/>
              <w:right w:val="single" w:color="000000" w:sz="4" w:space="0"/>
            </w:tcBorders>
            <w:vAlign w:val="center"/>
          </w:tcPr>
          <w:p w14:paraId="1808E8AC">
            <w:pPr>
              <w:widowControl/>
              <w:spacing w:after="0" w:line="240" w:lineRule="auto"/>
              <w:ind w:firstLine="0" w:firstLineChars="0"/>
              <w:jc w:val="left"/>
              <w:textAlignment w:val="center"/>
              <w:rPr>
                <w:rFonts w:hint="eastAsia" w:ascii="Times New Roman" w:hAnsi="Times New Roman" w:eastAsia="宋体" w:cs="Times New Roman"/>
                <w:szCs w:val="24"/>
                <w:lang w:val="en-US" w:eastAsia="zh-CN" w:bidi="ar"/>
                <w14:ligatures w14:val="none"/>
              </w:rPr>
            </w:pPr>
            <w:r>
              <w:rPr>
                <w:rFonts w:hint="eastAsia" w:eastAsia="宋体" w:cs="Times New Roman"/>
                <w:szCs w:val="24"/>
                <w:lang w:val="en-US" w:eastAsia="zh-CN" w:bidi="ar"/>
                <w14:ligatures w14:val="none"/>
              </w:rPr>
              <w:t>/</w:t>
            </w:r>
          </w:p>
        </w:tc>
        <w:tc>
          <w:tcPr>
            <w:tcW w:w="2681" w:type="pct"/>
            <w:tcBorders>
              <w:top w:val="single" w:color="000000" w:sz="12" w:space="0"/>
              <w:left w:val="single" w:color="000000" w:sz="4" w:space="0"/>
              <w:bottom w:val="single" w:color="000000" w:sz="4" w:space="0"/>
              <w:right w:val="single" w:color="000000" w:sz="4" w:space="0"/>
            </w:tcBorders>
            <w:vAlign w:val="center"/>
          </w:tcPr>
          <w:p>
            <w:r>
              <w:t>电子海图显示与信息系统技术要求</w:t>
            </w:r>
          </w:p>
        </w:tc>
        <w:tc>
          <w:tcPr>
            <w:tcW w:w="566" w:type="pct"/>
            <w:tcBorders>
              <w:top w:val="single" w:color="000000" w:sz="12" w:space="0"/>
              <w:left w:val="single" w:color="000000" w:sz="4" w:space="0"/>
              <w:bottom w:val="single" w:color="000000" w:sz="4" w:space="0"/>
              <w:right w:val="single" w:color="000000" w:sz="12" w:space="0"/>
            </w:tcBorders>
            <w:vAlign w:val="center"/>
          </w:tcPr>
          <w:p w14:paraId="2787D4C4">
            <w:pPr>
              <w:widowControl/>
              <w:spacing w:after="0" w:line="240" w:lineRule="auto"/>
              <w:ind w:firstLine="0" w:firstLineChars="0"/>
              <w:jc w:val="left"/>
              <w:textAlignment w:val="center"/>
              <w:rPr>
                <w:rFonts w:hint="eastAsia" w:ascii="Times New Roman" w:hAnsi="Times New Roman" w:eastAsia="宋体" w:cs="Times New Roman"/>
                <w:szCs w:val="24"/>
                <w:lang w:val="en-US" w:eastAsia="zh-CN" w:bidi="ar"/>
                <w14:ligatures w14:val="none"/>
              </w:rPr>
            </w:pPr>
            <w:r>
              <w:rPr>
                <w:rFonts w:hint="eastAsia" w:eastAsia="宋体" w:cs="Times New Roman"/>
                <w:szCs w:val="24"/>
                <w:lang w:val="en-US" w:eastAsia="zh-CN" w:bidi="ar"/>
                <w14:ligatures w14:val="none"/>
              </w:rPr>
              <w:t>/</w:t>
            </w:r>
          </w:p>
        </w:tc>
      </w:tr>
      <w:tr w14:paraId="4D68CABA">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6D366A3">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697274AE">
            <w:pPr>
              <w:widowControl/>
              <w:spacing w:after="0" w:line="240" w:lineRule="auto"/>
              <w:ind w:firstLine="0" w:firstLineChars="0"/>
              <w:jc w:val="left"/>
              <w:textAlignment w:val="center"/>
              <w:rPr>
                <w:rFonts w:hint="eastAsia" w:ascii="Times New Roman" w:hAnsi="Times New Roman" w:eastAsia="宋体" w:cs="Times New Roman"/>
                <w:szCs w:val="24"/>
                <w:lang w:val="en-US" w:eastAsia="zh-CN" w:bidi="ar"/>
                <w14:ligatures w14:val="none"/>
              </w:rPr>
            </w:pPr>
            <w:r>
              <w:rPr>
                <w:rFonts w:hint="eastAsia" w:eastAsia="宋体" w:cs="Times New Roman"/>
                <w:szCs w:val="24"/>
                <w:lang w:val="en-US" w:eastAsia="zh-CN" w:bidi="ar"/>
                <w14:ligatures w14:val="none"/>
              </w:rPr>
              <w:t>/</w:t>
            </w:r>
          </w:p>
        </w:tc>
        <w:tc>
          <w:tcPr>
            <w:tcW w:w="2681" w:type="pct"/>
            <w:tcBorders>
              <w:top w:val="single" w:color="000000" w:sz="4" w:space="0"/>
              <w:left w:val="single" w:color="000000" w:sz="4" w:space="0"/>
              <w:bottom w:val="single" w:color="000000" w:sz="4" w:space="0"/>
              <w:right w:val="single" w:color="000000" w:sz="4" w:space="0"/>
            </w:tcBorders>
            <w:vAlign w:val="center"/>
          </w:tcPr>
          <w:p>
            <w:r>
              <w:t>电子海图显示与信息系统招标文件</w:t>
            </w:r>
          </w:p>
        </w:tc>
        <w:tc>
          <w:tcPr>
            <w:tcW w:w="566" w:type="pct"/>
            <w:tcBorders>
              <w:top w:val="single" w:color="000000" w:sz="4" w:space="0"/>
              <w:left w:val="single" w:color="000000" w:sz="4" w:space="0"/>
              <w:bottom w:val="single" w:color="000000" w:sz="4" w:space="0"/>
              <w:right w:val="single" w:color="000000" w:sz="12" w:space="0"/>
            </w:tcBorders>
            <w:vAlign w:val="center"/>
          </w:tcPr>
          <w:p w14:paraId="13A23367">
            <w:pPr>
              <w:widowControl/>
              <w:spacing w:after="0" w:line="240" w:lineRule="auto"/>
              <w:ind w:firstLine="0" w:firstLineChars="0"/>
              <w:jc w:val="left"/>
              <w:textAlignment w:val="center"/>
              <w:rPr>
                <w:rFonts w:hint="eastAsia" w:ascii="Times New Roman" w:hAnsi="Times New Roman" w:eastAsia="宋体" w:cs="Times New Roman"/>
                <w:szCs w:val="24"/>
                <w:lang w:val="en-US" w:eastAsia="zh-CN" w:bidi="ar"/>
                <w14:ligatures w14:val="none"/>
              </w:rPr>
            </w:pPr>
            <w:r>
              <w:rPr>
                <w:rFonts w:hint="eastAsia" w:eastAsia="宋体" w:cs="Times New Roman"/>
                <w:szCs w:val="24"/>
                <w:lang w:val="en-US" w:eastAsia="zh-CN" w:bidi="ar"/>
                <w14:ligatures w14:val="none"/>
              </w:rPr>
              <w:t>/</w:t>
            </w:r>
          </w:p>
        </w:tc>
      </w:tr>
      <w:tr w14:paraId="626689A9">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56C9DCED">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9C16562">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 9001C-2017</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B2A6F0D">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质量管理体系标准</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48CE91B3">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2017</w:t>
            </w:r>
          </w:p>
        </w:tc>
      </w:tr>
      <w:tr w14:paraId="7B61CAC4">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31A77FE8">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BCFE166">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5000B-2021</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D3CE67">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军用软件能力成熟度模型</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6834656F">
            <w:pPr>
              <w:widowControl/>
              <w:spacing w:after="0" w:line="240" w:lineRule="auto"/>
              <w:ind w:firstLine="0" w:firstLineChars="0"/>
              <w:jc w:val="left"/>
              <w:textAlignment w:val="center"/>
              <w:rPr>
                <w:rFonts w:hint="default" w:ascii="Times New Roman" w:hAnsi="Times New Roman" w:eastAsia="宋体" w:cs="Times New Roman"/>
                <w:szCs w:val="24"/>
                <w:lang w:val="en-US" w:eastAsia="zh-CN" w:bidi="ar"/>
                <w14:ligatures w14:val="none"/>
              </w:rPr>
            </w:pPr>
            <w:r>
              <w:rPr>
                <w:rFonts w:hint="eastAsia" w:eastAsia="宋体" w:cs="Times New Roman"/>
                <w:szCs w:val="24"/>
                <w:lang w:val="en-US" w:eastAsia="zh-CN" w:bidi="ar"/>
                <w14:ligatures w14:val="none"/>
              </w:rPr>
              <w:t>2021</w:t>
            </w:r>
          </w:p>
        </w:tc>
      </w:tr>
      <w:tr w14:paraId="2F976482">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3863FF3D">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E4BCEB6">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9530-2018</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15267E7">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军用关键软硬件自主可控评估通用准则</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341D014B">
            <w:pPr>
              <w:widowControl/>
              <w:spacing w:after="0" w:line="240" w:lineRule="auto"/>
              <w:ind w:firstLine="0" w:firstLineChars="0"/>
              <w:jc w:val="left"/>
              <w:textAlignment w:val="center"/>
              <w:rPr>
                <w:rFonts w:hint="default" w:eastAsia="宋体" w:cs="Times New Roman"/>
                <w:szCs w:val="24"/>
                <w:lang w:val="en-US" w:eastAsia="zh-CN" w:bidi="ar"/>
                <w14:ligatures w14:val="none"/>
              </w:rPr>
            </w:pPr>
            <w:r>
              <w:rPr>
                <w:rFonts w:hint="eastAsia" w:eastAsia="宋体" w:cs="Times New Roman"/>
                <w:szCs w:val="24"/>
                <w:lang w:val="en-US" w:eastAsia="zh-CN" w:bidi="ar"/>
                <w14:ligatures w14:val="none"/>
              </w:rPr>
              <w:t>2018</w:t>
            </w:r>
          </w:p>
        </w:tc>
      </w:tr>
      <w:tr w14:paraId="3BFDB88E">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4F2EE8DD">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019FEDB">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val="en-US" w:eastAsia="zh-CN" w:bidi="ar"/>
                <w14:ligatures w14:val="none"/>
              </w:rPr>
              <w:t>ZKB 2100-004-2022</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84D195">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val="en-US" w:eastAsia="zh-CN" w:bidi="ar"/>
                <w14:ligatures w14:val="none"/>
              </w:rPr>
              <w:t>武器ZB自主可控评估通用准则</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22662222">
            <w:pPr>
              <w:widowControl/>
              <w:spacing w:after="0" w:line="240" w:lineRule="auto"/>
              <w:ind w:firstLine="0" w:firstLineChars="0"/>
              <w:jc w:val="left"/>
              <w:textAlignment w:val="center"/>
              <w:rPr>
                <w:rFonts w:hint="default" w:eastAsia="宋体" w:cs="Times New Roman"/>
                <w:szCs w:val="24"/>
                <w:lang w:val="en-US" w:eastAsia="zh-CN" w:bidi="ar"/>
                <w14:ligatures w14:val="none"/>
              </w:rPr>
            </w:pPr>
            <w:r>
              <w:rPr>
                <w:rFonts w:hint="eastAsia" w:eastAsia="宋体" w:cs="Times New Roman"/>
                <w:szCs w:val="24"/>
                <w:lang w:val="en-US" w:eastAsia="zh-CN" w:bidi="ar"/>
                <w14:ligatures w14:val="none"/>
              </w:rPr>
              <w:t>2022</w:t>
            </w:r>
          </w:p>
        </w:tc>
      </w:tr>
      <w:tr w14:paraId="3AEE1D4B">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720F6BCE">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AAECF7A">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val="en-US" w:eastAsia="zh-CN" w:bidi="ar"/>
                <w14:ligatures w14:val="none"/>
              </w:rPr>
              <w:t>GJB439A-2013</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F84AD0">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val="en-US" w:eastAsia="zh-CN" w:bidi="ar"/>
                <w14:ligatures w14:val="none"/>
              </w:rPr>
              <w:t>军用软件质量保证通用要求</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68A2BB9F">
            <w:pPr>
              <w:widowControl/>
              <w:spacing w:after="0" w:line="240" w:lineRule="auto"/>
              <w:ind w:firstLine="0" w:firstLineChars="0"/>
              <w:jc w:val="left"/>
              <w:textAlignment w:val="center"/>
              <w:rPr>
                <w:rFonts w:hint="default" w:eastAsia="宋体" w:cs="Times New Roman"/>
                <w:szCs w:val="24"/>
                <w:lang w:val="en-US" w:eastAsia="zh-CN" w:bidi="ar"/>
                <w14:ligatures w14:val="none"/>
              </w:rPr>
            </w:pPr>
            <w:r>
              <w:rPr>
                <w:rFonts w:hint="eastAsia" w:eastAsia="宋体" w:cs="Times New Roman"/>
                <w:szCs w:val="24"/>
                <w:lang w:val="en-US" w:eastAsia="zh-CN" w:bidi="ar"/>
                <w14:ligatures w14:val="none"/>
              </w:rPr>
              <w:t>2013</w:t>
            </w:r>
          </w:p>
        </w:tc>
      </w:tr>
      <w:tr w14:paraId="09A6066F">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6D56799C">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5185CF2">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 841A-2024</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33DCAB8">
            <w:pPr>
              <w:widowControl/>
              <w:spacing w:after="0" w:line="240" w:lineRule="auto"/>
              <w:ind w:firstLine="0" w:firstLineChars="0"/>
              <w:jc w:val="left"/>
              <w:textAlignment w:val="center"/>
              <w:rPr>
                <w:rFonts w:hint="eastAsia" w:ascii="Times New Roman" w:hAnsi="Times New Roman" w:eastAsia="宋体" w:cs="宋体"/>
                <w:kern w:val="2"/>
                <w:sz w:val="24"/>
                <w:szCs w:val="24"/>
                <w:lang w:val="en-US" w:eastAsia="zh-CN" w:bidi="ar-SA"/>
                <w14:ligatures w14:val="none"/>
              </w:rPr>
            </w:pPr>
            <w:r>
              <w:rPr>
                <w:rFonts w:hint="eastAsia" w:ascii="Times New Roman" w:hAnsi="Times New Roman" w:eastAsia="宋体" w:cs="宋体"/>
                <w:szCs w:val="24"/>
                <w14:ligatures w14:val="none"/>
              </w:rPr>
              <w:t>故障报告、分析和纠正措施系统</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622CD56C">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2024</w:t>
            </w:r>
          </w:p>
        </w:tc>
      </w:tr>
      <w:tr w14:paraId="4546730F">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718BEC7F">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9C949E1">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 1406A-2021</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4B4614">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产品质量保证大纲要求</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0367CF3F">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2021</w:t>
            </w:r>
          </w:p>
        </w:tc>
      </w:tr>
      <w:tr w14:paraId="14C5AD14">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4041AF47">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B19A44E">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 2786A-2009</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D1D4C71">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军用软件开发通用要求</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4DDE5B15">
            <w:pPr>
              <w:widowControl/>
              <w:spacing w:after="0" w:line="240" w:lineRule="auto"/>
              <w:ind w:firstLine="0" w:firstLineChars="0"/>
              <w:jc w:val="left"/>
              <w:textAlignment w:val="center"/>
              <w:rPr>
                <w:rFonts w:hint="default" w:ascii="Times New Roman" w:hAnsi="Times New Roman" w:eastAsia="宋体" w:cs="Times New Roman"/>
                <w:kern w:val="2"/>
                <w:sz w:val="24"/>
                <w:szCs w:val="24"/>
                <w:lang w:val="en-US" w:eastAsia="zh-CN" w:bidi="ar"/>
                <w14:ligatures w14:val="none"/>
              </w:rPr>
            </w:pPr>
            <w:r>
              <w:rPr>
                <w:rFonts w:hint="eastAsia" w:eastAsia="宋体" w:cs="Times New Roman"/>
                <w:szCs w:val="24"/>
                <w:lang w:val="en-US" w:eastAsia="zh-CN" w:bidi="ar"/>
                <w14:ligatures w14:val="none"/>
              </w:rPr>
              <w:t>2009</w:t>
            </w:r>
          </w:p>
        </w:tc>
      </w:tr>
      <w:tr w14:paraId="2F810399">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AB7B20A">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130C519">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w:t>
            </w:r>
            <w:r>
              <w:rPr>
                <w:rFonts w:hint="eastAsia" w:ascii="Times New Roman" w:hAnsi="Times New Roman" w:eastAsia="宋体" w:cs="Times New Roman"/>
                <w:szCs w:val="24"/>
                <w:lang w:val="en-US" w:eastAsia="zh-CN" w:bidi="ar"/>
                <w14:ligatures w14:val="none"/>
              </w:rPr>
              <w:t xml:space="preserve"> </w:t>
            </w:r>
            <w:r>
              <w:rPr>
                <w:rFonts w:hint="eastAsia" w:ascii="Times New Roman" w:hAnsi="Times New Roman" w:eastAsia="宋体" w:cs="Times New Roman"/>
                <w:szCs w:val="24"/>
                <w:lang w:bidi="ar"/>
                <w14:ligatures w14:val="none"/>
              </w:rPr>
              <w:t>5235A-2021</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AD17FC2">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军用软件配置管理</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6A351C2C">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2021</w:t>
            </w:r>
          </w:p>
        </w:tc>
      </w:tr>
      <w:tr w14:paraId="1CBA3F1B">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353B9A2B">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F73B4CB">
            <w:pPr>
              <w:widowControl/>
              <w:spacing w:after="0" w:line="240" w:lineRule="auto"/>
              <w:ind w:firstLine="0" w:firstLineChars="0"/>
              <w:jc w:val="left"/>
              <w:textAlignment w:val="center"/>
              <w:rPr>
                <w:rFonts w:hint="default"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kern w:val="2"/>
                <w:sz w:val="24"/>
                <w:szCs w:val="24"/>
                <w:lang w:val="en-US" w:eastAsia="zh-CN" w:bidi="ar"/>
                <w14:ligatures w14:val="none"/>
              </w:rPr>
              <w:t>GJB 5711</w:t>
            </w:r>
            <w:r>
              <w:rPr>
                <w:rFonts w:hint="eastAsia" w:eastAsia="宋体" w:cs="Times New Roman"/>
                <w:kern w:val="2"/>
                <w:sz w:val="24"/>
                <w:szCs w:val="24"/>
                <w:lang w:val="en-US" w:eastAsia="zh-CN" w:bidi="ar"/>
                <w14:ligatures w14:val="none"/>
              </w:rPr>
              <w:t>A</w:t>
            </w:r>
            <w:r>
              <w:rPr>
                <w:rFonts w:hint="eastAsia" w:ascii="Times New Roman" w:hAnsi="Times New Roman" w:eastAsia="宋体" w:cs="Times New Roman"/>
                <w:kern w:val="2"/>
                <w:sz w:val="24"/>
                <w:szCs w:val="24"/>
                <w:lang w:val="en-US" w:eastAsia="zh-CN" w:bidi="ar"/>
                <w14:ligatures w14:val="none"/>
              </w:rPr>
              <w:t>-20</w:t>
            </w:r>
            <w:r>
              <w:rPr>
                <w:rFonts w:hint="eastAsia" w:eastAsia="宋体" w:cs="Times New Roman"/>
                <w:kern w:val="2"/>
                <w:sz w:val="24"/>
                <w:szCs w:val="24"/>
                <w:lang w:val="en-US" w:eastAsia="zh-CN" w:bidi="ar"/>
                <w14:ligatures w14:val="none"/>
              </w:rPr>
              <w:t>23</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8349411">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eastAsia="宋体" w:cs="Times New Roman"/>
                <w:kern w:val="2"/>
                <w:sz w:val="24"/>
                <w:szCs w:val="24"/>
                <w:lang w:val="en-US" w:eastAsia="zh-CN" w:bidi="ar"/>
                <w14:ligatures w14:val="none"/>
              </w:rPr>
              <w:t>装备</w:t>
            </w:r>
            <w:r>
              <w:rPr>
                <w:rFonts w:hint="eastAsia" w:ascii="Times New Roman" w:hAnsi="Times New Roman" w:eastAsia="宋体" w:cs="Times New Roman"/>
                <w:kern w:val="2"/>
                <w:sz w:val="24"/>
                <w:szCs w:val="24"/>
                <w:lang w:val="en-US" w:eastAsia="zh-CN" w:bidi="ar"/>
                <w14:ligatures w14:val="none"/>
              </w:rPr>
              <w:t>采购合同监管问题处理通用要求</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5E3A9DBA">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kern w:val="2"/>
                <w:sz w:val="24"/>
                <w:szCs w:val="24"/>
                <w:lang w:val="en-US" w:eastAsia="zh-CN" w:bidi="ar"/>
                <w14:ligatures w14:val="none"/>
              </w:rPr>
              <w:t>2006</w:t>
            </w:r>
          </w:p>
        </w:tc>
      </w:tr>
      <w:tr w14:paraId="392D33AA">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26B75B3">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DA8A8A2">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 8000-2013</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777AEF0">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军用软件研制能力等级要求</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74968E5C">
            <w:pPr>
              <w:widowControl/>
              <w:spacing w:after="0" w:line="240" w:lineRule="auto"/>
              <w:ind w:firstLine="0" w:firstLineChars="0"/>
              <w:jc w:val="left"/>
              <w:textAlignment w:val="center"/>
              <w:rPr>
                <w:rFonts w:hint="default"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2013</w:t>
            </w:r>
          </w:p>
        </w:tc>
      </w:tr>
      <w:tr w14:paraId="218C40D2">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285643B">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23B68BF0">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3206B-2022</w:t>
            </w:r>
          </w:p>
        </w:tc>
        <w:tc>
          <w:tcPr>
            <w:tcW w:w="2681" w:type="pct"/>
            <w:tcBorders>
              <w:top w:val="single" w:color="000000" w:sz="4" w:space="0"/>
              <w:left w:val="single" w:color="000000" w:sz="4" w:space="0"/>
              <w:bottom w:val="single" w:color="000000" w:sz="4" w:space="0"/>
              <w:right w:val="single" w:color="000000" w:sz="4" w:space="0"/>
            </w:tcBorders>
            <w:vAlign w:val="center"/>
          </w:tcPr>
          <w:p w14:paraId="78CE75DD">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技术状态管理</w:t>
            </w:r>
          </w:p>
        </w:tc>
        <w:tc>
          <w:tcPr>
            <w:tcW w:w="566" w:type="pct"/>
            <w:tcBorders>
              <w:top w:val="single" w:color="000000" w:sz="4" w:space="0"/>
              <w:left w:val="single" w:color="000000" w:sz="4" w:space="0"/>
              <w:bottom w:val="single" w:color="000000" w:sz="4" w:space="0"/>
              <w:right w:val="single" w:color="000000" w:sz="12" w:space="0"/>
            </w:tcBorders>
            <w:vAlign w:val="center"/>
          </w:tcPr>
          <w:p w14:paraId="6A2B87C6">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2022</w:t>
            </w:r>
          </w:p>
        </w:tc>
      </w:tr>
      <w:tr w14:paraId="08736E67">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0AA1AB0C">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EC70090">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 3872A-2022</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E35EC5E">
            <w:pPr>
              <w:widowControl/>
              <w:spacing w:after="0" w:line="240" w:lineRule="auto"/>
              <w:ind w:firstLine="0" w:firstLineChars="0"/>
              <w:jc w:val="left"/>
              <w:textAlignment w:val="center"/>
              <w:rPr>
                <w:rFonts w:hint="eastAsia" w:ascii="Times New Roman" w:hAnsi="Times New Roman" w:eastAsia="宋体" w:cs="宋体"/>
                <w:kern w:val="2"/>
                <w:sz w:val="24"/>
                <w:szCs w:val="24"/>
                <w:lang w:val="en-US" w:eastAsia="zh-CN" w:bidi="ar-SA"/>
                <w14:ligatures w14:val="none"/>
              </w:rPr>
            </w:pPr>
            <w:r>
              <w:rPr>
                <w:rFonts w:hint="eastAsia" w:ascii="Times New Roman" w:hAnsi="Times New Roman" w:eastAsia="宋体" w:cs="宋体"/>
                <w:szCs w:val="24"/>
                <w14:ligatures w14:val="none"/>
              </w:rPr>
              <w:t>装备综合保障通用要求</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59997621">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2022</w:t>
            </w:r>
          </w:p>
        </w:tc>
      </w:tr>
      <w:tr w14:paraId="2044691C">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65C280F0">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568633DB">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368B-2009</w:t>
            </w:r>
          </w:p>
        </w:tc>
        <w:tc>
          <w:tcPr>
            <w:tcW w:w="2681" w:type="pct"/>
            <w:tcBorders>
              <w:top w:val="single" w:color="000000" w:sz="4" w:space="0"/>
              <w:left w:val="single" w:color="000000" w:sz="4" w:space="0"/>
              <w:bottom w:val="single" w:color="000000" w:sz="4" w:space="0"/>
              <w:right w:val="single" w:color="000000" w:sz="4" w:space="0"/>
            </w:tcBorders>
            <w:vAlign w:val="center"/>
          </w:tcPr>
          <w:p w14:paraId="572C3AF5">
            <w:pPr>
              <w:widowControl/>
              <w:spacing w:after="0" w:line="240" w:lineRule="auto"/>
              <w:ind w:firstLine="0" w:firstLineChars="0"/>
              <w:jc w:val="left"/>
              <w:textAlignment w:val="center"/>
              <w:rPr>
                <w:rFonts w:hint="eastAsia" w:ascii="Times New Roman" w:hAnsi="Times New Roman" w:eastAsia="宋体" w:cs="宋体"/>
                <w:szCs w:val="24"/>
                <w14:ligatures w14:val="none"/>
              </w:rPr>
            </w:pPr>
            <w:r>
              <w:rPr>
                <w:rFonts w:hint="eastAsia" w:ascii="Times New Roman" w:hAnsi="Times New Roman" w:eastAsia="宋体" w:cs="宋体"/>
                <w:szCs w:val="24"/>
                <w14:ligatures w14:val="none"/>
              </w:rPr>
              <w:t>装备维修性工作通用要求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369252A5">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2009</w:t>
            </w:r>
          </w:p>
        </w:tc>
      </w:tr>
      <w:tr w14:paraId="27AD721A">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5F9490D7">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672B29DB">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450B-2021</w:t>
            </w:r>
          </w:p>
        </w:tc>
        <w:tc>
          <w:tcPr>
            <w:tcW w:w="2681" w:type="pct"/>
            <w:tcBorders>
              <w:top w:val="single" w:color="000000" w:sz="4" w:space="0"/>
              <w:left w:val="single" w:color="000000" w:sz="4" w:space="0"/>
              <w:bottom w:val="single" w:color="000000" w:sz="4" w:space="0"/>
              <w:right w:val="single" w:color="000000" w:sz="4" w:space="0"/>
            </w:tcBorders>
            <w:vAlign w:val="center"/>
          </w:tcPr>
          <w:p w14:paraId="44196FD8">
            <w:pPr>
              <w:widowControl/>
              <w:spacing w:after="0" w:line="240" w:lineRule="auto"/>
              <w:ind w:firstLine="0" w:firstLineChars="0"/>
              <w:jc w:val="left"/>
              <w:textAlignment w:val="center"/>
              <w:rPr>
                <w:rFonts w:hint="eastAsia" w:ascii="Times New Roman" w:hAnsi="Times New Roman" w:eastAsia="宋体" w:cs="宋体"/>
                <w:szCs w:val="24"/>
                <w14:ligatures w14:val="none"/>
              </w:rPr>
            </w:pPr>
            <w:r>
              <w:rPr>
                <w:rFonts w:hint="eastAsia" w:ascii="Times New Roman" w:hAnsi="Times New Roman" w:eastAsia="宋体" w:cs="宋体"/>
                <w:szCs w:val="24"/>
                <w14:ligatures w14:val="none"/>
              </w:rPr>
              <w:t>装备可靠性工作通用要求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4BDFD8D0">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2021</w:t>
            </w:r>
          </w:p>
        </w:tc>
      </w:tr>
      <w:tr w14:paraId="5FD053F7">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743135E3">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5C3C8289">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900B-2024</w:t>
            </w:r>
          </w:p>
        </w:tc>
        <w:tc>
          <w:tcPr>
            <w:tcW w:w="2681" w:type="pct"/>
            <w:tcBorders>
              <w:top w:val="single" w:color="000000" w:sz="4" w:space="0"/>
              <w:left w:val="single" w:color="000000" w:sz="4" w:space="0"/>
              <w:bottom w:val="single" w:color="000000" w:sz="4" w:space="0"/>
              <w:right w:val="single" w:color="000000" w:sz="4" w:space="0"/>
            </w:tcBorders>
            <w:vAlign w:val="center"/>
          </w:tcPr>
          <w:p w14:paraId="4BFF1912">
            <w:pPr>
              <w:widowControl/>
              <w:spacing w:after="0" w:line="240" w:lineRule="auto"/>
              <w:ind w:firstLine="0" w:firstLineChars="0"/>
              <w:jc w:val="left"/>
              <w:textAlignment w:val="center"/>
              <w:rPr>
                <w:rFonts w:hint="eastAsia" w:ascii="Times New Roman" w:hAnsi="Times New Roman" w:eastAsia="宋体" w:cs="宋体"/>
                <w:szCs w:val="24"/>
                <w14:ligatures w14:val="none"/>
              </w:rPr>
            </w:pPr>
            <w:r>
              <w:rPr>
                <w:rFonts w:hint="eastAsia" w:ascii="Times New Roman" w:hAnsi="Times New Roman" w:eastAsia="宋体" w:cs="宋体"/>
                <w:szCs w:val="24"/>
                <w14:ligatures w14:val="none"/>
              </w:rPr>
              <w:t>装备安全性工作通用要求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0E40C0CF">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2024</w:t>
            </w:r>
          </w:p>
        </w:tc>
      </w:tr>
      <w:tr w14:paraId="59080DCB">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304EB3DB">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4716EBCF">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2547B-2024</w:t>
            </w:r>
          </w:p>
        </w:tc>
        <w:tc>
          <w:tcPr>
            <w:tcW w:w="2681" w:type="pct"/>
            <w:tcBorders>
              <w:top w:val="single" w:color="000000" w:sz="4" w:space="0"/>
              <w:left w:val="single" w:color="000000" w:sz="4" w:space="0"/>
              <w:bottom w:val="single" w:color="000000" w:sz="4" w:space="0"/>
              <w:right w:val="single" w:color="000000" w:sz="4" w:space="0"/>
            </w:tcBorders>
            <w:vAlign w:val="center"/>
          </w:tcPr>
          <w:p w14:paraId="0B7428F8">
            <w:pPr>
              <w:widowControl/>
              <w:spacing w:after="0" w:line="240" w:lineRule="auto"/>
              <w:ind w:firstLine="0" w:firstLineChars="0"/>
              <w:jc w:val="left"/>
              <w:textAlignment w:val="center"/>
              <w:rPr>
                <w:rFonts w:hint="eastAsia" w:ascii="Times New Roman" w:hAnsi="Times New Roman" w:eastAsia="宋体" w:cs="宋体"/>
                <w:szCs w:val="24"/>
                <w14:ligatures w14:val="none"/>
              </w:rPr>
            </w:pPr>
            <w:r>
              <w:rPr>
                <w:rFonts w:hint="eastAsia" w:ascii="Times New Roman" w:hAnsi="Times New Roman" w:eastAsia="宋体" w:cs="宋体"/>
                <w:szCs w:val="24"/>
                <w14:ligatures w14:val="none"/>
              </w:rPr>
              <w:t>装备测试性工作通用要求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743069FB">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2024</w:t>
            </w:r>
          </w:p>
        </w:tc>
      </w:tr>
      <w:tr w14:paraId="77B692AC">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A3EF2FB">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F57AD57">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GJB 5880-2006</w:t>
            </w:r>
          </w:p>
        </w:tc>
        <w:tc>
          <w:tcPr>
            <w:tcW w:w="268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9D03C9B">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宋体"/>
                <w:szCs w:val="24"/>
                <w14:ligatures w14:val="none"/>
              </w:rPr>
              <w:t>软件配置管理</w:t>
            </w:r>
          </w:p>
        </w:tc>
        <w:tc>
          <w:tcPr>
            <w:tcW w:w="566" w:type="pct"/>
            <w:tcBorders>
              <w:top w:val="single" w:color="000000" w:sz="4" w:space="0"/>
              <w:left w:val="single" w:color="000000" w:sz="4" w:space="0"/>
              <w:bottom w:val="single" w:color="000000" w:sz="4" w:space="0"/>
              <w:right w:val="single" w:color="000000" w:sz="12" w:space="0"/>
            </w:tcBorders>
            <w:shd w:val="clear" w:color="auto" w:fill="auto"/>
            <w:vAlign w:val="center"/>
          </w:tcPr>
          <w:p w14:paraId="1305DF48">
            <w:pPr>
              <w:widowControl/>
              <w:spacing w:after="0" w:line="240" w:lineRule="auto"/>
              <w:ind w:firstLine="0" w:firstLineChars="0"/>
              <w:jc w:val="left"/>
              <w:textAlignment w:val="center"/>
              <w:rPr>
                <w:rFonts w:hint="eastAsia" w:ascii="Times New Roman" w:hAnsi="Times New Roman" w:eastAsia="宋体" w:cs="Times New Roman"/>
                <w:kern w:val="2"/>
                <w:sz w:val="24"/>
                <w:szCs w:val="24"/>
                <w:lang w:val="en-US" w:eastAsia="zh-CN" w:bidi="ar"/>
                <w14:ligatures w14:val="none"/>
              </w:rPr>
            </w:pPr>
            <w:r>
              <w:rPr>
                <w:rFonts w:hint="eastAsia" w:ascii="Times New Roman" w:hAnsi="Times New Roman" w:eastAsia="宋体" w:cs="Times New Roman"/>
                <w:szCs w:val="24"/>
                <w:lang w:bidi="ar"/>
                <w14:ligatures w14:val="none"/>
              </w:rPr>
              <w:t>2006</w:t>
            </w:r>
          </w:p>
        </w:tc>
      </w:tr>
      <w:tr w14:paraId="318854D3">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720ED1C">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453E16AE">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4239A-2022</w:t>
            </w:r>
          </w:p>
        </w:tc>
        <w:tc>
          <w:tcPr>
            <w:tcW w:w="2681" w:type="pct"/>
            <w:tcBorders>
              <w:top w:val="single" w:color="000000" w:sz="4" w:space="0"/>
              <w:left w:val="single" w:color="000000" w:sz="4" w:space="0"/>
              <w:bottom w:val="single" w:color="000000" w:sz="4" w:space="0"/>
              <w:right w:val="single" w:color="000000" w:sz="4" w:space="0"/>
            </w:tcBorders>
            <w:vAlign w:val="center"/>
          </w:tcPr>
          <w:p w14:paraId="023F05EF">
            <w:pPr>
              <w:widowControl/>
              <w:spacing w:after="0" w:line="240" w:lineRule="auto"/>
              <w:ind w:firstLine="0" w:firstLineChars="0"/>
              <w:jc w:val="left"/>
              <w:textAlignment w:val="center"/>
              <w:rPr>
                <w:rFonts w:hint="eastAsia" w:ascii="Times New Roman" w:hAnsi="Times New Roman" w:eastAsia="宋体" w:cs="宋体"/>
                <w:szCs w:val="24"/>
                <w14:ligatures w14:val="none"/>
              </w:rPr>
            </w:pPr>
            <w:r>
              <w:rPr>
                <w:rFonts w:hint="eastAsia" w:ascii="Times New Roman" w:hAnsi="Times New Roman" w:eastAsia="宋体" w:cs="宋体"/>
                <w:szCs w:val="24"/>
                <w14:ligatures w14:val="none"/>
              </w:rPr>
              <w:t>装备环境工程通用要求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394DE381">
            <w:pPr>
              <w:widowControl/>
              <w:spacing w:after="0" w:line="240" w:lineRule="auto"/>
              <w:ind w:firstLine="0" w:firstLineChars="0"/>
              <w:jc w:val="left"/>
              <w:textAlignment w:val="center"/>
              <w:rPr>
                <w:rFonts w:hint="eastAsia"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2022</w:t>
            </w:r>
          </w:p>
        </w:tc>
      </w:tr>
      <w:tr w14:paraId="7F33CAC7">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C452E30">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6EFA4FDA">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宋体"/>
                <w:bCs/>
                <w:szCs w:val="24"/>
                <w14:ligatures w14:val="none"/>
              </w:rPr>
              <w:t>GJB 1362A-2007</w:t>
            </w:r>
          </w:p>
        </w:tc>
        <w:tc>
          <w:tcPr>
            <w:tcW w:w="2681" w:type="pct"/>
            <w:tcBorders>
              <w:top w:val="single" w:color="000000" w:sz="4" w:space="0"/>
              <w:left w:val="single" w:color="000000" w:sz="4" w:space="0"/>
              <w:bottom w:val="single" w:color="000000" w:sz="4" w:space="0"/>
              <w:right w:val="single" w:color="000000" w:sz="4" w:space="0"/>
            </w:tcBorders>
            <w:vAlign w:val="center"/>
          </w:tcPr>
          <w:p w14:paraId="6883C85F">
            <w:pPr>
              <w:widowControl/>
              <w:spacing w:after="0" w:line="240" w:lineRule="auto"/>
              <w:ind w:firstLine="0" w:firstLineChars="0"/>
              <w:jc w:val="left"/>
              <w:textAlignment w:val="center"/>
              <w:rPr>
                <w:rFonts w:ascii="Times New Roman" w:hAnsi="Times New Roman" w:eastAsia="宋体" w:cs="宋体"/>
                <w:szCs w:val="24"/>
                <w14:ligatures w14:val="none"/>
              </w:rPr>
            </w:pPr>
            <w:r>
              <w:rPr>
                <w:rFonts w:hint="eastAsia" w:ascii="Times New Roman" w:hAnsi="Times New Roman" w:eastAsia="宋体" w:cs="宋体"/>
                <w:szCs w:val="24"/>
                <w14:ligatures w14:val="none"/>
              </w:rPr>
              <w:t>军工产品定型程序和要求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2E46D725">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宋体"/>
                <w:bCs/>
                <w:szCs w:val="24"/>
                <w14:ligatures w14:val="none"/>
              </w:rPr>
              <w:t>2007</w:t>
            </w:r>
          </w:p>
        </w:tc>
      </w:tr>
      <w:tr w14:paraId="5945C8F8">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30A8D03D">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57334BF1">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宋体"/>
                <w:bCs/>
                <w:szCs w:val="24"/>
                <w14:ligatures w14:val="none"/>
              </w:rPr>
              <w:t>GJB 6387-2008</w:t>
            </w:r>
          </w:p>
        </w:tc>
        <w:tc>
          <w:tcPr>
            <w:tcW w:w="2681" w:type="pct"/>
            <w:tcBorders>
              <w:top w:val="single" w:color="000000" w:sz="4" w:space="0"/>
              <w:left w:val="single" w:color="000000" w:sz="4" w:space="0"/>
              <w:bottom w:val="single" w:color="000000" w:sz="4" w:space="0"/>
              <w:right w:val="single" w:color="000000" w:sz="4" w:space="0"/>
            </w:tcBorders>
            <w:vAlign w:val="center"/>
          </w:tcPr>
          <w:p w14:paraId="41B9FF0C">
            <w:pPr>
              <w:widowControl/>
              <w:spacing w:after="0" w:line="240" w:lineRule="auto"/>
              <w:ind w:firstLine="0" w:firstLineChars="0"/>
              <w:jc w:val="left"/>
              <w:textAlignment w:val="center"/>
              <w:rPr>
                <w:rFonts w:ascii="Times New Roman" w:hAnsi="Times New Roman" w:eastAsia="宋体" w:cs="宋体"/>
                <w:szCs w:val="24"/>
                <w14:ligatures w14:val="none"/>
              </w:rPr>
            </w:pPr>
            <w:r>
              <w:rPr>
                <w:rFonts w:hint="eastAsia" w:ascii="Times New Roman" w:hAnsi="Times New Roman" w:eastAsia="宋体" w:cs="宋体"/>
                <w:szCs w:val="24"/>
                <w14:ligatures w14:val="none"/>
              </w:rPr>
              <w:t>武器装备研制项目专用规范编写规定</w:t>
            </w:r>
          </w:p>
        </w:tc>
        <w:tc>
          <w:tcPr>
            <w:tcW w:w="566" w:type="pct"/>
            <w:tcBorders>
              <w:top w:val="single" w:color="000000" w:sz="4" w:space="0"/>
              <w:left w:val="single" w:color="000000" w:sz="4" w:space="0"/>
              <w:bottom w:val="single" w:color="000000" w:sz="4" w:space="0"/>
              <w:right w:val="single" w:color="000000" w:sz="12" w:space="0"/>
            </w:tcBorders>
            <w:vAlign w:val="center"/>
          </w:tcPr>
          <w:p w14:paraId="2B2D202B">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宋体"/>
                <w:bCs/>
                <w:szCs w:val="24"/>
                <w14:ligatures w14:val="none"/>
              </w:rPr>
              <w:t>2008</w:t>
            </w:r>
          </w:p>
        </w:tc>
      </w:tr>
      <w:tr w14:paraId="6AC14A87">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68E1D492">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7ACD0A4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宋体"/>
                <w:bCs/>
                <w:szCs w:val="24"/>
                <w14:ligatures w14:val="none"/>
              </w:rPr>
              <w:t>GJB 907A-2006</w:t>
            </w:r>
          </w:p>
        </w:tc>
        <w:tc>
          <w:tcPr>
            <w:tcW w:w="2681" w:type="pct"/>
            <w:tcBorders>
              <w:top w:val="single" w:color="000000" w:sz="4" w:space="0"/>
              <w:left w:val="single" w:color="000000" w:sz="4" w:space="0"/>
              <w:bottom w:val="single" w:color="000000" w:sz="4" w:space="0"/>
              <w:right w:val="single" w:color="000000" w:sz="4" w:space="0"/>
            </w:tcBorders>
            <w:vAlign w:val="center"/>
          </w:tcPr>
          <w:p w14:paraId="4BA31DA6">
            <w:pPr>
              <w:widowControl/>
              <w:spacing w:after="0" w:line="240" w:lineRule="auto"/>
              <w:ind w:firstLine="0" w:firstLineChars="0"/>
              <w:jc w:val="left"/>
              <w:textAlignment w:val="center"/>
              <w:rPr>
                <w:rFonts w:ascii="Times New Roman" w:hAnsi="Times New Roman" w:eastAsia="宋体" w:cs="宋体"/>
                <w:szCs w:val="24"/>
                <w14:ligatures w14:val="none"/>
              </w:rPr>
            </w:pPr>
            <w:r>
              <w:rPr>
                <w:rFonts w:hint="eastAsia" w:ascii="Times New Roman" w:hAnsi="Times New Roman" w:eastAsia="宋体" w:cs="宋体"/>
                <w:szCs w:val="24"/>
                <w14:ligatures w14:val="none"/>
              </w:rPr>
              <w:t>产品质量评审</w:t>
            </w:r>
          </w:p>
        </w:tc>
        <w:tc>
          <w:tcPr>
            <w:tcW w:w="566" w:type="pct"/>
            <w:tcBorders>
              <w:top w:val="single" w:color="000000" w:sz="4" w:space="0"/>
              <w:left w:val="single" w:color="000000" w:sz="4" w:space="0"/>
              <w:bottom w:val="single" w:color="000000" w:sz="4" w:space="0"/>
              <w:right w:val="single" w:color="000000" w:sz="12" w:space="0"/>
            </w:tcBorders>
            <w:vAlign w:val="center"/>
          </w:tcPr>
          <w:p w14:paraId="58ACD3A2">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宋体"/>
                <w:bCs/>
                <w:szCs w:val="24"/>
                <w14:ligatures w14:val="none"/>
              </w:rPr>
              <w:t>2006</w:t>
            </w:r>
          </w:p>
        </w:tc>
      </w:tr>
      <w:tr w14:paraId="369FFA92">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B2CCA43">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6E8FB905">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ascii="Times New Roman" w:hAnsi="Times New Roman" w:eastAsia="宋体" w:cs="宋体"/>
                <w:kern w:val="0"/>
                <w:szCs w:val="24"/>
                <w14:ligatures w14:val="none"/>
              </w:rPr>
              <w:t>GJB</w:t>
            </w:r>
            <w:r>
              <w:rPr>
                <w:rFonts w:hint="eastAsia" w:ascii="Times New Roman" w:hAnsi="Times New Roman" w:eastAsia="宋体" w:cs="宋体"/>
                <w:kern w:val="0"/>
                <w:szCs w:val="24"/>
                <w14:ligatures w14:val="none"/>
              </w:rPr>
              <w:t>/</w:t>
            </w:r>
            <w:r>
              <w:rPr>
                <w:rFonts w:ascii="Times New Roman" w:hAnsi="Times New Roman" w:eastAsia="宋体" w:cs="宋体"/>
                <w:kern w:val="0"/>
                <w:szCs w:val="24"/>
                <w14:ligatures w14:val="none"/>
              </w:rPr>
              <w:t>Z 171-2013</w:t>
            </w:r>
          </w:p>
        </w:tc>
        <w:tc>
          <w:tcPr>
            <w:tcW w:w="2681" w:type="pct"/>
            <w:tcBorders>
              <w:top w:val="single" w:color="000000" w:sz="4" w:space="0"/>
              <w:left w:val="single" w:color="000000" w:sz="4" w:space="0"/>
              <w:bottom w:val="single" w:color="000000" w:sz="4" w:space="0"/>
              <w:right w:val="single" w:color="000000" w:sz="4" w:space="0"/>
            </w:tcBorders>
            <w:vAlign w:val="center"/>
          </w:tcPr>
          <w:p w14:paraId="504FE200">
            <w:pPr>
              <w:widowControl/>
              <w:spacing w:after="0" w:line="240" w:lineRule="auto"/>
              <w:ind w:firstLine="0" w:firstLineChars="0"/>
              <w:jc w:val="left"/>
              <w:textAlignment w:val="center"/>
              <w:rPr>
                <w:rFonts w:ascii="Times New Roman" w:hAnsi="Times New Roman" w:eastAsia="宋体" w:cs="宋体"/>
                <w:szCs w:val="24"/>
                <w14:ligatures w14:val="none"/>
              </w:rPr>
            </w:pPr>
            <w:r>
              <w:rPr>
                <w:rFonts w:hint="eastAsia" w:ascii="Times New Roman" w:hAnsi="Times New Roman" w:eastAsia="宋体" w:cs="宋体"/>
                <w:szCs w:val="24"/>
                <w14:ligatures w14:val="none"/>
              </w:rPr>
              <w:t>武器装备研制项目风险管理指南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6D55F025">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ascii="Times New Roman" w:hAnsi="Times New Roman" w:eastAsia="宋体" w:cs="宋体"/>
                <w:kern w:val="0"/>
                <w:szCs w:val="24"/>
                <w14:ligatures w14:val="none"/>
              </w:rPr>
              <w:t>2013</w:t>
            </w:r>
          </w:p>
        </w:tc>
      </w:tr>
      <w:tr w14:paraId="354A1039">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543FA66C">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5373DDE8">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14:ligatures w14:val="none"/>
              </w:rPr>
              <w:t>GJB</w:t>
            </w:r>
            <w:r>
              <w:rPr>
                <w:rFonts w:hint="eastAsia" w:ascii="Times New Roman" w:hAnsi="Times New Roman" w:eastAsia="宋体" w:cs="Times New Roman"/>
                <w:szCs w:val="24"/>
                <w:lang w:val="en-US" w:eastAsia="zh-CN"/>
                <w14:ligatures w14:val="none"/>
              </w:rPr>
              <w:t xml:space="preserve"> </w:t>
            </w:r>
            <w:r>
              <w:rPr>
                <w:rFonts w:hint="eastAsia" w:ascii="Times New Roman" w:hAnsi="Times New Roman" w:eastAsia="宋体" w:cs="Times New Roman"/>
                <w:szCs w:val="24"/>
                <w14:ligatures w14:val="none"/>
              </w:rPr>
              <w:t>2824-1997</w:t>
            </w:r>
          </w:p>
        </w:tc>
        <w:tc>
          <w:tcPr>
            <w:tcW w:w="2681" w:type="pct"/>
            <w:tcBorders>
              <w:top w:val="single" w:color="000000" w:sz="4" w:space="0"/>
              <w:left w:val="single" w:color="000000" w:sz="4" w:space="0"/>
              <w:bottom w:val="single" w:color="000000" w:sz="4" w:space="0"/>
              <w:right w:val="single" w:color="000000" w:sz="4" w:space="0"/>
            </w:tcBorders>
            <w:vAlign w:val="center"/>
          </w:tcPr>
          <w:p w14:paraId="6DA05366">
            <w:pPr>
              <w:widowControl/>
              <w:spacing w:after="0" w:line="240" w:lineRule="auto"/>
              <w:ind w:firstLine="0" w:firstLineChars="0"/>
              <w:jc w:val="left"/>
              <w:textAlignment w:val="center"/>
              <w:rPr>
                <w:rFonts w:ascii="Times New Roman" w:hAnsi="Times New Roman" w:eastAsia="宋体" w:cs="宋体"/>
                <w:szCs w:val="24"/>
                <w14:ligatures w14:val="none"/>
              </w:rPr>
            </w:pPr>
            <w:r>
              <w:rPr>
                <w:rFonts w:hint="eastAsia" w:ascii="Times New Roman" w:hAnsi="Times New Roman" w:eastAsia="宋体" w:cs="Times New Roman"/>
                <w:szCs w:val="24"/>
                <w14:ligatures w14:val="none"/>
              </w:rPr>
              <w:t>军用数据安全要求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650D9523">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14:ligatures w14:val="none"/>
              </w:rPr>
              <w:t>1997</w:t>
            </w:r>
          </w:p>
        </w:tc>
      </w:tr>
      <w:tr w14:paraId="54B111FA">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0145F353">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020CFA94">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5236-2004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2F92CF9F">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军用软件质量度量</w:t>
            </w:r>
          </w:p>
        </w:tc>
        <w:tc>
          <w:tcPr>
            <w:tcW w:w="566" w:type="pct"/>
            <w:tcBorders>
              <w:top w:val="single" w:color="000000" w:sz="4" w:space="0"/>
              <w:left w:val="single" w:color="000000" w:sz="4" w:space="0"/>
              <w:bottom w:val="single" w:color="000000" w:sz="4" w:space="0"/>
              <w:right w:val="single" w:color="000000" w:sz="12" w:space="0"/>
            </w:tcBorders>
            <w:vAlign w:val="center"/>
          </w:tcPr>
          <w:p w14:paraId="7611CB97">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122BE734">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62B7E354">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29638ABA">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GJB/Z102A-2012</w:t>
            </w:r>
          </w:p>
        </w:tc>
        <w:tc>
          <w:tcPr>
            <w:tcW w:w="2681" w:type="pct"/>
            <w:tcBorders>
              <w:top w:val="single" w:color="000000" w:sz="4" w:space="0"/>
              <w:left w:val="single" w:color="000000" w:sz="4" w:space="0"/>
              <w:bottom w:val="single" w:color="000000" w:sz="4" w:space="0"/>
              <w:right w:val="single" w:color="000000" w:sz="4" w:space="0"/>
            </w:tcBorders>
            <w:vAlign w:val="center"/>
          </w:tcPr>
          <w:p w14:paraId="04A6B19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军用软件安全性设计指南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333CB7F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2012</w:t>
            </w:r>
          </w:p>
        </w:tc>
      </w:tr>
      <w:tr w14:paraId="334B7977">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3D05770">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25FAC72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GJB/Z141-2004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65D9B6C5">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军用软件测试指南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152A3C5C">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2B6B2D97">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4F9C49E5">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01158A02">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GJB/Z69-1994</w:t>
            </w:r>
          </w:p>
        </w:tc>
        <w:tc>
          <w:tcPr>
            <w:tcW w:w="2681" w:type="pct"/>
            <w:tcBorders>
              <w:top w:val="single" w:color="000000" w:sz="4" w:space="0"/>
              <w:left w:val="single" w:color="000000" w:sz="4" w:space="0"/>
              <w:bottom w:val="single" w:color="000000" w:sz="4" w:space="0"/>
              <w:right w:val="single" w:color="000000" w:sz="4" w:space="0"/>
            </w:tcBorders>
            <w:vAlign w:val="center"/>
          </w:tcPr>
          <w:p w14:paraId="180EE703">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军用标准的选用和剪裁导则</w:t>
            </w:r>
          </w:p>
        </w:tc>
        <w:tc>
          <w:tcPr>
            <w:tcW w:w="566" w:type="pct"/>
            <w:tcBorders>
              <w:top w:val="single" w:color="000000" w:sz="4" w:space="0"/>
              <w:left w:val="single" w:color="000000" w:sz="4" w:space="0"/>
              <w:bottom w:val="single" w:color="000000" w:sz="4" w:space="0"/>
              <w:right w:val="single" w:color="000000" w:sz="12" w:space="0"/>
            </w:tcBorders>
            <w:vAlign w:val="center"/>
          </w:tcPr>
          <w:p w14:paraId="7844A677">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1994</w:t>
            </w:r>
          </w:p>
        </w:tc>
      </w:tr>
      <w:tr w14:paraId="6CFCD59D">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2238229">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70DAFD89">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GJB/Z113-1998</w:t>
            </w:r>
          </w:p>
        </w:tc>
        <w:tc>
          <w:tcPr>
            <w:tcW w:w="2681" w:type="pct"/>
            <w:tcBorders>
              <w:top w:val="single" w:color="000000" w:sz="4" w:space="0"/>
              <w:left w:val="single" w:color="000000" w:sz="4" w:space="0"/>
              <w:bottom w:val="single" w:color="000000" w:sz="4" w:space="0"/>
              <w:right w:val="single" w:color="000000" w:sz="4" w:space="0"/>
            </w:tcBorders>
            <w:vAlign w:val="center"/>
          </w:tcPr>
          <w:p w14:paraId="1A4B876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标准化评审</w:t>
            </w:r>
          </w:p>
        </w:tc>
        <w:tc>
          <w:tcPr>
            <w:tcW w:w="566" w:type="pct"/>
            <w:tcBorders>
              <w:top w:val="single" w:color="000000" w:sz="4" w:space="0"/>
              <w:left w:val="single" w:color="000000" w:sz="4" w:space="0"/>
              <w:bottom w:val="single" w:color="000000" w:sz="4" w:space="0"/>
              <w:right w:val="single" w:color="000000" w:sz="12" w:space="0"/>
            </w:tcBorders>
            <w:vAlign w:val="center"/>
          </w:tcPr>
          <w:p w14:paraId="01B807F2">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1998</w:t>
            </w:r>
          </w:p>
        </w:tc>
      </w:tr>
      <w:tr w14:paraId="00AB4DED">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534ED3D4">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06C7EBF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GJB/Z114A-2015</w:t>
            </w:r>
          </w:p>
        </w:tc>
        <w:tc>
          <w:tcPr>
            <w:tcW w:w="2681" w:type="pct"/>
            <w:tcBorders>
              <w:top w:val="single" w:color="000000" w:sz="4" w:space="0"/>
              <w:left w:val="single" w:color="000000" w:sz="4" w:space="0"/>
              <w:bottom w:val="single" w:color="000000" w:sz="4" w:space="0"/>
              <w:right w:val="single" w:color="000000" w:sz="4" w:space="0"/>
            </w:tcBorders>
            <w:vAlign w:val="center"/>
          </w:tcPr>
          <w:p w14:paraId="0330972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产品标准化大纲编制指南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2FF78CA3">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2015</w:t>
            </w:r>
          </w:p>
        </w:tc>
      </w:tr>
      <w:tr w14:paraId="5B1D52FB">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CB2FA4A">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55391674">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438C-2021</w:t>
            </w:r>
          </w:p>
        </w:tc>
        <w:tc>
          <w:tcPr>
            <w:tcW w:w="2681" w:type="pct"/>
            <w:tcBorders>
              <w:top w:val="single" w:color="000000" w:sz="4" w:space="0"/>
              <w:left w:val="single" w:color="000000" w:sz="4" w:space="0"/>
              <w:bottom w:val="single" w:color="000000" w:sz="4" w:space="0"/>
              <w:right w:val="single" w:color="000000" w:sz="4" w:space="0"/>
            </w:tcBorders>
            <w:vAlign w:val="center"/>
          </w:tcPr>
          <w:p w14:paraId="76564B5C">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军用软件开发文档通用要求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0D6F4D91">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2021</w:t>
            </w:r>
          </w:p>
        </w:tc>
      </w:tr>
      <w:tr w14:paraId="32984D70">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2176BD2">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2704C35A">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1268A-2004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0AE271D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军用软件验收要求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4328BD98">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0C24A48E">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2DDA5974">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2276D109">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2434A-2004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61DEF655">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军用软件产品评价</w:t>
            </w:r>
          </w:p>
        </w:tc>
        <w:tc>
          <w:tcPr>
            <w:tcW w:w="566" w:type="pct"/>
            <w:tcBorders>
              <w:top w:val="single" w:color="000000" w:sz="4" w:space="0"/>
              <w:left w:val="single" w:color="000000" w:sz="4" w:space="0"/>
              <w:bottom w:val="single" w:color="000000" w:sz="4" w:space="0"/>
              <w:right w:val="single" w:color="000000" w:sz="12" w:space="0"/>
            </w:tcBorders>
            <w:vAlign w:val="center"/>
          </w:tcPr>
          <w:p w14:paraId="09318D98">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33E1DEEA">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334962D7">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4D0B977C">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2694-1996</w:t>
            </w:r>
          </w:p>
        </w:tc>
        <w:tc>
          <w:tcPr>
            <w:tcW w:w="2681" w:type="pct"/>
            <w:tcBorders>
              <w:top w:val="single" w:color="000000" w:sz="4" w:space="0"/>
              <w:left w:val="single" w:color="000000" w:sz="4" w:space="0"/>
              <w:bottom w:val="single" w:color="000000" w:sz="4" w:space="0"/>
              <w:right w:val="single" w:color="000000" w:sz="4" w:space="0"/>
            </w:tcBorders>
            <w:vAlign w:val="center"/>
          </w:tcPr>
          <w:p w14:paraId="094BDA8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军用软件支持环境</w:t>
            </w:r>
          </w:p>
        </w:tc>
        <w:tc>
          <w:tcPr>
            <w:tcW w:w="566" w:type="pct"/>
            <w:tcBorders>
              <w:top w:val="single" w:color="000000" w:sz="4" w:space="0"/>
              <w:left w:val="single" w:color="000000" w:sz="4" w:space="0"/>
              <w:bottom w:val="single" w:color="000000" w:sz="4" w:space="0"/>
              <w:right w:val="single" w:color="000000" w:sz="12" w:space="0"/>
            </w:tcBorders>
            <w:vAlign w:val="center"/>
          </w:tcPr>
          <w:p w14:paraId="443D1D1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1996</w:t>
            </w:r>
          </w:p>
        </w:tc>
      </w:tr>
      <w:tr w14:paraId="098A82E5">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5659239">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48781FC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3181a-2020</w:t>
            </w:r>
          </w:p>
        </w:tc>
        <w:tc>
          <w:tcPr>
            <w:tcW w:w="2681" w:type="pct"/>
            <w:tcBorders>
              <w:top w:val="single" w:color="000000" w:sz="4" w:space="0"/>
              <w:left w:val="single" w:color="000000" w:sz="4" w:space="0"/>
              <w:bottom w:val="single" w:color="000000" w:sz="4" w:space="0"/>
              <w:right w:val="single" w:color="000000" w:sz="4" w:space="0"/>
            </w:tcBorders>
            <w:vAlign w:val="center"/>
          </w:tcPr>
          <w:p w14:paraId="3EF013C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军用软件支持环境选用要求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5F248A6C">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2020</w:t>
            </w:r>
          </w:p>
        </w:tc>
      </w:tr>
      <w:tr w14:paraId="3EEC14E7">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633F5574">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12A9041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5234-2004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75864AB2">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军用软件验证和确认</w:t>
            </w:r>
          </w:p>
        </w:tc>
        <w:tc>
          <w:tcPr>
            <w:tcW w:w="566" w:type="pct"/>
            <w:tcBorders>
              <w:top w:val="single" w:color="000000" w:sz="4" w:space="0"/>
              <w:left w:val="single" w:color="000000" w:sz="4" w:space="0"/>
              <w:bottom w:val="single" w:color="000000" w:sz="4" w:space="0"/>
              <w:right w:val="single" w:color="000000" w:sz="12" w:space="0"/>
            </w:tcBorders>
            <w:vAlign w:val="center"/>
          </w:tcPr>
          <w:p w14:paraId="4B132AE4">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7F49718D">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82DFB1F">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44CAAB97">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5716-2006</w:t>
            </w:r>
          </w:p>
        </w:tc>
        <w:tc>
          <w:tcPr>
            <w:tcW w:w="2681" w:type="pct"/>
            <w:tcBorders>
              <w:top w:val="single" w:color="000000" w:sz="4" w:space="0"/>
              <w:left w:val="single" w:color="000000" w:sz="4" w:space="0"/>
              <w:bottom w:val="single" w:color="000000" w:sz="4" w:space="0"/>
              <w:right w:val="single" w:color="000000" w:sz="4" w:space="0"/>
            </w:tcBorders>
            <w:vAlign w:val="center"/>
          </w:tcPr>
          <w:p w14:paraId="745EFB14">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军用软件开发库、受控库和产品库通用要求</w:t>
            </w:r>
          </w:p>
        </w:tc>
        <w:tc>
          <w:tcPr>
            <w:tcW w:w="566" w:type="pct"/>
            <w:tcBorders>
              <w:top w:val="single" w:color="000000" w:sz="4" w:space="0"/>
              <w:left w:val="single" w:color="000000" w:sz="4" w:space="0"/>
              <w:bottom w:val="single" w:color="000000" w:sz="4" w:space="0"/>
              <w:right w:val="single" w:color="000000" w:sz="12" w:space="0"/>
            </w:tcBorders>
            <w:vAlign w:val="center"/>
          </w:tcPr>
          <w:p w14:paraId="3879D162">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2006</w:t>
            </w:r>
          </w:p>
        </w:tc>
      </w:tr>
      <w:tr w14:paraId="7782A84C">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4143D340">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0AF5CEAB">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7708-2012</w:t>
            </w:r>
          </w:p>
        </w:tc>
        <w:tc>
          <w:tcPr>
            <w:tcW w:w="2681" w:type="pct"/>
            <w:tcBorders>
              <w:top w:val="single" w:color="000000" w:sz="4" w:space="0"/>
              <w:left w:val="single" w:color="000000" w:sz="4" w:space="0"/>
              <w:bottom w:val="single" w:color="000000" w:sz="4" w:space="0"/>
              <w:right w:val="single" w:color="000000" w:sz="4" w:space="0"/>
            </w:tcBorders>
            <w:vAlign w:val="center"/>
          </w:tcPr>
          <w:p w14:paraId="53A3A6E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军用数据库管理系统应用编程接口</w:t>
            </w:r>
          </w:p>
        </w:tc>
        <w:tc>
          <w:tcPr>
            <w:tcW w:w="566" w:type="pct"/>
            <w:tcBorders>
              <w:top w:val="single" w:color="000000" w:sz="4" w:space="0"/>
              <w:left w:val="single" w:color="000000" w:sz="4" w:space="0"/>
              <w:bottom w:val="single" w:color="000000" w:sz="4" w:space="0"/>
              <w:right w:val="single" w:color="000000" w:sz="12" w:space="0"/>
            </w:tcBorders>
            <w:vAlign w:val="center"/>
          </w:tcPr>
          <w:p w14:paraId="4C38116B">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2012</w:t>
            </w:r>
          </w:p>
        </w:tc>
      </w:tr>
      <w:tr w14:paraId="58B3A472">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4B443AE8">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6AD5ED4A">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8114-2013</w:t>
            </w:r>
          </w:p>
        </w:tc>
        <w:tc>
          <w:tcPr>
            <w:tcW w:w="2681" w:type="pct"/>
            <w:tcBorders>
              <w:top w:val="single" w:color="000000" w:sz="4" w:space="0"/>
              <w:left w:val="single" w:color="000000" w:sz="4" w:space="0"/>
              <w:bottom w:val="single" w:color="000000" w:sz="4" w:space="0"/>
              <w:right w:val="single" w:color="000000" w:sz="4" w:space="0"/>
            </w:tcBorders>
            <w:vAlign w:val="center"/>
          </w:tcPr>
          <w:p w14:paraId="2799764A">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C/C++语言编程安全子集</w:t>
            </w:r>
          </w:p>
        </w:tc>
        <w:tc>
          <w:tcPr>
            <w:tcW w:w="566" w:type="pct"/>
            <w:tcBorders>
              <w:top w:val="single" w:color="000000" w:sz="4" w:space="0"/>
              <w:left w:val="single" w:color="000000" w:sz="4" w:space="0"/>
              <w:bottom w:val="single" w:color="000000" w:sz="4" w:space="0"/>
              <w:right w:val="single" w:color="000000" w:sz="12" w:space="0"/>
            </w:tcBorders>
            <w:vAlign w:val="center"/>
          </w:tcPr>
          <w:p w14:paraId="4C89064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2013</w:t>
            </w:r>
          </w:p>
        </w:tc>
      </w:tr>
      <w:tr w14:paraId="76BB8506">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DC5E87C">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0457A874">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 141-2004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178277C3">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军用软件测试指南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3B8BF603">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1A5F069A">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07BC509D">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04404692">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 142-2004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2140D7B9">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军用软件安全性分析指南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1AB35B24">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5A40CF4D">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02C9F44C">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3996C117">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 161-2012</w:t>
            </w:r>
          </w:p>
        </w:tc>
        <w:tc>
          <w:tcPr>
            <w:tcW w:w="2681" w:type="pct"/>
            <w:tcBorders>
              <w:top w:val="single" w:color="000000" w:sz="4" w:space="0"/>
              <w:left w:val="single" w:color="000000" w:sz="4" w:space="0"/>
              <w:bottom w:val="single" w:color="000000" w:sz="4" w:space="0"/>
              <w:right w:val="single" w:color="000000" w:sz="4" w:space="0"/>
            </w:tcBorders>
            <w:vAlign w:val="center"/>
          </w:tcPr>
          <w:p w14:paraId="606BBC48">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军用软件可靠性评估指南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6EF588EE">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2012</w:t>
            </w:r>
          </w:p>
        </w:tc>
      </w:tr>
      <w:tr w14:paraId="6792E893">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163381D2">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63FECBB0">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467A-2008</w:t>
            </w:r>
          </w:p>
        </w:tc>
        <w:tc>
          <w:tcPr>
            <w:tcW w:w="2681" w:type="pct"/>
            <w:tcBorders>
              <w:top w:val="single" w:color="000000" w:sz="4" w:space="0"/>
              <w:left w:val="single" w:color="000000" w:sz="4" w:space="0"/>
              <w:bottom w:val="single" w:color="000000" w:sz="4" w:space="0"/>
              <w:right w:val="single" w:color="000000" w:sz="4" w:space="0"/>
            </w:tcBorders>
            <w:vAlign w:val="center"/>
          </w:tcPr>
          <w:p w14:paraId="67F428F7">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生产提供过程质量控制</w:t>
            </w:r>
          </w:p>
        </w:tc>
        <w:tc>
          <w:tcPr>
            <w:tcW w:w="566" w:type="pct"/>
            <w:tcBorders>
              <w:top w:val="single" w:color="000000" w:sz="4" w:space="0"/>
              <w:left w:val="single" w:color="000000" w:sz="4" w:space="0"/>
              <w:bottom w:val="single" w:color="000000" w:sz="4" w:space="0"/>
              <w:right w:val="single" w:color="000000" w:sz="12" w:space="0"/>
            </w:tcBorders>
            <w:vAlign w:val="center"/>
          </w:tcPr>
          <w:p w14:paraId="21434779">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2008</w:t>
            </w:r>
          </w:p>
        </w:tc>
      </w:tr>
      <w:tr w14:paraId="7152C9A0">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4EBB2EA6">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2497E17F">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 1310A-2004</w:t>
            </w:r>
          </w:p>
        </w:tc>
        <w:tc>
          <w:tcPr>
            <w:tcW w:w="2681" w:type="pct"/>
            <w:tcBorders>
              <w:top w:val="single" w:color="000000" w:sz="4" w:space="0"/>
              <w:left w:val="single" w:color="000000" w:sz="4" w:space="0"/>
              <w:bottom w:val="single" w:color="000000" w:sz="4" w:space="0"/>
              <w:right w:val="single" w:color="000000" w:sz="4" w:space="0"/>
            </w:tcBorders>
            <w:vAlign w:val="center"/>
          </w:tcPr>
          <w:p w14:paraId="1867E6CF">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设计评审</w:t>
            </w:r>
          </w:p>
        </w:tc>
        <w:tc>
          <w:tcPr>
            <w:tcW w:w="566" w:type="pct"/>
            <w:tcBorders>
              <w:top w:val="single" w:color="000000" w:sz="4" w:space="0"/>
              <w:left w:val="single" w:color="000000" w:sz="4" w:space="0"/>
              <w:bottom w:val="single" w:color="000000" w:sz="4" w:space="0"/>
              <w:right w:val="single" w:color="000000" w:sz="12" w:space="0"/>
            </w:tcBorders>
            <w:vAlign w:val="center"/>
          </w:tcPr>
          <w:p w14:paraId="25170594">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2004</w:t>
            </w:r>
          </w:p>
        </w:tc>
      </w:tr>
      <w:tr w14:paraId="1F8CB2CA">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731DB986">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38357779">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 72-1995</w:t>
            </w:r>
          </w:p>
        </w:tc>
        <w:tc>
          <w:tcPr>
            <w:tcW w:w="2681" w:type="pct"/>
            <w:tcBorders>
              <w:top w:val="single" w:color="000000" w:sz="4" w:space="0"/>
              <w:left w:val="single" w:color="000000" w:sz="4" w:space="0"/>
              <w:bottom w:val="single" w:color="000000" w:sz="4" w:space="0"/>
              <w:right w:val="single" w:color="000000" w:sz="4" w:space="0"/>
            </w:tcBorders>
            <w:vAlign w:val="center"/>
          </w:tcPr>
          <w:p w14:paraId="60FCC6B3">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可靠性维修性评审指南</w:t>
            </w:r>
          </w:p>
        </w:tc>
        <w:tc>
          <w:tcPr>
            <w:tcW w:w="566" w:type="pct"/>
            <w:tcBorders>
              <w:top w:val="single" w:color="000000" w:sz="4" w:space="0"/>
              <w:left w:val="single" w:color="000000" w:sz="4" w:space="0"/>
              <w:bottom w:val="single" w:color="000000" w:sz="4" w:space="0"/>
              <w:right w:val="single" w:color="000000" w:sz="12" w:space="0"/>
            </w:tcBorders>
            <w:vAlign w:val="center"/>
          </w:tcPr>
          <w:p w14:paraId="03CCFBB8">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1995</w:t>
            </w:r>
          </w:p>
        </w:tc>
      </w:tr>
      <w:tr w14:paraId="002361E2">
        <w:tblPrEx>
          <w:tblCellMar>
            <w:top w:w="0" w:type="dxa"/>
            <w:left w:w="108" w:type="dxa"/>
            <w:bottom w:w="0" w:type="dxa"/>
            <w:right w:w="108" w:type="dxa"/>
          </w:tblCellMar>
        </w:tblPrEx>
        <w:trPr>
          <w:trHeight w:val="600" w:hRule="atLeast"/>
          <w:jc w:val="center"/>
        </w:trPr>
        <w:tc>
          <w:tcPr>
            <w:tcW w:w="437" w:type="pct"/>
            <w:tcBorders>
              <w:top w:val="single" w:color="000000" w:sz="4" w:space="0"/>
              <w:left w:val="single" w:color="000000" w:sz="12" w:space="0"/>
              <w:bottom w:val="single" w:color="000000" w:sz="4" w:space="0"/>
              <w:right w:val="single" w:color="000000" w:sz="4" w:space="0"/>
            </w:tcBorders>
            <w:vAlign w:val="center"/>
          </w:tcPr>
          <w:p w14:paraId="0B7AA9CE">
            <w:pPr>
              <w:numPr>
                <w:ilvl w:val="0"/>
                <w:numId w:val="13"/>
              </w:numPr>
              <w:spacing w:after="0" w:line="360" w:lineRule="auto"/>
              <w:ind w:left="-560" w:leftChars="0" w:firstLine="560" w:firstLineChars="0"/>
              <w:jc w:val="both"/>
              <w:textAlignment w:val="center"/>
              <w:rPr>
                <w:rFonts w:ascii="Times New Roman" w:hAnsi="Times New Roman" w:eastAsia="宋体" w:cs="Times New Roman"/>
                <w:szCs w:val="24"/>
                <w:lang w:bidi="ar"/>
                <w14:ligatures w14:val="none"/>
              </w:rPr>
            </w:pPr>
          </w:p>
        </w:tc>
        <w:tc>
          <w:tcPr>
            <w:tcW w:w="1315" w:type="pct"/>
            <w:tcBorders>
              <w:top w:val="single" w:color="000000" w:sz="4" w:space="0"/>
              <w:left w:val="single" w:color="000000" w:sz="4" w:space="0"/>
              <w:bottom w:val="single" w:color="000000" w:sz="4" w:space="0"/>
              <w:right w:val="single" w:color="000000" w:sz="4" w:space="0"/>
            </w:tcBorders>
            <w:vAlign w:val="center"/>
          </w:tcPr>
          <w:p w14:paraId="097A030C">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GJB/Z 113-1998</w:t>
            </w:r>
          </w:p>
        </w:tc>
        <w:tc>
          <w:tcPr>
            <w:tcW w:w="2681" w:type="pct"/>
            <w:tcBorders>
              <w:top w:val="single" w:color="000000" w:sz="4" w:space="0"/>
              <w:left w:val="single" w:color="000000" w:sz="4" w:space="0"/>
              <w:bottom w:val="single" w:color="000000" w:sz="4" w:space="0"/>
              <w:right w:val="single" w:color="000000" w:sz="4" w:space="0"/>
            </w:tcBorders>
            <w:vAlign w:val="center"/>
          </w:tcPr>
          <w:p w14:paraId="29D2E60E">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标准化评审</w:t>
            </w:r>
          </w:p>
        </w:tc>
        <w:tc>
          <w:tcPr>
            <w:tcW w:w="566" w:type="pct"/>
            <w:tcBorders>
              <w:top w:val="single" w:color="000000" w:sz="4" w:space="0"/>
              <w:left w:val="single" w:color="000000" w:sz="4" w:space="0"/>
              <w:bottom w:val="single" w:color="000000" w:sz="4" w:space="0"/>
              <w:right w:val="single" w:color="000000" w:sz="12" w:space="0"/>
            </w:tcBorders>
            <w:vAlign w:val="center"/>
          </w:tcPr>
          <w:p w14:paraId="214C075D">
            <w:pPr>
              <w:widowControl/>
              <w:spacing w:after="0" w:line="240" w:lineRule="auto"/>
              <w:ind w:firstLine="0" w:firstLineChars="0"/>
              <w:jc w:val="left"/>
              <w:textAlignment w:val="center"/>
              <w:rPr>
                <w:rFonts w:ascii="Times New Roman" w:hAnsi="Times New Roman" w:eastAsia="宋体" w:cs="Times New Roman"/>
                <w:szCs w:val="24"/>
                <w:lang w:bidi="ar"/>
                <w14:ligatures w14:val="none"/>
              </w:rPr>
            </w:pPr>
            <w:r>
              <w:rPr>
                <w:rFonts w:hint="eastAsia" w:ascii="Times New Roman" w:hAnsi="Times New Roman" w:eastAsia="宋体" w:cs="Times New Roman"/>
                <w:szCs w:val="24"/>
                <w:lang w:bidi="ar"/>
                <w14:ligatures w14:val="none"/>
              </w:rPr>
              <w:t>1998</w:t>
            </w:r>
          </w:p>
        </w:tc>
      </w:tr>
      <w:bookmarkEnd w:id="11"/>
    </w:tbl>
    <w:p w14:paraId="2496C3C2">
      <w:pPr>
        <w:numPr>
          <w:ilvl w:val="0"/>
          <w:numId w:val="0"/>
        </w:numPr>
        <w:spacing w:after="0" w:line="240" w:lineRule="auto"/>
        <w:ind w:leftChars="0"/>
        <w:jc w:val="both"/>
        <w:rPr>
          <w:rFonts w:hint="default" w:ascii="Times New Roman" w:hAnsi="Times New Roman" w:eastAsia="宋体" w:cs="Times New Roman"/>
          <w:color w:val="auto"/>
          <w:sz w:val="24"/>
          <w:szCs w:val="24"/>
          <w:lang w:val="en-US" w:eastAsia="zh-CN"/>
          <w14:ligatures w14:val="none"/>
        </w:rPr>
      </w:pPr>
    </w:p>
    <w:p w14:paraId="2E5369EF">
      <w:pPr>
        <w:keepNext/>
        <w:keepLines/>
        <w:numPr>
          <w:ilvl w:val="0"/>
          <w:numId w:val="11"/>
        </w:numPr>
        <w:tabs>
          <w:tab w:val="left" w:pos="0"/>
        </w:tabs>
        <w:spacing w:line="360" w:lineRule="auto"/>
        <w:outlineLvl w:val="0"/>
        <w:rPr>
          <w:rFonts w:hint="eastAsia" w:ascii="Calibri" w:hAnsi="Calibri" w:eastAsia="黑体"/>
          <w:bCs/>
          <w:kern w:val="44"/>
          <w:sz w:val="30"/>
          <w:szCs w:val="44"/>
        </w:rPr>
      </w:pPr>
      <w:bookmarkStart w:id="12" w:name="_Toc31630"/>
      <w:r>
        <w:rPr>
          <w:rFonts w:hint="eastAsia" w:ascii="Calibri" w:hAnsi="Calibri" w:eastAsia="黑体"/>
          <w:bCs/>
          <w:kern w:val="44"/>
          <w:sz w:val="30"/>
          <w:szCs w:val="44"/>
        </w:rPr>
        <w:t>需求分析</w:t>
      </w:r>
      <w:bookmarkEnd w:id="12"/>
    </w:p>
    <w:p w14:paraId="1D922D5B">
      <w:pPr>
        <w:keepNext/>
        <w:keepLines/>
        <w:numPr>
          <w:ilvl w:val="1"/>
          <w:numId w:val="11"/>
        </w:numPr>
        <w:tabs>
          <w:tab w:val="left" w:pos="19"/>
        </w:tabs>
        <w:spacing w:before="140" w:after="140" w:line="360" w:lineRule="auto"/>
        <w:outlineLvl w:val="1"/>
        <w:rPr>
          <w:rFonts w:hint="eastAsia" w:ascii="黑体" w:hAnsi="黑体" w:eastAsia="黑体" w:cs="黑体"/>
          <w:sz w:val="28"/>
          <w:szCs w:val="32"/>
          <w:lang w:val="en-US" w:eastAsia="zh-CN"/>
        </w:rPr>
      </w:pPr>
      <w:r>
        <w:rPr>
          <w:rFonts w:hint="eastAsia" w:ascii="黑体" w:hAnsi="黑体" w:eastAsia="黑体" w:cs="黑体"/>
          <w:sz w:val="28"/>
          <w:szCs w:val="32"/>
          <w:lang w:val="en-US" w:eastAsia="zh-CN"/>
        </w:rPr>
        <w:t>功能要求</w:t>
      </w:r>
    </w:p>
    <w:p w14:paraId="4E6D7B10">
      <w:pPr>
        <w:spacing w:line="300" w:lineRule="auto"/>
        <w:ind w:firstLineChars="200" w:firstLine="480"/>
        <w:rPr>
          <w:rFonts w:hint="eastAsia"/>
          <w:lang w:val="en-US" w:eastAsia="zh-CN"/>
        </w:rPr>
      </w:pPr>
      <w:r>
        <w:rPr>
          <w:rFonts w:hint="eastAsia" w:ascii="仿宋" w:hAnsi="仿宋" w:eastAsia="仿宋"/>
          <w:b w:val="0"/>
          <w:sz w:val="24"/>
          <w:lang w:val="en-US" w:eastAsia="zh-CN"/>
        </w:rPr>
        <w:t>1. 标准符合性：核心显示与操作需符合IEC 61174-</w:t>
      </w:r>
    </w:p>
    <w:p>
      <w:pPr>
        <w:spacing w:line="300" w:lineRule="auto"/>
        <w:ind w:firstLine="480"/>
      </w:pPr>
      <w:r>
        <w:rPr>
          <w:rFonts w:ascii="仿宋" w:hAnsi="仿宋" w:eastAsia="仿宋"/>
          <w:b w:val="0"/>
          <w:sz w:val="24"/>
        </w:rPr>
        <w:t>2. 5、IEC 62288-</w:t>
      </w:r>
    </w:p>
    <w:p>
      <w:pPr>
        <w:spacing w:line="300" w:lineRule="auto"/>
        <w:ind w:firstLine="480"/>
      </w:pPr>
      <w:r>
        <w:rPr>
          <w:rFonts w:ascii="仿宋" w:hAnsi="仿宋" w:eastAsia="仿宋"/>
          <w:b w:val="0"/>
          <w:sz w:val="24"/>
        </w:rPr>
        <w:t>3. 4、GB/T 43053-2023；海图数据处理需符合IHO S-57</w:t>
      </w:r>
    </w:p>
    <w:p>
      <w:pPr>
        <w:spacing w:line="300" w:lineRule="auto"/>
        <w:ind w:firstLine="480"/>
      </w:pPr>
      <w:r>
        <w:rPr>
          <w:rFonts w:ascii="仿宋" w:hAnsi="仿宋" w:eastAsia="仿宋"/>
          <w:b w:val="0"/>
          <w:sz w:val="24"/>
        </w:rPr>
        <w:t>4. 3.1版、IHO S-63</w:t>
      </w:r>
    </w:p>
    <w:p>
      <w:pPr>
        <w:spacing w:line="300" w:lineRule="auto"/>
        <w:ind w:firstLine="480"/>
      </w:pPr>
      <w:r>
        <w:rPr>
          <w:rFonts w:ascii="仿宋" w:hAnsi="仿宋" w:eastAsia="仿宋"/>
          <w:b w:val="0"/>
          <w:sz w:val="24"/>
        </w:rPr>
        <w:t>5. 1.2版、IHO S-52</w:t>
      </w:r>
    </w:p>
    <w:p>
      <w:pPr>
        <w:spacing w:line="300" w:lineRule="auto"/>
        <w:ind w:firstLine="480"/>
      </w:pPr>
      <w:r>
        <w:rPr>
          <w:rFonts w:ascii="仿宋" w:hAnsi="仿宋" w:eastAsia="仿宋"/>
          <w:b w:val="0"/>
          <w:sz w:val="24"/>
        </w:rPr>
        <w:t>6. 6.1版及IHO S-52 PresLib</w:t>
      </w:r>
    </w:p>
    <w:p>
      <w:pPr>
        <w:spacing w:line="300" w:lineRule="auto"/>
        <w:ind w:firstLine="480"/>
      </w:pPr>
      <w:r>
        <w:rPr>
          <w:rFonts w:ascii="仿宋" w:hAnsi="仿宋" w:eastAsia="仿宋"/>
          <w:b w:val="0"/>
          <w:sz w:val="24"/>
        </w:rPr>
        <w:t>7. 接入并展示标准电子海图（S-57/S-63），支持海图自动匹配、选择、缩放、漫游、图层控制（基础/标准/全部），可开关显示特定要素。</w:t>
      </w:r>
    </w:p>
    <w:p>
      <w:pPr>
        <w:spacing w:line="300" w:lineRule="auto"/>
        <w:ind w:firstLine="480"/>
      </w:pPr>
      <w:r>
        <w:rPr>
          <w:rFonts w:ascii="仿宋" w:hAnsi="仿宋" w:eastAsia="仿宋"/>
          <w:b w:val="0"/>
          <w:sz w:val="24"/>
        </w:rPr>
        <w:t>8. 支持IMO要求的多种配色模式（白天、黄昏、夜晚），夜间模式亮度需符合规范。</w:t>
      </w:r>
    </w:p>
    <w:p>
      <w:pPr>
        <w:spacing w:line="300" w:lineRule="auto"/>
        <w:ind w:firstLine="480"/>
      </w:pPr>
      <w:r>
        <w:rPr>
          <w:rFonts w:ascii="仿宋" w:hAnsi="仿宋" w:eastAsia="仿宋"/>
          <w:b w:val="0"/>
          <w:sz w:val="24"/>
        </w:rPr>
        <w:t>9. 支持“正北向上”和“船艏向上”模式切换，以及“真实位移”和“相对位移”模式。</w:t>
      </w:r>
    </w:p>
    <w:p>
      <w:pPr>
        <w:spacing w:line="300" w:lineRule="auto"/>
        <w:ind w:firstLine="480"/>
      </w:pPr>
      <w:r>
        <w:rPr>
          <w:rFonts w:ascii="仿宋" w:hAnsi="仿宋" w:eastAsia="仿宋"/>
          <w:b w:val="0"/>
          <w:sz w:val="24"/>
        </w:rPr>
        <w:t>10. 基于OpenGL技术实现雷达回波图像在电子海图上的实时叠加，集成并处理来自雷达、AIS、ARPA等导航设备的动态数据。</w:t>
      </w:r>
    </w:p>
    <w:p>
      <w:pPr>
        <w:spacing w:line="300" w:lineRule="auto"/>
        <w:ind w:firstLine="480"/>
      </w:pPr>
      <w:r>
        <w:rPr>
          <w:rFonts w:ascii="仿宋" w:hAnsi="仿宋" w:eastAsia="仿宋"/>
          <w:b w:val="0"/>
          <w:sz w:val="24"/>
        </w:rPr>
        <w:t>11. 将AIS目标符号、雷达回波、ARPA跟踪目标与本船符号，准确叠加在电子海图上的相应地理位置。</w:t>
      </w:r>
    </w:p>
    <w:p>
      <w:pPr>
        <w:spacing w:line="300" w:lineRule="auto"/>
        <w:ind w:firstLine="480"/>
      </w:pPr>
      <w:r>
        <w:rPr>
          <w:rFonts w:ascii="仿宋" w:hAnsi="仿宋" w:eastAsia="仿宋"/>
          <w:b w:val="0"/>
          <w:sz w:val="24"/>
        </w:rPr>
        <w:t>12. 可选显示AIS目标船舶的关键信息（航向、航速、船名、MMSI等）和ARPA跟踪预测信息。</w:t>
      </w:r>
    </w:p>
    <w:p>
      <w:pPr>
        <w:spacing w:line="300" w:lineRule="auto"/>
        <w:ind w:firstLine="480"/>
      </w:pPr>
      <w:r>
        <w:rPr>
          <w:rFonts w:ascii="仿宋" w:hAnsi="仿宋" w:eastAsia="仿宋"/>
          <w:b w:val="0"/>
          <w:sz w:val="24"/>
        </w:rPr>
        <w:t>13. 支持叠加显示自定义GIS要素，如电子围栏、风险区域等。</w:t>
      </w:r>
    </w:p>
    <w:p>
      <w:pPr>
        <w:spacing w:line="300" w:lineRule="auto"/>
        <w:ind w:firstLine="480"/>
      </w:pPr>
      <w:r>
        <w:rPr>
          <w:rFonts w:ascii="仿宋" w:hAnsi="仿宋" w:eastAsia="仿宋"/>
          <w:b w:val="0"/>
          <w:sz w:val="24"/>
        </w:rPr>
        <w:t>14. 可叠加显示潮汐、海流、气象信息以及海道测量局发布的临时通告（AIO等）。</w:t>
      </w:r>
    </w:p>
    <w:p>
      <w:pPr>
        <w:spacing w:line="300" w:lineRule="auto"/>
        <w:ind w:firstLine="480"/>
      </w:pPr>
      <w:r>
        <w:rPr>
          <w:rFonts w:ascii="仿宋" w:hAnsi="仿宋" w:eastAsia="仿宋"/>
          <w:b w:val="0"/>
          <w:sz w:val="24"/>
        </w:rPr>
        <w:t>15. 支持手动或自动航线设计，允许灵活地添加、删除、拖动、排序航向点和航段。</w:t>
      </w:r>
    </w:p>
    <w:p>
      <w:pPr>
        <w:spacing w:line="300" w:lineRule="auto"/>
        <w:ind w:firstLine="480"/>
      </w:pPr>
      <w:r>
        <w:rPr>
          <w:rFonts w:ascii="仿宋" w:hAnsi="仿宋" w:eastAsia="仿宋"/>
          <w:b w:val="0"/>
          <w:sz w:val="24"/>
        </w:rPr>
        <w:t>16. 自动执行航线安全检查，在规划阶段提示航线段是否穿过浅水、禁航区或接近危险物。</w:t>
      </w:r>
    </w:p>
    <w:p>
      <w:pPr>
        <w:spacing w:line="300" w:lineRule="auto"/>
        <w:ind w:firstLine="480"/>
      </w:pPr>
      <w:r>
        <w:rPr>
          <w:rFonts w:ascii="仿宋" w:hAnsi="仿宋" w:eastAsia="仿宋"/>
          <w:b w:val="0"/>
          <w:sz w:val="24"/>
        </w:rPr>
        <w:t>17. 允许用户为航线设定安全参数，包括吃水、安全等深线、偏航阈值（XTD）、船舶尺寸等。</w:t>
      </w:r>
    </w:p>
    <w:p>
      <w:pPr>
        <w:spacing w:line="300" w:lineRule="auto"/>
        <w:ind w:firstLine="480"/>
      </w:pPr>
      <w:r>
        <w:rPr>
          <w:rFonts w:ascii="仿宋" w:hAnsi="仿宋" w:eastAsia="仿宋"/>
          <w:b w:val="0"/>
          <w:sz w:val="24"/>
        </w:rPr>
        <w:t>18. 具备航行计算能力，包括两个地理位置间的真距离和方位、航行时间估算（ETA）。</w:t>
      </w:r>
    </w:p>
    <w:p>
      <w:pPr>
        <w:spacing w:line="300" w:lineRule="auto"/>
        <w:ind w:firstLine="480"/>
      </w:pPr>
      <w:r>
        <w:rPr>
          <w:rFonts w:ascii="仿宋" w:hAnsi="仿宋" w:eastAsia="仿宋"/>
          <w:b w:val="0"/>
          <w:sz w:val="24"/>
        </w:rPr>
        <w:t>19. 实时叠加船舶位置（基于GPS/DGPS），连续监控船舶是否严格按照计划航线行驶。</w:t>
      </w:r>
    </w:p>
    <w:p>
      <w:pPr>
        <w:spacing w:line="300" w:lineRule="auto"/>
        <w:ind w:firstLine="480"/>
      </w:pPr>
      <w:r>
        <w:rPr>
          <w:rFonts w:ascii="仿宋" w:hAnsi="仿宋" w:eastAsia="仿宋"/>
          <w:b w:val="0"/>
          <w:sz w:val="24"/>
        </w:rPr>
        <w:t>20. 具备连续记录并存储历史航迹、船位、速度、航向和报警事件的能力，用于航后分析和VDR备份。</w:t>
      </w:r>
    </w:p>
    <w:p>
      <w:pPr>
        <w:spacing w:line="300" w:lineRule="auto"/>
        <w:ind w:firstLine="480"/>
      </w:pPr>
      <w:r>
        <w:rPr>
          <w:rFonts w:ascii="仿宋" w:hAnsi="仿宋" w:eastAsia="仿宋"/>
          <w:b w:val="0"/>
          <w:sz w:val="24"/>
        </w:rPr>
        <w:t>21. 允许用户输入船舶吃水和富裕水深，系统自动计算并设置安全等深线和安全轮廓线。</w:t>
      </w:r>
    </w:p>
    <w:p>
      <w:pPr>
        <w:spacing w:line="300" w:lineRule="auto"/>
        <w:ind w:firstLine="480"/>
      </w:pPr>
      <w:r>
        <w:rPr>
          <w:rFonts w:ascii="仿宋" w:hAnsi="仿宋" w:eastAsia="仿宋"/>
          <w:b w:val="0"/>
          <w:sz w:val="24"/>
        </w:rPr>
        <w:t>22. 在海图上突出显示浅于安全等深线的水域（通常为蓝色），将安全水域显示为白色或其他安全色。</w:t>
      </w:r>
    </w:p>
    <w:p>
      <w:pPr>
        <w:spacing w:line="300" w:lineRule="auto"/>
        <w:ind w:firstLine="480"/>
      </w:pPr>
      <w:r>
        <w:rPr>
          <w:rFonts w:ascii="仿宋" w:hAnsi="仿宋" w:eastAsia="仿宋"/>
          <w:b w:val="0"/>
          <w:sz w:val="24"/>
        </w:rPr>
        <w:t>23. 当本船或其安全轮廓线即将进入不安全水域时，系统需立即发出声光告警（防搁浅告警）。</w:t>
      </w:r>
    </w:p>
    <w:p>
      <w:pPr>
        <w:spacing w:line="300" w:lineRule="auto"/>
        <w:ind w:firstLine="480"/>
      </w:pPr>
      <w:r>
        <w:rPr>
          <w:rFonts w:ascii="仿宋" w:hAnsi="仿宋" w:eastAsia="仿宋"/>
          <w:b w:val="0"/>
          <w:sz w:val="24"/>
        </w:rPr>
        <w:t>24. 当船舶即将穿越或进入预设的禁航区、限航区、港口报告区、或自定义电子围栏时，立即报警。</w:t>
      </w:r>
    </w:p>
    <w:p>
      <w:pPr>
        <w:spacing w:line="300" w:lineRule="auto"/>
        <w:ind w:firstLine="480"/>
      </w:pPr>
      <w:r>
        <w:rPr>
          <w:rFonts w:ascii="仿宋" w:hAnsi="仿宋" w:eastAsia="仿宋"/>
          <w:b w:val="0"/>
          <w:sz w:val="24"/>
        </w:rPr>
        <w:t>25. 在船舶运动方向上，预测船舶未来安全矢量将接近孤立危险物或未知的浅水区时，触发报警。</w:t>
      </w:r>
    </w:p>
    <w:p>
      <w:pPr>
        <w:spacing w:line="300" w:lineRule="auto"/>
        <w:ind w:firstLine="480"/>
      </w:pPr>
      <w:r>
        <w:rPr>
          <w:rFonts w:ascii="仿宋" w:hAnsi="仿宋" w:eastAsia="仿宋"/>
          <w:b w:val="0"/>
          <w:sz w:val="24"/>
        </w:rPr>
        <w:t>26. 根据AIS/雷达目标数据，提供CPA/TCPA（最近会遇点/时间计算），并在风险超过阈值时触发碰撞预警。</w:t>
      </w:r>
    </w:p>
    <w:p>
      <w:pPr>
        <w:spacing w:line="300" w:lineRule="auto"/>
        <w:ind w:firstLine="480"/>
      </w:pPr>
      <w:r>
        <w:rPr>
          <w:rFonts w:ascii="仿宋" w:hAnsi="仿宋" w:eastAsia="仿宋"/>
          <w:b w:val="0"/>
          <w:sz w:val="24"/>
        </w:rPr>
        <w:t>27. 当船舶实时位置偏离计划航线超过设定的偏航阈值（XTD）时，立即发出告警。</w:t>
      </w:r>
    </w:p>
    <w:p>
      <w:pPr>
        <w:spacing w:line="300" w:lineRule="auto"/>
        <w:ind w:firstLine="480"/>
      </w:pPr>
      <w:r>
        <w:rPr>
          <w:rFonts w:ascii="仿宋" w:hAnsi="仿宋" w:eastAsia="仿宋"/>
          <w:b w:val="0"/>
          <w:sz w:val="24"/>
        </w:rPr>
        <w:t>28. 对传感器故障（如GPS信号丢失、陀螺罗经数据异常）、海图更新延迟、电源切换等系统级故障发出告警。</w:t>
      </w:r>
    </w:p>
    <w:p>
      <w:pPr>
        <w:spacing w:line="300" w:lineRule="auto"/>
        <w:ind w:firstLine="480"/>
      </w:pPr>
      <w:r>
        <w:rPr>
          <w:rFonts w:ascii="仿宋" w:hAnsi="仿宋" w:eastAsia="仿宋"/>
          <w:b w:val="0"/>
          <w:sz w:val="24"/>
        </w:rPr>
        <w:t>29. 遵循IMO/IHO规范，对报警进行优先级分类（紧急、警报、指示），并采用不同声光模式。</w:t>
      </w:r>
    </w:p>
    <w:p>
      <w:pPr>
        <w:spacing w:line="300" w:lineRule="auto"/>
        <w:ind w:firstLine="480"/>
      </w:pPr>
      <w:r>
        <w:rPr>
          <w:rFonts w:ascii="仿宋" w:hAnsi="仿宋" w:eastAsia="仿宋"/>
          <w:b w:val="0"/>
          <w:sz w:val="24"/>
        </w:rPr>
        <w:t>30. 提供告警/预警信息列表，允许船员确认、消除告警。</w:t>
      </w:r>
    </w:p>
    <w:p>
      <w:pPr>
        <w:spacing w:line="300" w:lineRule="auto"/>
        <w:ind w:firstLine="480"/>
      </w:pPr>
      <w:r>
        <w:rPr>
          <w:rFonts w:ascii="仿宋" w:hAnsi="仿宋" w:eastAsia="仿宋"/>
          <w:b w:val="0"/>
          <w:sz w:val="24"/>
        </w:rPr>
        <w:t>31. 提供直观的图形化界面，菜单层级简洁明了，支持常用功能快捷键访问。</w:t>
      </w:r>
    </w:p>
    <w:p>
      <w:pPr>
        <w:spacing w:line="300" w:lineRule="auto"/>
        <w:ind w:firstLine="480"/>
      </w:pPr>
      <w:r>
        <w:rPr>
          <w:rFonts w:ascii="仿宋" w:hAnsi="仿宋" w:eastAsia="仿宋"/>
          <w:b w:val="0"/>
          <w:sz w:val="24"/>
        </w:rPr>
        <w:t>32. 软件界面需适配高分辨率显示，支持通过软件指令调节背景亮度以适应夜间模式。</w:t>
      </w:r>
    </w:p>
    <w:p>
      <w:pPr>
        <w:spacing w:line="300" w:lineRule="auto"/>
        <w:ind w:firstLine="480"/>
      </w:pPr>
      <w:r>
        <w:rPr>
          <w:rFonts w:ascii="仿宋" w:hAnsi="仿宋" w:eastAsia="仿宋"/>
          <w:b w:val="0"/>
          <w:sz w:val="24"/>
        </w:rPr>
        <w:t>33. 对删除航线、修改安全参数等重要操作，需弹出确认对话框，要求船员进行二次确认，防止误操作。</w:t>
      </w:r>
    </w:p>
    <w:p>
      <w:pPr>
        <w:spacing w:line="300" w:lineRule="auto"/>
        <w:ind w:firstLine="480"/>
      </w:pPr>
      <w:r>
        <w:rPr>
          <w:rFonts w:ascii="仿宋" w:hAnsi="仿宋" w:eastAsia="仿宋"/>
          <w:b w:val="0"/>
          <w:sz w:val="24"/>
        </w:rPr>
        <w:t>34. 跨平台兼容性：软件必须支持跨架构与跨操作系统部署，具体包括硬件平台（龙芯、飞腾、瑞芯微）和操作系统（麒麟、Ubuntu），并保证长期稳定运行。</w:t>
      </w:r>
    </w:p>
    <w:p>
      <w:pPr>
        <w:spacing w:line="300" w:lineRule="auto"/>
        <w:ind w:firstLine="480"/>
      </w:pPr>
      <w:r>
        <w:rPr>
          <w:rFonts w:ascii="仿宋" w:hAnsi="仿宋" w:eastAsia="仿宋"/>
          <w:b w:val="0"/>
          <w:sz w:val="24"/>
        </w:rPr>
        <w:t>35. 多设备协同：软件架构需支持多台设备按优先级运行。</w:t>
      </w:r>
    </w:p>
    <w:p>
      <w:pPr>
        <w:spacing w:line="300" w:lineRule="auto"/>
        <w:ind w:firstLine="480"/>
      </w:pPr>
      <w:r>
        <w:rPr>
          <w:rFonts w:ascii="仿宋" w:hAnsi="仿宋" w:eastAsia="仿宋"/>
          <w:b w:val="0"/>
          <w:sz w:val="24"/>
        </w:rPr>
        <w:t>36. 采用模块化软件架构，预留标准数据接口，支持后续接入新型号导航传感器或功能模块。</w:t>
      </w:r>
    </w:p>
    <w:p>
      <w:pPr>
        <w:spacing w:line="300" w:lineRule="auto"/>
        <w:ind w:firstLine="480"/>
      </w:pPr>
      <w:r>
        <w:rPr>
          <w:rFonts w:ascii="仿宋" w:hAnsi="仿宋" w:eastAsia="仿宋"/>
          <w:b w:val="0"/>
          <w:sz w:val="24"/>
        </w:rPr>
        <w:t>37. 具备接收、解析和应用官方发布的S-63加密格式海图更新数据的能力，并生成更新记录。</w:t>
      </w:r>
    </w:p>
    <w:p>
      <w:pPr>
        <w:spacing w:line="300" w:lineRule="auto"/>
        <w:ind w:firstLine="480"/>
      </w:pPr>
      <w:r>
        <w:rPr>
          <w:rFonts w:ascii="仿宋" w:hAnsi="仿宋" w:eastAsia="仿宋"/>
          <w:b w:val="0"/>
          <w:sz w:val="24"/>
        </w:rPr>
        <w:t>38. 定期自动备份系统内部存储结构（SENC）和所有航行记录，确保数据安全。</w:t>
      </w:r>
    </w:p>
    <w:p>
      <w:pPr>
        <w:spacing w:line="300" w:lineRule="auto"/>
        <w:ind w:firstLine="480"/>
      </w:pPr>
      <w:r>
        <w:rPr>
          <w:rFonts w:ascii="仿宋" w:hAnsi="仿宋" w:eastAsia="仿宋"/>
          <w:b w:val="0"/>
          <w:sz w:val="24"/>
        </w:rPr>
        <w:t>39. 软件接口需遵循NMEA0183/2000协议与船载设备进行数据通信。</w:t>
      </w:r>
    </w:p>
    <w:p w14:paraId="4EA3BFA0">
      <w:pPr>
        <w:keepNext/>
        <w:keepLines/>
        <w:numPr>
          <w:ilvl w:val="1"/>
          <w:numId w:val="11"/>
        </w:numPr>
        <w:tabs>
          <w:tab w:val="left" w:pos="19"/>
        </w:tabs>
        <w:spacing w:before="140" w:after="140" w:line="360" w:lineRule="auto"/>
        <w:outlineLvl w:val="1"/>
        <w:rPr>
          <w:rFonts w:hint="eastAsia" w:ascii="黑体" w:hAnsi="黑体" w:eastAsia="黑体" w:cs="黑体"/>
          <w:sz w:val="28"/>
          <w:szCs w:val="32"/>
          <w:lang w:val="en-US" w:eastAsia="zh-CN"/>
        </w:rPr>
      </w:pPr>
      <w:r>
        <w:rPr>
          <w:rFonts w:hint="eastAsia" w:ascii="黑体" w:hAnsi="黑体" w:eastAsia="黑体" w:cs="黑体"/>
          <w:sz w:val="28"/>
          <w:szCs w:val="32"/>
          <w:lang w:val="en-US" w:eastAsia="zh-CN"/>
        </w:rPr>
        <w:t>性能要求</w:t>
      </w:r>
    </w:p>
    <w:p w14:paraId="15A14A81">
      <w:pPr>
        <w:spacing w:line="300" w:lineRule="auto"/>
        <w:ind w:firstLineChars="200" w:firstLine="480"/>
        <w:rPr>
          <w:rFonts w:hint="eastAsia"/>
          <w:lang w:val="en-US" w:eastAsia="zh-CN"/>
        </w:rPr>
      </w:pPr>
      <w:r>
        <w:rPr>
          <w:rFonts w:hint="eastAsia" w:ascii="仿宋" w:eastAsia="仿宋" w:hAnsi="仿宋"/>
          <w:b w:val="0"/>
          <w:sz w:val="24"/>
          <w:lang w:val="en-US" w:eastAsia="zh-CN"/>
        </w:rPr>
        <w:t>1. 1）一般操作响应时间（数据查阅、图表显示等操作）：＜2s；</w:t>
      </w:r>
      <w:r>
        <w:rPr>
          <w:rFonts w:hint="eastAsia"/>
          <w:lang w:val="en-US" w:eastAsia="zh-CN"/>
        </w:rPr>
      </w:r>
      <w:r>
        <w:rPr>
          <w:rFonts w:hint="eastAsia" w:ascii="Times New Roman" w:eastAsia="宋体"/>
          <w:lang w:val="en-US" w:eastAsia="zh-CN"/>
        </w:rPr>
      </w:r>
    </w:p>
    <w:p>
      <w:pPr>
        <w:spacing w:line="300" w:lineRule="auto"/>
        <w:ind w:firstLine="480"/>
      </w:pPr>
      <w:r>
        <w:rPr>
          <w:rFonts w:ascii="仿宋" w:hAnsi="仿宋" w:eastAsia="仿宋"/>
          <w:b w:val="0"/>
          <w:sz w:val="24"/>
        </w:rPr>
        <w:t>2. 2）系统初始化时间：＜10s；</w:t>
      </w:r>
    </w:p>
    <w:p>
      <w:pPr>
        <w:spacing w:line="300" w:lineRule="auto"/>
        <w:ind w:firstLine="480"/>
      </w:pPr>
      <w:r>
        <w:rPr>
          <w:rFonts w:ascii="仿宋" w:hAnsi="仿宋" w:eastAsia="仿宋"/>
          <w:b w:val="0"/>
          <w:sz w:val="24"/>
        </w:rPr>
        <w:t>3. 3）一般数据查询时间：＜5s；</w:t>
      </w:r>
    </w:p>
    <w:p>
      <w:pPr>
        <w:spacing w:line="300" w:lineRule="auto"/>
        <w:ind w:firstLine="480"/>
      </w:pPr>
      <w:r>
        <w:rPr>
          <w:rFonts w:ascii="仿宋" w:hAnsi="仿宋" w:eastAsia="仿宋"/>
          <w:b w:val="0"/>
          <w:sz w:val="24"/>
        </w:rPr>
        <w:t>4. 4）一般数据汇总时间：&lt;10s；</w:t>
      </w:r>
    </w:p>
    <w:p>
      <w:pPr>
        <w:spacing w:line="300" w:lineRule="auto"/>
        <w:ind w:firstLine="480"/>
      </w:pPr>
      <w:r>
        <w:rPr>
          <w:rFonts w:ascii="仿宋" w:hAnsi="仿宋" w:eastAsia="仿宋"/>
          <w:b w:val="0"/>
          <w:sz w:val="24"/>
        </w:rPr>
        <w:t>5. 5）指令响应率：100%；</w:t>
      </w:r>
    </w:p>
    <w:p>
      <w:pPr>
        <w:spacing w:line="300" w:lineRule="auto"/>
        <w:ind w:firstLine="480"/>
      </w:pPr>
      <w:r>
        <w:rPr>
          <w:rFonts w:ascii="仿宋" w:hAnsi="仿宋" w:eastAsia="仿宋"/>
          <w:b w:val="0"/>
          <w:sz w:val="24"/>
        </w:rPr>
        <w:t>6. 6）系统服务稳定性：99%；</w:t>
      </w:r>
    </w:p>
    <w:p>
      <w:pPr>
        <w:spacing w:line="300" w:lineRule="auto"/>
        <w:ind w:firstLine="480"/>
      </w:pPr>
      <w:r>
        <w:rPr>
          <w:rFonts w:ascii="仿宋" w:hAnsi="仿宋" w:eastAsia="仿宋"/>
          <w:b w:val="0"/>
          <w:sz w:val="24"/>
        </w:rPr>
        <w:t>7. 7）特殊操作超过该时间则需要给予用户明确的等待时间或进度条提示。</w:t>
      </w:r>
    </w:p>
    <w:p w14:paraId="36009ED4">
      <w:pPr>
        <w:keepNext/>
        <w:keepLines/>
        <w:numPr>
          <w:ilvl w:val="1"/>
          <w:numId w:val="11"/>
        </w:numPr>
        <w:tabs>
          <w:tab w:val="left" w:pos="19"/>
        </w:tabs>
        <w:spacing w:before="140" w:after="140" w:line="360" w:lineRule="auto"/>
        <w:outlineLvl w:val="1"/>
        <w:rPr>
          <w:rFonts w:hint="eastAsia" w:ascii="黑体" w:hAnsi="黑体" w:eastAsia="黑体" w:cs="黑体"/>
          <w:sz w:val="28"/>
          <w:szCs w:val="32"/>
          <w:lang w:val="en-US" w:eastAsia="zh-CN"/>
        </w:rPr>
      </w:pPr>
      <w:r>
        <w:rPr>
          <w:rFonts w:hint="eastAsia" w:ascii="黑体" w:hAnsi="黑体" w:eastAsia="黑体" w:cs="黑体"/>
          <w:sz w:val="28"/>
          <w:szCs w:val="32"/>
          <w:lang w:val="en-US" w:eastAsia="zh-CN"/>
        </w:rPr>
        <w:t>通用质量特性要求</w:t>
      </w:r>
    </w:p>
    <w:p w14:paraId="4250E55C">
      <w:pPr>
        <w:spacing w:line="300" w:lineRule="auto"/>
        <w:ind w:firstLineChars="200" w:firstLine="480"/>
        <w:rPr>
          <w:rFonts w:hint="eastAsia"/>
          <w:lang w:val="en-US" w:eastAsia="zh-CN"/>
        </w:rPr>
      </w:pPr>
      <w:r>
        <w:rPr>
          <w:rFonts w:hint="eastAsia" w:ascii="仿宋" w:eastAsia="仿宋" w:hAnsi="仿宋"/>
          <w:b w:val="0"/>
          <w:sz w:val="24"/>
          <w:lang w:val="en-US" w:eastAsia="zh-CN"/>
        </w:rPr>
        <w:t>1. 海图数据加载准确完整，海图初始化时间&lt;=8S，海图响应时间&lt;=2S；航线安全检查结果准确率高于99%；存储介质可靠；接口通信具备错误校验和自动重连机制，以保证数据链路的可靠</w:t>
      </w:r>
      <w:r>
        <w:rPr>
          <w:rFonts w:hint="eastAsia"/>
          <w:lang w:val="en-US" w:eastAsia="zh-CN"/>
        </w:rPr>
      </w:r>
      <w:r>
        <w:rPr>
          <w:rFonts w:hint="eastAsia" w:ascii="Times New Roman" w:eastAsia="宋体"/>
          <w:lang w:val="en-US" w:eastAsia="zh-CN"/>
        </w:rPr>
      </w:r>
    </w:p>
    <w:p>
      <w:pPr>
        <w:spacing w:line="300" w:lineRule="auto"/>
        <w:ind w:firstLine="480"/>
      </w:pPr>
      <w:r>
        <w:rPr>
          <w:rFonts w:ascii="仿宋" w:hAnsi="仿宋" w:eastAsia="仿宋"/>
          <w:b w:val="0"/>
          <w:sz w:val="24"/>
        </w:rPr>
        <w:t>2. 系统部署运行软硬件环境满足全军统一国产化要求。</w:t>
      </w:r>
    </w:p>
    <w:p>
      <w:pPr>
        <w:spacing w:line="300" w:lineRule="auto"/>
        <w:ind w:firstLine="480"/>
      </w:pPr>
      <w:r>
        <w:rPr>
          <w:rFonts w:ascii="仿宋" w:hAnsi="仿宋" w:eastAsia="仿宋"/>
          <w:b w:val="0"/>
          <w:sz w:val="24"/>
        </w:rPr>
        <w:t>3. 系统上线运行前必须进行整体安全性测试，并提供安全测试报告；系统管理人员必须进行严格培训，能熟练进行系统管理；</w:t>
      </w:r>
    </w:p>
    <w:p>
      <w:pPr>
        <w:spacing w:line="300" w:lineRule="auto"/>
        <w:ind w:firstLine="480"/>
      </w:pPr>
      <w:r>
        <w:rPr>
          <w:rFonts w:ascii="仿宋" w:hAnsi="仿宋" w:eastAsia="仿宋"/>
          <w:b w:val="0"/>
          <w:sz w:val="24"/>
        </w:rPr>
        <w:t>4. 对访问用户按照岗位业务进行灵活的权限设计，建立严格的授权机制；严禁在正式运行的系统与数据库中进行测试操作。</w:t>
      </w:r>
    </w:p>
    <w:p>
      <w:pPr>
        <w:spacing w:line="300" w:lineRule="auto"/>
        <w:ind w:firstLine="480"/>
      </w:pPr>
      <w:r>
        <w:rPr>
          <w:rFonts w:ascii="仿宋" w:hAnsi="仿宋" w:eastAsia="仿宋"/>
          <w:b w:val="0"/>
          <w:sz w:val="24"/>
        </w:rPr>
        <w:t>5. 支持按照军用计算机网络安全防护标准进行网络软硬件部署配置。</w:t>
      </w:r>
    </w:p>
    <w:p>
      <w:pPr>
        <w:spacing w:line="300" w:lineRule="auto"/>
        <w:ind w:firstLine="480"/>
      </w:pPr>
      <w:r>
        <w:rPr>
          <w:rFonts w:ascii="仿宋" w:hAnsi="仿宋" w:eastAsia="仿宋"/>
          <w:b w:val="0"/>
          <w:sz w:val="24"/>
        </w:rPr>
        <w:t>6. 软件随主机设备移交时，应同时移交用户使用手册。软件移交后，需要配合联试和使用进行维护，对软件的更改做好记录，同时需保持文档与代码的可追溯性和一致性。</w:t>
      </w:r>
    </w:p>
    <w:p>
      <w:pPr>
        <w:spacing w:line="300" w:lineRule="auto"/>
        <w:ind w:firstLine="480"/>
      </w:pPr>
      <w:r>
        <w:rPr>
          <w:rFonts w:ascii="仿宋" w:hAnsi="仿宋" w:eastAsia="仿宋"/>
          <w:b w:val="0"/>
          <w:sz w:val="24"/>
        </w:rPr>
        <w:t>7. 功能模块（如数据接入、告警管理、系统配置等）之间须具有定义清晰、稳定的接口；</w:t>
      </w:r>
    </w:p>
    <w:p>
      <w:pPr>
        <w:spacing w:line="300" w:lineRule="auto"/>
        <w:ind w:firstLine="480"/>
      </w:pPr>
      <w:r>
        <w:rPr>
          <w:rFonts w:ascii="仿宋" w:hAnsi="仿宋" w:eastAsia="仿宋"/>
          <w:b w:val="0"/>
          <w:sz w:val="24"/>
        </w:rPr>
        <w:t>8. MTTR（平均维修时间）：≤</w:t>
      </w:r>
    </w:p>
    <w:p>
      <w:pPr>
        <w:spacing w:line="300" w:lineRule="auto"/>
        <w:ind w:firstLine="480"/>
      </w:pPr>
      <w:r>
        <w:rPr>
          <w:rFonts w:ascii="仿宋" w:hAnsi="仿宋" w:eastAsia="仿宋"/>
          <w:b w:val="0"/>
          <w:sz w:val="24"/>
        </w:rPr>
        <w:t>9. 系统及其各模块在设计和实现时须充分考虑可测试性，包括提供必要的测试接口或机制，支持自动化测试的实施，以便于进行有效的单元测试、集成测试、系统测试和验收测试。</w:t>
      </w:r>
    </w:p>
    <w:p>
      <w:pPr>
        <w:spacing w:line="300" w:lineRule="auto"/>
        <w:ind w:firstLine="480"/>
      </w:pPr>
      <w:r>
        <w:rPr>
          <w:rFonts w:ascii="仿宋" w:hAnsi="仿宋" w:eastAsia="仿宋"/>
          <w:b w:val="0"/>
          <w:sz w:val="24"/>
        </w:rPr>
        <w:t>10. 软件运行环境：硬件平台（龙芯、飞腾、瑞芯微）和系统（麒麟、Ubuntu）。</w:t>
      </w:r>
    </w:p>
    <w:p>
      <w:pPr>
        <w:spacing w:line="300" w:lineRule="auto"/>
        <w:ind w:firstLine="480"/>
      </w:pPr>
      <w:r>
        <w:rPr>
          <w:rFonts w:ascii="仿宋" w:hAnsi="仿宋" w:eastAsia="仿宋"/>
          <w:b w:val="0"/>
          <w:sz w:val="24"/>
        </w:rPr>
        <w:t>11. 安全告警与风险接口：操作过程中提供及时的视觉、听觉反馈。如点击按钮后，按钮会有颜色变化或轻微震动反馈；执行操作成功或失败时，会通过不同的提示音和屏幕提示告知船员。对于重要操作，如删除航线，会弹出确认对话框，要求船员二次确认，防止误操作。</w:t>
      </w:r>
    </w:p>
    <w:p>
      <w:pPr>
        <w:spacing w:line="300" w:lineRule="auto"/>
        <w:ind w:firstLine="480"/>
      </w:pPr>
      <w:r>
        <w:rPr>
          <w:rFonts w:ascii="仿宋" w:hAnsi="仿宋" w:eastAsia="仿宋"/>
          <w:b w:val="0"/>
          <w:sz w:val="24"/>
        </w:rPr>
        <w:t>12. 航线规划与监控接口：航线规划功能可通过点击特定图标，在海图上进行航点绘制和编辑。采用直观图形化界面，通过菜单、按钮、图标等元素，实现对电子海图显示与信息系统的各项操作。菜单层级简洁明了，方便船员快速找到所需功能；</w:t>
      </w:r>
    </w:p>
    <w:p>
      <w:pPr>
        <w:spacing w:line="300" w:lineRule="auto"/>
        <w:ind w:firstLine="480"/>
      </w:pPr>
      <w:r>
        <w:rPr>
          <w:rFonts w:ascii="仿宋" w:hAnsi="仿宋" w:eastAsia="仿宋"/>
          <w:b w:val="0"/>
          <w:sz w:val="24"/>
        </w:rPr>
        <w:t>13. 数据库数据读写接口：海图底图存储或载遵循IHO S-57标准，实现与电子海图数据（ENC）的交互，将ENC数据转换为系统内部存储结构（SENC）。支持官方发布的海图更新数据（如S-63加密格式）的接收、解析和应用，确保海图信息的及时性和准确性。</w:t>
      </w:r>
    </w:p>
    <w:p>
      <w:pPr>
        <w:spacing w:line="300" w:lineRule="auto"/>
        <w:ind w:firstLine="480"/>
      </w:pPr>
      <w:r>
        <w:rPr>
          <w:rFonts w:ascii="仿宋" w:hAnsi="仿宋" w:eastAsia="仿宋"/>
          <w:b w:val="0"/>
          <w:sz w:val="24"/>
        </w:rPr>
        <w:t>14. 海图显示与态势融合接口：采用直观图形化界面，通过菜单、按钮、图标等元素，实现对电子海图显示与信息系统的各项操作。菜单层级简洁明了，方便船员快速找到所需功能；按钮和图标设计符合人体工程学，便于点击和识别。例如，按钮和图标设计符合人体工程学，便于点击和识别。例如，航线规划功能可通过点击特定图标，在海图上进行航点绘制和编辑。</w:t>
      </w:r>
    </w:p>
    <w:p>
      <w:pPr>
        <w:spacing w:line="300" w:lineRule="auto"/>
        <w:ind w:firstLine="480"/>
      </w:pPr>
      <w:r>
        <w:rPr>
          <w:rFonts w:ascii="仿宋" w:hAnsi="仿宋" w:eastAsia="仿宋"/>
          <w:b w:val="0"/>
          <w:sz w:val="24"/>
        </w:rPr>
        <w:t>15. 外部数据与文件系统：支持与外部设备（如USB存储设备、便携式电脑）的数据交换，便于海图数据的备份、航线文件的导入导出。采用通用的数据格式（如CSV、XML），确保与其他系统的数据兼容性。例如，船员可将规划好的航线导出为CSV文件，通过USB存储设备传输到其他船舶的电子海图显示与信息系统系统中。</w:t>
      </w:r>
    </w:p>
    <w:p>
      <w:pPr>
        <w:spacing w:line="300" w:lineRule="auto"/>
        <w:ind w:firstLine="480"/>
      </w:pPr>
      <w:r>
        <w:rPr>
          <w:rFonts w:ascii="仿宋" w:hAnsi="仿宋" w:eastAsia="仿宋"/>
          <w:b w:val="0"/>
          <w:sz w:val="24"/>
        </w:rPr>
        <w:t>16. 传感器与导航设备：与定位系统（如GPS、北斗）、电罗经、计程仪等设备进行数据通信，接收船舶的位置、航向、速度等信息。采用NMEA 0183或NMEA 2000等标准协议，实现数据的稳定传输和解析。例如，通过NMEA 0183协议接收GPS设备发送的船位数据，并在海图上准确显示船舶实时位置。新增与BNWAS（桥楼航行值班报警系统）、VDR（航行数据记录仪）、BAM（船舶安保报警系统）、MSI（航海气象信息系统）、INS（惯性导航系统）等系统的接口。通过这些接口，实现数据共享和功能协同。如与MSI系统连接，获取气象预报信息，并在海图上叠加显示风浪、台风路径等气象数据，辅助船员进行航线决策。</w:t>
      </w:r>
    </w:p>
    <w:p>
      <w:pPr>
        <w:spacing w:line="300" w:lineRule="auto"/>
        <w:ind w:firstLine="480"/>
      </w:pPr>
      <w:r>
        <w:rPr>
          <w:rFonts w:ascii="仿宋" w:hAnsi="仿宋" w:eastAsia="仿宋"/>
          <w:b w:val="0"/>
          <w:sz w:val="24"/>
        </w:rPr>
        <w:t>17. 人机交互与控制HMI：支持多种输入方式，如触摸屏、鼠标、键盘、轨迹球等。触摸屏操作直观便捷，适合快速调整显示参数或选择功能；鼠标和键盘则便于进行复杂的文字输入和精确操作，如输入港口名称进行搜索。</w:t>
      </w:r>
    </w:p>
    <w:p>
      <w:pPr>
        <w:spacing w:line="300" w:lineRule="auto"/>
        <w:ind w:firstLine="480"/>
      </w:pPr>
      <w:r>
        <w:rPr>
          <w:rFonts w:ascii="仿宋" w:hAnsi="仿宋" w:eastAsia="仿宋"/>
          <w:b w:val="0"/>
          <w:sz w:val="24"/>
        </w:rPr>
        <w:t>18. 需求标识符：DZHT_2025_DesignRestrict。</w:t>
      </w:r>
    </w:p>
    <w:p>
      <w:pPr>
        <w:spacing w:line="300" w:lineRule="auto"/>
        <w:ind w:firstLine="480"/>
      </w:pPr>
      <w:r>
        <w:rPr>
          <w:rFonts w:ascii="仿宋" w:hAnsi="仿宋" w:eastAsia="仿宋"/>
          <w:b w:val="0"/>
          <w:sz w:val="24"/>
        </w:rPr>
        <w:t>19. 电子海图显示与信息系统的设计约束如下：</w:t>
      </w:r>
    </w:p>
    <w:p>
      <w:pPr>
        <w:spacing w:line="300" w:lineRule="auto"/>
        <w:ind w:firstLine="480"/>
      </w:pPr>
      <w:r>
        <w:rPr>
          <w:rFonts w:ascii="仿宋" w:hAnsi="仿宋" w:eastAsia="仿宋"/>
          <w:b w:val="0"/>
          <w:sz w:val="24"/>
        </w:rPr>
        <w:t>20. 本项目研制工作的开展必须严格遵守相关保密规定；</w:t>
      </w:r>
    </w:p>
    <w:p>
      <w:pPr>
        <w:spacing w:line="300" w:lineRule="auto"/>
        <w:ind w:firstLine="480"/>
      </w:pPr>
      <w:r>
        <w:rPr>
          <w:rFonts w:ascii="仿宋" w:hAnsi="仿宋" w:eastAsia="仿宋"/>
          <w:b w:val="0"/>
          <w:sz w:val="24"/>
        </w:rPr>
        <w:t>21. 本软件支持用户操作界面与显示，采用C++编程语言；</w:t>
      </w:r>
    </w:p>
    <w:p>
      <w:pPr>
        <w:spacing w:line="300" w:lineRule="auto"/>
        <w:ind w:firstLine="480"/>
      </w:pPr>
      <w:r>
        <w:rPr>
          <w:rFonts w:ascii="仿宋" w:hAnsi="仿宋" w:eastAsia="仿宋"/>
          <w:b w:val="0"/>
          <w:sz w:val="24"/>
        </w:rPr>
        <w:t>22. 软件采用分层结构和模块化设计，设计是充分考虑继承性、灵活性和可维护性。</w:t>
      </w:r>
    </w:p>
    <w:p>
      <w:pPr>
        <w:spacing w:line="300" w:lineRule="auto"/>
        <w:ind w:firstLine="480"/>
      </w:pPr>
      <w:r>
        <w:rPr>
          <w:rFonts w:ascii="仿宋" w:hAnsi="仿宋" w:eastAsia="仿宋"/>
          <w:b w:val="0"/>
          <w:sz w:val="24"/>
        </w:rPr>
        <w:t>23. 乙方应当接受甲方质量体系及客户代表机构的监督和评价，应当确保甲方及经甲方同意的</w:t>
      </w:r>
    </w:p>
    <w:p>
      <w:pPr>
        <w:spacing w:line="300" w:lineRule="auto"/>
        <w:ind w:firstLine="480"/>
      </w:pPr>
      <w:r>
        <w:rPr>
          <w:rFonts w:ascii="仿宋" w:hAnsi="仿宋" w:eastAsia="仿宋"/>
          <w:b w:val="0"/>
          <w:sz w:val="24"/>
        </w:rPr>
        <w:t>24. 有关方有权进入与本规格书有关现场，开展过程及产品质量监督，以验证乙方对规格书要求的</w:t>
      </w:r>
    </w:p>
    <w:p>
      <w:pPr>
        <w:spacing w:line="300" w:lineRule="auto"/>
        <w:ind w:firstLine="480"/>
      </w:pPr>
      <w:r>
        <w:rPr>
          <w:rFonts w:ascii="仿宋" w:hAnsi="仿宋" w:eastAsia="仿宋"/>
          <w:b w:val="0"/>
          <w:sz w:val="24"/>
        </w:rPr>
        <w:t>25. 遵守情况，乙方应当提供必要的数据、记录、文件等资源支持。</w:t>
      </w:r>
    </w:p>
    <w:p>
      <w:pPr>
        <w:spacing w:line="300" w:lineRule="auto"/>
        <w:ind w:firstLine="480"/>
      </w:pPr>
      <w:r>
        <w:rPr>
          <w:rFonts w:ascii="仿宋" w:hAnsi="仿宋" w:eastAsia="仿宋"/>
          <w:b w:val="0"/>
          <w:sz w:val="24"/>
        </w:rPr>
        <w:t>26. 甲乙双方应当在产品检测评价标准、缺陷判据、抽样方法等方面达成一致，由合同甲方制</w:t>
      </w:r>
    </w:p>
    <w:p>
      <w:pPr>
        <w:spacing w:line="300" w:lineRule="auto"/>
        <w:ind w:firstLine="480"/>
      </w:pPr>
      <w:r>
        <w:rPr>
          <w:rFonts w:ascii="仿宋" w:hAnsi="仿宋" w:eastAsia="仿宋"/>
          <w:b w:val="0"/>
          <w:sz w:val="24"/>
        </w:rPr>
        <w:t>27. 定《电子海图显示与信息系统软件验收大纲》文件。</w:t>
      </w:r>
    </w:p>
    <w:p>
      <w:pPr>
        <w:spacing w:line="300" w:lineRule="auto"/>
        <w:ind w:firstLine="480"/>
      </w:pPr>
      <w:r>
        <w:rPr>
          <w:rFonts w:ascii="仿宋" w:hAnsi="仿宋" w:eastAsia="仿宋"/>
          <w:b w:val="0"/>
          <w:sz w:val="24"/>
        </w:rPr>
        <w:t>28. 乙方应配合甲方完成外包验收工作，验收按照甲方编制的验收大纲、规范中相关要求执行。</w:t>
      </w:r>
    </w:p>
    <w:p>
      <w:pPr>
        <w:spacing w:line="300" w:lineRule="auto"/>
        <w:ind w:firstLine="480"/>
      </w:pPr>
      <w:r>
        <w:rPr>
          <w:rFonts w:ascii="仿宋" w:hAnsi="仿宋" w:eastAsia="仿宋"/>
          <w:b w:val="0"/>
          <w:sz w:val="24"/>
        </w:rPr>
        <w:t>29. 乙方需提供给甲方的外包验收交付物见表1。</w:t>
      </w:r>
    </w:p>
    <w:p>
      <w:pPr>
        <w:spacing w:line="300" w:lineRule="auto"/>
        <w:ind w:firstLine="480"/>
      </w:pPr>
      <w:r>
        <w:rPr>
          <w:rFonts w:ascii="仿宋" w:hAnsi="仿宋" w:eastAsia="仿宋"/>
          <w:b w:val="0"/>
          <w:sz w:val="24"/>
        </w:rPr>
        <w:t>30. 2.1条要求开展产品检测和评价，有下列情形时，甲方有权拒收</w:t>
      </w:r>
    </w:p>
    <w:p>
      <w:pPr>
        <w:spacing w:line="300" w:lineRule="auto"/>
        <w:ind w:firstLine="480"/>
      </w:pPr>
      <w:r>
        <w:rPr>
          <w:rFonts w:ascii="仿宋" w:hAnsi="仿宋" w:eastAsia="仿宋"/>
          <w:b w:val="0"/>
          <w:sz w:val="24"/>
        </w:rPr>
        <w:t>31. 交付的产品：所交付产品为不合格产品的；所交付产品含有侵权纠纷的；提交产品尚未完成甲</w:t>
      </w:r>
    </w:p>
    <w:p>
      <w:pPr>
        <w:spacing w:line="300" w:lineRule="auto"/>
        <w:ind w:firstLine="480"/>
      </w:pPr>
      <w:r>
        <w:rPr>
          <w:rFonts w:ascii="仿宋" w:hAnsi="仿宋" w:eastAsia="仿宋"/>
          <w:b w:val="0"/>
          <w:sz w:val="24"/>
        </w:rPr>
        <w:t>32. 方的设计要求；乙方对甲方提出的纠正措施要求未作答复或提供的纠正措施不能接受的；在甲</w:t>
      </w:r>
    </w:p>
    <w:p>
      <w:pPr>
        <w:spacing w:line="300" w:lineRule="auto"/>
        <w:ind w:firstLine="480"/>
      </w:pPr>
      <w:r>
        <w:rPr>
          <w:rFonts w:ascii="仿宋" w:hAnsi="仿宋" w:eastAsia="仿宋"/>
          <w:b w:val="0"/>
          <w:sz w:val="24"/>
        </w:rPr>
        <w:t>33. 方要求不得让步接收的产品中存在让步接收情况的。</w:t>
      </w:r>
    </w:p>
    <w:p>
      <w:pPr>
        <w:spacing w:line="300" w:lineRule="auto"/>
        <w:ind w:firstLine="480"/>
      </w:pPr>
      <w:r>
        <w:rPr>
          <w:rFonts w:ascii="仿宋" w:hAnsi="仿宋" w:eastAsia="仿宋"/>
          <w:b w:val="0"/>
          <w:sz w:val="24"/>
        </w:rPr>
        <w:t>34. 乙方出现如交付产品不合格、使用中出现批次性质量问题、质量问题导致甲方或甲方顾客</w:t>
      </w:r>
    </w:p>
    <w:p>
      <w:pPr>
        <w:spacing w:line="300" w:lineRule="auto"/>
        <w:ind w:firstLine="480"/>
      </w:pPr>
      <w:r>
        <w:rPr>
          <w:rFonts w:ascii="仿宋" w:hAnsi="仿宋" w:eastAsia="仿宋"/>
          <w:b w:val="0"/>
          <w:sz w:val="24"/>
        </w:rPr>
        <w:t>35. 损失等情况时，乙方应负责更换并承担所有处理费用，并赔偿甲方损失。</w:t>
      </w:r>
    </w:p>
    <w:p>
      <w:pPr>
        <w:spacing w:line="300" w:lineRule="auto"/>
        <w:ind w:firstLine="480"/>
      </w:pPr>
      <w:r>
        <w:rPr>
          <w:rFonts w:ascii="仿宋" w:hAnsi="仿宋" w:eastAsia="仿宋"/>
          <w:b w:val="0"/>
          <w:sz w:val="24"/>
        </w:rPr>
        <w:t>36. 乙方出现使用侵权纠纷、出具虚假数据或结论、不及时反馈甲方质量质询等情况时，甲方</w:t>
      </w:r>
    </w:p>
    <w:p>
      <w:pPr>
        <w:spacing w:line="300" w:lineRule="auto"/>
        <w:ind w:firstLine="480"/>
      </w:pPr>
      <w:r>
        <w:rPr>
          <w:rFonts w:ascii="仿宋" w:hAnsi="仿宋" w:eastAsia="仿宋"/>
          <w:b w:val="0"/>
          <w:sz w:val="24"/>
        </w:rPr>
        <w:t>37. 有权采取暂停交付或取消供应商资格等措施。</w:t>
      </w:r>
    </w:p>
    <w:p>
      <w:pPr>
        <w:spacing w:line="300" w:lineRule="auto"/>
        <w:ind w:firstLine="480"/>
      </w:pPr>
      <w:r>
        <w:rPr>
          <w:rFonts w:ascii="仿宋" w:hAnsi="仿宋" w:eastAsia="仿宋"/>
          <w:b w:val="0"/>
          <w:sz w:val="24"/>
        </w:rPr>
        <w:t>38. 乙方出现弄虚作假，隐瞒重大设计缺陷、制造缺陷、质量问题或隐患，出具虚假数据或结</w:t>
      </w:r>
    </w:p>
    <w:p>
      <w:pPr>
        <w:spacing w:line="300" w:lineRule="auto"/>
        <w:ind w:firstLine="480"/>
      </w:pPr>
      <w:r>
        <w:rPr>
          <w:rFonts w:ascii="仿宋" w:hAnsi="仿宋" w:eastAsia="仿宋"/>
          <w:b w:val="0"/>
          <w:sz w:val="24"/>
        </w:rPr>
        <w:t>39. 论，产品重大质量事故隐瞒不报、谎报或故意延误报告，故意将不合格品交付，存在以次充好、</w:t>
      </w:r>
    </w:p>
    <w:p>
      <w:pPr>
        <w:spacing w:line="300" w:lineRule="auto"/>
        <w:ind w:firstLine="480"/>
      </w:pPr>
      <w:r>
        <w:rPr>
          <w:rFonts w:ascii="仿宋" w:hAnsi="仿宋" w:eastAsia="仿宋"/>
          <w:b w:val="0"/>
          <w:sz w:val="24"/>
        </w:rPr>
        <w:t>40. 以假充真等情形时，构成犯罪的，依法追究刑事责任。</w:t>
      </w:r>
    </w:p>
    <w:p w14:paraId="47E94A43">
      <w:pPr>
        <w:keepNext/>
        <w:keepLines/>
        <w:numPr>
          <w:ilvl w:val="0"/>
          <w:numId w:val="11"/>
        </w:numPr>
        <w:tabs>
          <w:tab w:val="left" w:pos="0"/>
        </w:tabs>
        <w:spacing w:line="360" w:lineRule="auto"/>
        <w:outlineLvl w:val="0"/>
        <w:rPr>
          <w:rFonts w:ascii="Calibri" w:hAnsi="Calibri" w:eastAsia="黑体"/>
          <w:bCs/>
          <w:kern w:val="44"/>
          <w:sz w:val="30"/>
          <w:szCs w:val="44"/>
        </w:rPr>
      </w:pPr>
      <w:bookmarkStart w:id="13" w:name="_Toc20958"/>
      <w:r>
        <w:rPr>
          <w:rFonts w:hint="eastAsia" w:ascii="Calibri" w:hAnsi="Calibri" w:eastAsia="黑体"/>
          <w:bCs/>
          <w:kern w:val="44"/>
          <w:sz w:val="30"/>
          <w:szCs w:val="44"/>
        </w:rPr>
        <w:t>技术方案</w:t>
      </w:r>
      <w:bookmarkEnd w:id="13"/>
    </w:p>
    <w:p w14:paraId="5BD2D649">
      <w:pPr>
        <w:keepNext/>
        <w:keepLines/>
        <w:numPr>
          <w:ilvl w:val="1"/>
          <w:numId w:val="11"/>
        </w:numPr>
        <w:tabs>
          <w:tab w:val="left" w:pos="19"/>
        </w:tabs>
        <w:spacing w:before="140" w:after="140" w:line="360" w:lineRule="auto"/>
        <w:outlineLvl w:val="1"/>
        <w:rPr>
          <w:rFonts w:hint="eastAsia" w:ascii="黑体" w:hAnsi="黑体" w:eastAsia="黑体" w:cs="黑体"/>
          <w:sz w:val="28"/>
          <w:szCs w:val="32"/>
        </w:rPr>
      </w:pPr>
      <w:bookmarkStart w:id="14" w:name="_Toc25873"/>
      <w:r>
        <w:rPr>
          <w:rFonts w:hint="eastAsia" w:ascii="黑体" w:hAnsi="黑体" w:eastAsia="黑体" w:cs="黑体"/>
          <w:sz w:val="28"/>
          <w:szCs w:val="32"/>
        </w:rPr>
        <w:t>架构</w:t>
      </w:r>
      <w:bookmarkEnd w:id="14"/>
      <w:r>
        <w:rPr>
          <w:rFonts w:hint="eastAsia" w:ascii="黑体" w:hAnsi="黑体" w:eastAsia="黑体" w:cs="黑体"/>
          <w:sz w:val="28"/>
          <w:szCs w:val="32"/>
          <w:lang w:val="en-US" w:eastAsia="zh-CN"/>
        </w:rPr>
        <w:t>设计</w:t>
      </w:r>
    </w:p>
    <w:p w14:paraId="42C34A86">
      <w:pPr>
        <w:keepNext/>
        <w:keepLines/>
        <w:numPr>
          <w:ilvl w:val="2"/>
          <w:numId w:val="11"/>
        </w:numPr>
        <w:tabs>
          <w:tab w:val="left" w:pos="0"/>
        </w:tabs>
        <w:spacing w:line="360" w:lineRule="auto"/>
        <w:outlineLvl w:val="2"/>
        <w:rPr>
          <w:rFonts w:hint="eastAsia" w:eastAsia="黑体"/>
          <w:bCs/>
          <w:szCs w:val="32"/>
        </w:rPr>
      </w:pPr>
      <w:r>
        <w:rPr>
          <w:rFonts w:hint="eastAsia" w:eastAsia="黑体"/>
          <w:bCs/>
          <w:szCs w:val="32"/>
        </w:rPr>
        <w:t>系统总体架构</w:t>
      </w:r>
    </w:p>
    <w:p w14:paraId="0586BDD8">
      <w:pPr>
        <w:numPr>
          <w:numId w:val="0"/>
        </w:numPr>
        <w:adjustRightInd w:val="0"/>
        <w:spacing w:line="300" w:lineRule="auto"/>
        <w:ind w:leftChars="200" w:firstLine="480"/>
        <w:rPr>
          <w:szCs w:val="28"/>
        </w:rPr>
      </w:pPr>
      <w:r>
        <w:rPr>
          <w:rFonts w:hint="default" w:ascii="仿宋" w:hAnsi="仿宋" w:eastAsia="仿宋"/>
          <w:b w:val="0"/>
          <w:sz w:val="24"/>
          <w:szCs w:val="28"/>
          <w:lang w:val="en-US" w:eastAsia="zh-CN"/>
        </w:rPr>
        <w:t>系统总体架构采用分层设计思路，围绕用户访问、前端展现、业务应用、数据资源、接口集成、安全保障和运维支撑进行组织。功能模块依据招标要求拆分为海图综合态势展示、AIS/雷达等目标信息的处理与显示、航线规划、安全等深线与水深告警、航行监控导航与安全预警、个性化设置需求、基础平台与架构要求、数据维护与合规等能力，保证业务功能、数据处理和接口协同之间边界清晰。</w:t>
      </w:r>
      <w:r>
        <w:rPr>
          <w:rFonts w:hint="eastAsia"/>
          <w:szCs w:val="28"/>
          <w:lang w:val="en-US" w:eastAsia="zh-CN"/>
        </w:rPr>
      </w:r>
      <w:r>
        <w:rPr>
          <w:rFonts w:hint="default"/>
          <w:szCs w:val="28"/>
          <w:lang w:val="en-US" w:eastAsia="zh-CN"/>
        </w:rPr>
      </w:r>
    </w:p>
    <w:p>
      <w:pPr>
        <w:spacing w:line="300" w:lineRule="auto"/>
        <w:ind w:firstLine="480"/>
      </w:pPr>
      <w:r>
        <w:rPr>
          <w:rFonts w:ascii="仿宋" w:hAnsi="仿宋" w:eastAsia="仿宋"/>
          <w:b w:val="0"/>
          <w:sz w:val="24"/>
        </w:rPr>
        <w:t>架构设计同时响应评分表关注的重点：58.00分（分值：58.00分）；1.技术指标正偏离评分 按数量评分，设基准分值为5分，一般技术指标正偏离一项加 1分，最高得标准分值。 （三分之二以上技术专家认定正偏离对产品性能没有实质意义的指标值，不得分，但须备注：正偏离无实质意义） 正偏离须提供产品规格表或产品宣传彩页或技术白皮书或制造商官方网站发布的产品信息或说明书等或检测机构出具的检测报告等技术资料支持材料，对于软件类投标供应商可提供承诺函。（分值：11.00）；1.根据技术方案对需求分析的全面性、准确性、充分性进行评审。 说明：根据投标供应商技术方案内容进行评审，最优的得标准分值，其余依次按标准分值的20 %递减，最低分为0分。 注：1.技术方案应对采购文件技术要求全面响应。2.技术方案内容要求，可包括需求分析、架构设计（业务、技术架构）、系统功能、部署方案、安全设计（网络安全、保密性等）、关键技术等。（分值：3.00）。在实现上，方案强调业务架构、逻辑架构、技术架构和数据架构之间的一致性，通过标准接口、模块化组件、统一日志和配置管理提升扩展性与可维护性。</w:t>
      </w:r>
    </w:p>
    <w:p w14:paraId="6BB68F78">
      <w:pPr>
        <w:spacing w:line="360" w:lineRule="auto"/>
        <w:ind w:firstLine="480" w:firstLineChars="200"/>
        <w:rPr>
          <w:rFonts w:hint="eastAsia"/>
        </w:rPr>
      </w:pPr>
      <w:r>
        <w:rPr>
          <w:rFonts w:hint="eastAsia"/>
        </w:rPr>
        <w:t>系统架构如下图所示：</w:t>
      </w:r>
    </w:p>
    <w:p w14:paraId="238B6481">
      <w:pPr>
        <w:spacing w:line="300" w:lineRule="auto"/>
        <w:jc w:val="center"/>
        <w:rPr>
          <w:rFonts w:hint="eastAsia"/>
        </w:rPr>
      </w:pPr>
      <w:r>
        <w:rPr>
          <w:rFonts w:hint="eastAsia" w:ascii="仿宋" w:hAnsi="仿宋" w:eastAsia="仿宋"/>
          <w:b w:val="0"/>
          <w:sz w:val="24"/>
          <w:lang w:val="en-US" w:eastAsia="zh-CN"/>
        </w:rPr>
      </w:r>
    </w:p>
    <w:p>
      <w:pPr>
        <w:jc w:val="center"/>
      </w:pPr>
      <w:r>
        <w:drawing>
          <wp:inline xmlns:a="http://schemas.openxmlformats.org/drawingml/2006/main" xmlns:pic="http://schemas.openxmlformats.org/drawingml/2006/picture">
            <wp:extent cx="5303520" cy="3049524"/>
            <wp:docPr id="1049926589" name="Picture 1049926589"/>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03520" cy="3049524"/>
                    </a:xfrm>
                    <a:prstGeom prst="rect"/>
                  </pic:spPr>
                </pic:pic>
              </a:graphicData>
            </a:graphic>
          </wp:inline>
        </w:drawing>
      </w:r>
    </w:p>
    <w:p>
      <w:pPr>
        <w:spacing w:line="300" w:lineRule="auto"/>
        <w:ind/>
        <w:jc w:val="center"/>
      </w:pPr>
      <w:r>
        <w:rPr>
          <w:rFonts w:ascii="仿宋" w:hAnsi="仿宋" w:eastAsia="仿宋"/>
          <w:b w:val="0"/>
          <w:sz w:val="24"/>
        </w:rPr>
        <w:t>总体架构图</w:t>
      </w:r>
    </w:p>
    <w:p w14:paraId="15FA4381">
      <w:pPr>
        <w:numPr>
          <w:ilvl w:val="0"/>
          <w:numId w:val="14"/>
        </w:numPr>
        <w:spacing w:line="360" w:lineRule="auto"/>
        <w:ind w:left="622" w:hanging="621" w:hangingChars="259"/>
        <w:jc w:val="center"/>
        <w:rPr>
          <w:rFonts w:ascii="Arial" w:hAnsi="Arial" w:eastAsia="黑体" w:cs="Arial"/>
          <w:sz w:val="20"/>
        </w:rPr>
      </w:pPr>
      <w:r>
        <w:rPr>
          <w:rFonts w:hint="eastAsia" w:ascii="黑体" w:hAnsi="黑体" w:eastAsia="黑体" w:cs="黑体"/>
          <w:szCs w:val="24"/>
        </w:rPr>
        <w:t>系统架构图</w:t>
      </w:r>
    </w:p>
    <w:p w14:paraId="071E4F42">
      <w:pPr>
        <w:spacing w:line="300" w:lineRule="auto"/>
        <w:ind w:firstLineChars="200" w:firstLine="480"/>
        <w:rPr>
          <w:rFonts w:hint="eastAsia"/>
          <w:lang w:val="en-US" w:eastAsia="zh-CN"/>
        </w:rPr>
      </w:pPr>
      <w:r>
        <w:rPr>
          <w:rFonts w:hint="eastAsia" w:ascii="仿宋" w:hAnsi="仿宋" w:eastAsia="仿宋"/>
          <w:b w:val="0"/>
          <w:sz w:val="24"/>
          <w:lang w:val="en-US" w:eastAsia="zh-CN"/>
        </w:rPr>
        <w:t>总体架构图展示了系统从业务入口到数据资源、接口集成和安全运维支撑的关系。用户请求经前端展现层进入业务应用层，业务应用层调用数据资源层和外部接口完成处理，安全与运维保障贯穿访问控制、日志审计、状态监测、备份恢复和异常处置全过程。</w:t>
      </w:r>
    </w:p>
    <w:p w14:paraId="17AE02FB">
      <w:pPr>
        <w:spacing w:line="360" w:lineRule="auto"/>
        <w:ind w:firstLine="480" w:firstLineChars="200"/>
        <w:rPr>
          <w:rFonts w:hint="eastAsia"/>
          <w:lang w:val="en-US" w:eastAsia="zh-CN"/>
        </w:rPr>
      </w:pPr>
    </w:p>
    <w:p w14:paraId="1B1AE9C0">
      <w:pPr>
        <w:keepNext/>
        <w:keepLines/>
        <w:numPr>
          <w:ilvl w:val="2"/>
          <w:numId w:val="11"/>
        </w:numPr>
        <w:tabs>
          <w:tab w:val="left" w:pos="0"/>
        </w:tabs>
        <w:spacing w:line="360" w:lineRule="auto"/>
        <w:outlineLvl w:val="2"/>
        <w:rPr>
          <w:rFonts w:hint="eastAsia" w:eastAsia="黑体"/>
          <w:bCs/>
          <w:szCs w:val="32"/>
          <w:lang w:val="en-US" w:eastAsia="zh-CN"/>
        </w:rPr>
      </w:pPr>
      <w:bookmarkStart w:id="15" w:name="_Toc28583"/>
      <w:bookmarkStart w:id="16" w:name="_Toc20276"/>
      <w:r>
        <w:rPr>
          <w:rFonts w:hint="eastAsia" w:eastAsia="黑体"/>
          <w:bCs/>
          <w:szCs w:val="32"/>
          <w:lang w:val="en-US" w:eastAsia="zh-CN"/>
        </w:rPr>
        <w:t>设计原则</w:t>
      </w:r>
      <w:bookmarkEnd w:id="15"/>
      <w:bookmarkEnd w:id="16"/>
    </w:p>
    <w:p w14:paraId="730A7120">
      <w:pPr>
        <w:spacing w:line="300" w:lineRule="auto"/>
        <w:ind w:firstLineChars="200" w:firstLine="480"/>
        <w:rPr>
          <w:rFonts w:hint="eastAsia"/>
          <w:lang w:val="en-US" w:eastAsia="zh-CN"/>
        </w:rPr>
      </w:pPr>
      <w:r>
        <w:rPr>
          <w:rFonts w:hint="eastAsia" w:ascii="仿宋" w:hAnsi="仿宋" w:eastAsia="仿宋"/>
          <w:b w:val="0"/>
          <w:sz w:val="24"/>
          <w:lang w:val="en-US" w:eastAsia="zh-CN"/>
        </w:rPr>
        <w:t>方案遵循需求可追踪、架构分层、模块解耦、标准适配、安全可控、稳定可靠、易维护和可扩展原则。每项设计均应能够追溯到技术要求、商务要求或评分项；对人员、资质、承诺、案例等缺少事实依据的内容，保留确认或复核项。</w:t>
      </w:r>
    </w:p>
    <w:p w14:paraId="335E78AF">
      <w:pPr>
        <w:keepNext/>
        <w:keepLines/>
        <w:numPr>
          <w:ilvl w:val="2"/>
          <w:numId w:val="11"/>
        </w:numPr>
        <w:tabs>
          <w:tab w:val="left" w:pos="0"/>
        </w:tabs>
        <w:spacing w:line="360" w:lineRule="auto"/>
        <w:outlineLvl w:val="2"/>
        <w:rPr>
          <w:rFonts w:hint="eastAsia" w:eastAsia="黑体"/>
          <w:bCs/>
          <w:szCs w:val="32"/>
          <w:lang w:val="en-US" w:eastAsia="zh-CN"/>
        </w:rPr>
      </w:pPr>
      <w:r>
        <w:rPr>
          <w:rFonts w:hint="eastAsia" w:eastAsia="黑体"/>
          <w:bCs/>
          <w:szCs w:val="32"/>
          <w:lang w:val="en-US" w:eastAsia="zh-CN"/>
        </w:rPr>
        <w:t>部署架构</w:t>
      </w:r>
    </w:p>
    <w:p w14:paraId="0C081D19">
      <w:pPr>
        <w:spacing w:line="300" w:lineRule="auto"/>
        <w:ind w:firstLineChars="200" w:firstLine="480"/>
        <w:rPr>
          <w:rFonts w:hint="eastAsia"/>
          <w:lang w:val="en-US" w:eastAsia="zh-CN"/>
        </w:rPr>
      </w:pPr>
      <w:r>
        <w:rPr>
          <w:rFonts w:hint="eastAsia" w:ascii="仿宋" w:hAnsi="仿宋" w:eastAsia="仿宋"/>
          <w:b w:val="0"/>
          <w:sz w:val="24"/>
          <w:lang w:val="en-US" w:eastAsia="zh-CN"/>
        </w:rPr>
        <w:t>部署架构根据招标文件中的运行环境、接口接入、安全防护和运维保障要求进行设计。系统应支持业务服务、数据存储、接口适配和运维监控的分层部署，保留按现场设备、网络边界和安全策略调整的能力；未在 input 中明确的硬件型号、厂商品牌和资源规格不在初稿中擅自承诺。</w:t>
      </w:r>
    </w:p>
    <w:p w14:paraId="41B9ACDC">
      <w:pPr>
        <w:keepNext/>
        <w:keepLines/>
        <w:numPr>
          <w:ilvl w:val="1"/>
          <w:numId w:val="11"/>
        </w:numPr>
        <w:tabs>
          <w:tab w:val="left" w:pos="19"/>
        </w:tabs>
        <w:spacing w:before="140" w:after="140" w:line="360" w:lineRule="auto"/>
        <w:outlineLvl w:val="1"/>
        <w:rPr>
          <w:rFonts w:hint="eastAsia" w:ascii="黑体" w:hAnsi="黑体" w:eastAsia="黑体" w:cs="黑体"/>
          <w:sz w:val="28"/>
          <w:szCs w:val="32"/>
        </w:rPr>
      </w:pPr>
      <w:r>
        <w:rPr>
          <w:rFonts w:hint="eastAsia" w:ascii="黑体" w:hAnsi="黑体" w:eastAsia="黑体" w:cs="黑体"/>
          <w:sz w:val="28"/>
          <w:szCs w:val="32"/>
          <w:lang w:val="en-US" w:eastAsia="zh-CN"/>
        </w:rPr>
        <w:t>功能设计</w:t>
      </w:r>
    </w:p>
    <w:p w14:paraId="736A25D3">
      <w:pPr>
        <w:pStyle w:val="3"/>
        <w:numPr>
          <w:numId w:val="0"/>
        </w:numPr>
        <w:bidi w:val="0"/>
        <w:spacing w:line="300" w:lineRule="auto"/>
        <w:ind w:leftChars="200" w:firstLine="480"/>
        <w:rPr>
          <w:rFonts w:hint="eastAsia"/>
          <w:lang w:val="en-US" w:eastAsia="zh-CN"/>
        </w:rPr>
      </w:pPr>
      <w:r>
        <w:rPr>
          <w:rFonts w:hint="eastAsia" w:ascii="仿宋" w:hAnsi="仿宋" w:eastAsia="仿宋"/>
          <w:b w:val="0"/>
          <w:sz w:val="24"/>
          <w:lang w:eastAsia="zh-CN"/>
        </w:rPr>
        <w:t>功能设计以技术要求中抽取的 39 条功能要求为依据，按照业务主题聚合为 8 个功能模块。每个模块均从功能目标、建设内容、实现方式、业务流程、数据处理、权限安全、异常处理和招标响应关系展开。</w:t>
      </w:r>
      <w:r>
        <w:rPr>
          <w:rFonts w:hint="eastAsia"/>
          <w:lang w:val="en-US" w:eastAsia="zh-CN"/>
        </w:rPr>
      </w:r>
    </w:p>
    <w:p w14:paraId="0975E389">
      <w:pPr>
        <w:pStyle w:val="3"/>
        <w:numPr>
          <w:numId w:val="0"/>
        </w:numPr>
        <w:bidi w:val="0"/>
        <w:spacing w:line="300" w:lineRule="auto" w:before="120" w:after="60"/>
        <w:ind w:leftChars="200"/>
        <w:rPr>
          <w:rFonts w:hint="eastAsia" w:eastAsia="宋体"/>
          <w:lang w:eastAsia="zh-CN"/>
        </w:rPr>
      </w:pPr>
      <w:r>
        <w:rPr>
          <w:rFonts w:hint="eastAsia" w:ascii="黑体" w:hAnsi="黑体" w:eastAsia="黑体"/>
          <w:b/>
          <w:sz w:val="26"/>
          <w:lang w:val="en-US" w:eastAsia="zh-CN"/>
        </w:rPr>
        <w:t>海图综合态势展示功能</w:t>
      </w:r>
      <w:r>
        <w:rPr>
          <w:rFonts w:hint="eastAsia" w:ascii="黑体" w:hAnsi="黑体" w:eastAsia="黑体"/>
          <w:b/>
          <w:sz w:val="26"/>
          <w:lang w:eastAsia="zh-CN"/>
        </w:rPr>
      </w:r>
    </w:p>
    <w:p>
      <w:pPr>
        <w:spacing w:line="300" w:lineRule="auto"/>
        <w:ind w:firstLine="480"/>
      </w:pPr>
      <w:r>
        <w:rPr>
          <w:rFonts w:ascii="仿宋" w:hAnsi="仿宋" w:eastAsia="仿宋"/>
          <w:b w:val="0"/>
          <w:sz w:val="24"/>
        </w:rPr>
        <w:t>本功能围绕“海图综合态势展示”相关招标要求展开设计，重点响应标准符合性：核心显示与操作需符合IEC 61174-；5、IEC 62288-；4、GB/T 43053-2023；海图数据处理需符合IHO S-57；3.1版、IHO S-63等内容。系统将该类要求拆分为业务操作、数据处理、状态反馈、安全控制和运维记录等环节，确保功能设计能够与需求条款逐项对应。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0" name="Picture 1049926590"/>
            <wp:cNvGraphicFramePr>
              <a:graphicFrameLocks noChangeAspect="1"/>
            </wp:cNvGraphicFramePr>
            <a:graphic>
              <a:graphicData uri="http://schemas.openxmlformats.org/drawingml/2006/picture">
                <pic:pic>
                  <pic:nvPicPr>
                    <pic:cNvPr id="0" name="function-001-海图综合态势展示.png"/>
                    <pic:cNvPicPr/>
                  </pic:nvPicPr>
                  <pic:blipFill>
                    <a:blip r:embed="rId14"/>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海图综合态势展示流程图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21"/>
              </w:rPr>
              <w:t>标准符合性：核心显示与操作需符合IEC 61174-</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21"/>
              </w:rPr>
              <w:t>5、IEC 62288-</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21"/>
              </w:rPr>
              <w:t>4、GB/T 43053-2023；海图数据处理需符合IHO S-57</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4</w:t>
            </w:r>
          </w:p>
        </w:tc>
        <w:tc>
          <w:tcPr>
            <w:tcW w:type="dxa" w:w="2769"/>
          </w:tcPr>
          <w:p>
            <w:r>
              <w:rPr>
                <w:rFonts w:ascii="仿宋" w:hAnsi="仿宋" w:eastAsia="仿宋"/>
                <w:sz w:val="21"/>
              </w:rPr>
              <w:t>3.1版、IHO S-63</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5</w:t>
            </w:r>
          </w:p>
        </w:tc>
        <w:tc>
          <w:tcPr>
            <w:tcW w:type="dxa" w:w="2769"/>
          </w:tcPr>
          <w:p>
            <w:r>
              <w:rPr>
                <w:rFonts w:ascii="仿宋" w:hAnsi="仿宋" w:eastAsia="仿宋"/>
                <w:sz w:val="21"/>
              </w:rPr>
              <w:t>1.2版、IHO S-52</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6</w:t>
            </w:r>
          </w:p>
        </w:tc>
        <w:tc>
          <w:tcPr>
            <w:tcW w:type="dxa" w:w="2769"/>
          </w:tcPr>
          <w:p>
            <w:r>
              <w:rPr>
                <w:rFonts w:ascii="仿宋" w:hAnsi="仿宋" w:eastAsia="仿宋"/>
                <w:sz w:val="21"/>
              </w:rPr>
              <w:t>6.1版及IHO S-52 PresLib</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7</w:t>
            </w:r>
          </w:p>
        </w:tc>
        <w:tc>
          <w:tcPr>
            <w:tcW w:type="dxa" w:w="2769"/>
          </w:tcPr>
          <w:p>
            <w:r>
              <w:rPr>
                <w:rFonts w:ascii="仿宋" w:hAnsi="仿宋" w:eastAsia="仿宋"/>
                <w:sz w:val="18"/>
              </w:rPr>
              <w:t>接入并展示标准电子海图（S-57/S-63），支持海图自动匹配、选择、缩放、漫游、图层控制（基础/标准/全部），可开关显示特定要素。</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8</w:t>
            </w:r>
          </w:p>
        </w:tc>
        <w:tc>
          <w:tcPr>
            <w:tcW w:type="dxa" w:w="2769"/>
          </w:tcPr>
          <w:p>
            <w:r>
              <w:rPr>
                <w:rFonts w:ascii="仿宋" w:hAnsi="仿宋" w:eastAsia="仿宋"/>
                <w:sz w:val="18"/>
              </w:rPr>
              <w:t>支持IMO要求的多种配色模式（白天、黄昏、夜晚），夜间模式亮度需符合规范。</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9</w:t>
            </w:r>
          </w:p>
        </w:tc>
        <w:tc>
          <w:tcPr>
            <w:tcW w:type="dxa" w:w="2769"/>
          </w:tcPr>
          <w:p>
            <w:r>
              <w:rPr>
                <w:rFonts w:ascii="仿宋" w:hAnsi="仿宋" w:eastAsia="仿宋"/>
                <w:sz w:val="18"/>
              </w:rPr>
              <w:t>支持“正北向上”和“船艏向上”模式切换，以及“真实位移”和“相对位移”模式。</w:t>
            </w:r>
          </w:p>
        </w:tc>
        <w:tc>
          <w:tcPr>
            <w:tcW w:type="dxa" w:w="2769"/>
          </w:tcPr>
          <w:p>
            <w:r>
              <w:rPr>
                <w:rFonts w:ascii="仿宋" w:hAnsi="仿宋" w:eastAsia="仿宋"/>
                <w:sz w:val="21"/>
              </w:rPr>
              <w:t>纳入功能设计、流程控制、数据处理和异常处理</w:t>
            </w:r>
          </w:p>
        </w:tc>
      </w:tr>
    </w:tbl>
    <w:p/>
    <w:p>
      <w:pPr>
        <w:spacing w:line="300" w:lineRule="auto" w:before="120" w:after="60"/>
      </w:pPr>
      <w:r>
        <w:rPr>
          <w:rFonts w:ascii="黑体" w:hAnsi="黑体" w:eastAsia="黑体"/>
          <w:b/>
          <w:sz w:val="26"/>
        </w:rPr>
        <w:t>AIS/雷达等目标信息的处理与显示功能</w:t>
      </w:r>
    </w:p>
    <w:p>
      <w:pPr>
        <w:spacing w:line="300" w:lineRule="auto"/>
        <w:ind w:firstLine="480"/>
      </w:pPr>
      <w:r>
        <w:rPr>
          <w:rFonts w:ascii="仿宋" w:hAnsi="仿宋" w:eastAsia="仿宋"/>
          <w:b w:val="0"/>
          <w:sz w:val="24"/>
        </w:rPr>
        <w:t>本功能围绕“AIS/雷达等目标信息的处理与显示”相关招标要求展开设计，重点响应基于OpenGL技术实现雷达回波图像在电子海图上的实时叠加，集成并处理来自雷达、AIS、ARPA等导航设备的动态数据。；将AIS目标符号、雷达回波、ARPA跟踪目标与本船符号，准确叠加在电子海图上的相应地理位置。；可选显示AIS目标船舶的关键信息（航向、航速、船名、MMSI等）和ARPA跟踪预测信息。；支持叠加显示自定义GIS要素，如电子围栏、风险区域等。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1" name="Picture 1049926591"/>
            <wp:cNvGraphicFramePr>
              <a:graphicFrameLocks noChangeAspect="1"/>
            </wp:cNvGraphicFramePr>
            <a:graphic>
              <a:graphicData uri="http://schemas.openxmlformats.org/drawingml/2006/picture">
                <pic:pic>
                  <pic:nvPicPr>
                    <pic:cNvPr id="0" name="function-002-AIS-雷达等目标信息的处理与显示.png"/>
                    <pic:cNvPicPr/>
                  </pic:nvPicPr>
                  <pic:blipFill>
                    <a:blip r:embed="rId15"/>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AIS/雷达等目标信息的处理与显示流程图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18"/>
              </w:rPr>
              <w:t>基于OpenGL技术实现雷达回波图像在电子海图上的实时叠加，集成并处理来自雷达、AIS、ARPA等导航设备的动态数据。</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18"/>
              </w:rPr>
              <w:t>将AIS目标符号、雷达回波、ARPA跟踪目标与本船符号，准确叠加在电子海图上的相应地理位置。</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18"/>
              </w:rPr>
              <w:t>可选显示AIS目标船舶的关键信息（航向、航速、船名、MMSI等）和ARPA跟踪预测信息。</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4</w:t>
            </w:r>
          </w:p>
        </w:tc>
        <w:tc>
          <w:tcPr>
            <w:tcW w:type="dxa" w:w="2769"/>
          </w:tcPr>
          <w:p>
            <w:r>
              <w:rPr>
                <w:rFonts w:ascii="仿宋" w:hAnsi="仿宋" w:eastAsia="仿宋"/>
                <w:sz w:val="21"/>
              </w:rPr>
              <w:t>支持叠加显示自定义GIS要素，如电子围栏、风险区域等。</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5</w:t>
            </w:r>
          </w:p>
        </w:tc>
        <w:tc>
          <w:tcPr>
            <w:tcW w:type="dxa" w:w="2769"/>
          </w:tcPr>
          <w:p>
            <w:r>
              <w:rPr>
                <w:rFonts w:ascii="仿宋" w:hAnsi="仿宋" w:eastAsia="仿宋"/>
                <w:sz w:val="18"/>
              </w:rPr>
              <w:t>可叠加显示潮汐、海流、气象信息以及海道测量局发布的临时通告（AIO等）。</w:t>
            </w:r>
          </w:p>
        </w:tc>
        <w:tc>
          <w:tcPr>
            <w:tcW w:type="dxa" w:w="2769"/>
          </w:tcPr>
          <w:p>
            <w:r>
              <w:rPr>
                <w:rFonts w:ascii="仿宋" w:hAnsi="仿宋" w:eastAsia="仿宋"/>
                <w:sz w:val="21"/>
              </w:rPr>
              <w:t>纳入功能设计、流程控制、数据处理和异常处理</w:t>
            </w:r>
          </w:p>
        </w:tc>
      </w:tr>
    </w:tbl>
    <w:p/>
    <w:p>
      <w:pPr>
        <w:spacing w:line="300" w:lineRule="auto" w:before="120" w:after="60"/>
      </w:pPr>
      <w:r>
        <w:rPr>
          <w:rFonts w:ascii="黑体" w:hAnsi="黑体" w:eastAsia="黑体"/>
          <w:b/>
          <w:sz w:val="26"/>
        </w:rPr>
        <w:t>航线规划功能</w:t>
      </w:r>
    </w:p>
    <w:p>
      <w:pPr>
        <w:spacing w:line="300" w:lineRule="auto"/>
        <w:ind w:firstLine="480"/>
      </w:pPr>
      <w:r>
        <w:rPr>
          <w:rFonts w:ascii="仿宋" w:hAnsi="仿宋" w:eastAsia="仿宋"/>
          <w:b w:val="0"/>
          <w:sz w:val="24"/>
        </w:rPr>
        <w:t>本功能围绕“航线规划”相关招标要求展开设计，重点响应支持手动或自动航线设计，允许灵活地添加、删除、拖动、排序航向点和航段。；自动执行航线安全检查，在规划阶段提示航线段是否穿过浅水、禁航区或接近危险物。；允许用户为航线设定安全参数，包括吃水、安全等深线、偏航阈值（XTD）、船舶尺寸等。；具备航行计算能力，包括两个地理位置间的真距离和方位、航行时间估算（ETA）。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2" name="Picture 1049926592"/>
            <wp:cNvGraphicFramePr>
              <a:graphicFrameLocks noChangeAspect="1"/>
            </wp:cNvGraphicFramePr>
            <a:graphic>
              <a:graphicData uri="http://schemas.openxmlformats.org/drawingml/2006/picture">
                <pic:pic>
                  <pic:nvPicPr>
                    <pic:cNvPr id="0" name="function-003-航线规划.png"/>
                    <pic:cNvPicPr/>
                  </pic:nvPicPr>
                  <pic:blipFill>
                    <a:blip r:embed="rId16"/>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航线规划流程图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21"/>
              </w:rPr>
              <w:t>支持手动或自动航线设计，允许灵活地添加、删除、拖动、排序航向点和航段。</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18"/>
              </w:rPr>
              <w:t>自动执行航线安全检查，在规划阶段提示航线段是否穿过浅水、禁航区或接近危险物。</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18"/>
              </w:rPr>
              <w:t>允许用户为航线设定安全参数，包括吃水、安全等深线、偏航阈值（XTD）、船舶尺寸等。</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4</w:t>
            </w:r>
          </w:p>
        </w:tc>
        <w:tc>
          <w:tcPr>
            <w:tcW w:type="dxa" w:w="2769"/>
          </w:tcPr>
          <w:p>
            <w:r>
              <w:rPr>
                <w:rFonts w:ascii="仿宋" w:hAnsi="仿宋" w:eastAsia="仿宋"/>
                <w:sz w:val="18"/>
              </w:rPr>
              <w:t>具备航行计算能力，包括两个地理位置间的真距离和方位、航行时间估算（ETA）。</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5</w:t>
            </w:r>
          </w:p>
        </w:tc>
        <w:tc>
          <w:tcPr>
            <w:tcW w:type="dxa" w:w="2769"/>
          </w:tcPr>
          <w:p>
            <w:r>
              <w:rPr>
                <w:rFonts w:ascii="仿宋" w:hAnsi="仿宋" w:eastAsia="仿宋"/>
                <w:sz w:val="18"/>
              </w:rPr>
              <w:t>实时叠加船舶位置（基于GPS/DGPS），连续监控船舶是否严格按照计划航线行驶。</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6</w:t>
            </w:r>
          </w:p>
        </w:tc>
        <w:tc>
          <w:tcPr>
            <w:tcW w:type="dxa" w:w="2769"/>
          </w:tcPr>
          <w:p>
            <w:r>
              <w:rPr>
                <w:rFonts w:ascii="仿宋" w:hAnsi="仿宋" w:eastAsia="仿宋"/>
                <w:sz w:val="18"/>
              </w:rPr>
              <w:t>具备连续记录并存储历史航迹、船位、速度、航向和报警事件的能力，用于航后分析和VDR备份。</w:t>
            </w:r>
          </w:p>
        </w:tc>
        <w:tc>
          <w:tcPr>
            <w:tcW w:type="dxa" w:w="2769"/>
          </w:tcPr>
          <w:p>
            <w:r>
              <w:rPr>
                <w:rFonts w:ascii="仿宋" w:hAnsi="仿宋" w:eastAsia="仿宋"/>
                <w:sz w:val="21"/>
              </w:rPr>
              <w:t>纳入功能设计、流程控制、数据处理和异常处理</w:t>
            </w:r>
          </w:p>
        </w:tc>
      </w:tr>
    </w:tbl>
    <w:p/>
    <w:p>
      <w:pPr>
        <w:spacing w:line="300" w:lineRule="auto" w:before="120" w:after="60"/>
      </w:pPr>
      <w:r>
        <w:rPr>
          <w:rFonts w:ascii="黑体" w:hAnsi="黑体" w:eastAsia="黑体"/>
          <w:b/>
          <w:sz w:val="26"/>
        </w:rPr>
        <w:t>安全等深线与水深告警功能</w:t>
      </w:r>
    </w:p>
    <w:p>
      <w:pPr>
        <w:spacing w:line="300" w:lineRule="auto"/>
        <w:ind w:firstLine="480"/>
      </w:pPr>
      <w:r>
        <w:rPr>
          <w:rFonts w:ascii="仿宋" w:hAnsi="仿宋" w:eastAsia="仿宋"/>
          <w:b w:val="0"/>
          <w:sz w:val="24"/>
        </w:rPr>
        <w:t>本功能围绕“安全等深线与水深告警”相关招标要求展开设计，重点响应允许用户输入船舶吃水和富裕水深，系统自动计算并设置安全等深线和安全轮廓线。；在海图上突出显示浅于安全等深线的水域（通常为蓝色），将安全水域显示为白色或其他安全色。；当本船或其安全轮廓线即将进入不安全水域时，系统需立即发出声光告警（防搁浅告警）。；当船舶即将穿越或进入预设的禁航区、限航区、港口报告区、或自定义电子围栏时，立即报警。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3" name="Picture 1049926593"/>
            <wp:cNvGraphicFramePr>
              <a:graphicFrameLocks noChangeAspect="1"/>
            </wp:cNvGraphicFramePr>
            <a:graphic>
              <a:graphicData uri="http://schemas.openxmlformats.org/drawingml/2006/picture">
                <pic:pic>
                  <pic:nvPicPr>
                    <pic:cNvPr id="0" name="function-004-安全等深线与水深告警.png"/>
                    <pic:cNvPicPr/>
                  </pic:nvPicPr>
                  <pic:blipFill>
                    <a:blip r:embed="rId17"/>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安全等深线与水深告警流程图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18"/>
              </w:rPr>
              <w:t>允许用户输入船舶吃水和富裕水深，系统自动计算并设置安全等深线和安全轮廓线。</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18"/>
              </w:rPr>
              <w:t>在海图上突出显示浅于安全等深线的水域（通常为蓝色），将安全水域显示为白色或其他安全色。</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18"/>
              </w:rPr>
              <w:t>当本船或其安全轮廓线即将进入不安全水域时，系统需立即发出声光告警（防搁浅告警）。</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4</w:t>
            </w:r>
          </w:p>
        </w:tc>
        <w:tc>
          <w:tcPr>
            <w:tcW w:type="dxa" w:w="2769"/>
          </w:tcPr>
          <w:p>
            <w:r>
              <w:rPr>
                <w:rFonts w:ascii="仿宋" w:hAnsi="仿宋" w:eastAsia="仿宋"/>
                <w:sz w:val="18"/>
              </w:rPr>
              <w:t>当船舶即将穿越或进入预设的禁航区、限航区、港口报告区、或自定义电子围栏时，立即报警。</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5</w:t>
            </w:r>
          </w:p>
        </w:tc>
        <w:tc>
          <w:tcPr>
            <w:tcW w:type="dxa" w:w="2769"/>
          </w:tcPr>
          <w:p>
            <w:r>
              <w:rPr>
                <w:rFonts w:ascii="仿宋" w:hAnsi="仿宋" w:eastAsia="仿宋"/>
                <w:sz w:val="18"/>
              </w:rPr>
              <w:t>在船舶运动方向上，预测船舶未来安全矢量将接近孤立危险物或未知的浅水区时，触发报警。</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6</w:t>
            </w:r>
          </w:p>
        </w:tc>
        <w:tc>
          <w:tcPr>
            <w:tcW w:type="dxa" w:w="2769"/>
          </w:tcPr>
          <w:p>
            <w:r>
              <w:rPr>
                <w:rFonts w:ascii="仿宋" w:hAnsi="仿宋" w:eastAsia="仿宋"/>
                <w:sz w:val="18"/>
              </w:rPr>
              <w:t>根据AIS/雷达目标数据，提供CPA/TCPA（最近会遇点/时间计算），并在风险超过阈值时触发碰撞预警。</w:t>
            </w:r>
          </w:p>
        </w:tc>
        <w:tc>
          <w:tcPr>
            <w:tcW w:type="dxa" w:w="2769"/>
          </w:tcPr>
          <w:p>
            <w:r>
              <w:rPr>
                <w:rFonts w:ascii="仿宋" w:hAnsi="仿宋" w:eastAsia="仿宋"/>
                <w:sz w:val="21"/>
              </w:rPr>
              <w:t>纳入功能设计、流程控制、数据处理和异常处理</w:t>
            </w:r>
          </w:p>
        </w:tc>
      </w:tr>
    </w:tbl>
    <w:p/>
    <w:p>
      <w:pPr>
        <w:spacing w:line="300" w:lineRule="auto" w:before="120" w:after="60"/>
      </w:pPr>
      <w:r>
        <w:rPr>
          <w:rFonts w:ascii="黑体" w:hAnsi="黑体" w:eastAsia="黑体"/>
          <w:b/>
          <w:sz w:val="26"/>
        </w:rPr>
        <w:t>航行监控导航与安全预警功能</w:t>
      </w:r>
    </w:p>
    <w:p>
      <w:pPr>
        <w:spacing w:line="300" w:lineRule="auto"/>
        <w:ind w:firstLine="480"/>
      </w:pPr>
      <w:r>
        <w:rPr>
          <w:rFonts w:ascii="仿宋" w:hAnsi="仿宋" w:eastAsia="仿宋"/>
          <w:b w:val="0"/>
          <w:sz w:val="24"/>
        </w:rPr>
        <w:t>本功能围绕“航行监控导航与安全预警”相关招标要求展开设计，重点响应当船舶实时位置偏离计划航线超过设定的偏航阈值（XTD）时，立即发出告警。；对传感器故障（如GPS信号丢失、陀螺罗经数据异常）、海图更新延迟、电源切换等系统级故障发出告警。；遵循IMO/IHO规范，对报警进行优先级分类（紧急、警报、指示），并采用不同声光模式。；提供告警/预警信息列表，允许船员确认、消除告警。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4" name="Picture 1049926594"/>
            <wp:cNvGraphicFramePr>
              <a:graphicFrameLocks noChangeAspect="1"/>
            </wp:cNvGraphicFramePr>
            <a:graphic>
              <a:graphicData uri="http://schemas.openxmlformats.org/drawingml/2006/picture">
                <pic:pic>
                  <pic:nvPicPr>
                    <pic:cNvPr id="0" name="function-005-航行监控导航与安全预警.png"/>
                    <pic:cNvPicPr/>
                  </pic:nvPicPr>
                  <pic:blipFill>
                    <a:blip r:embed="rId18"/>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航行监控导航与安全预警流程图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18"/>
              </w:rPr>
              <w:t>当船舶实时位置偏离计划航线超过设定的偏航阈值（XTD）时，立即发出告警。</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18"/>
              </w:rPr>
              <w:t>对传感器故障（如GPS信号丢失、陀螺罗经数据异常）、海图更新延迟、电源切换等系统级故障发出告警。</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18"/>
              </w:rPr>
              <w:t>遵循IMO/IHO规范，对报警进行优先级分类（紧急、警报、指示），并采用不同声光模式。</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4</w:t>
            </w:r>
          </w:p>
        </w:tc>
        <w:tc>
          <w:tcPr>
            <w:tcW w:type="dxa" w:w="2769"/>
          </w:tcPr>
          <w:p>
            <w:r>
              <w:rPr>
                <w:rFonts w:ascii="仿宋" w:hAnsi="仿宋" w:eastAsia="仿宋"/>
                <w:sz w:val="21"/>
              </w:rPr>
              <w:t>提供告警/预警信息列表，允许船员确认、消除告警。</w:t>
            </w:r>
          </w:p>
        </w:tc>
        <w:tc>
          <w:tcPr>
            <w:tcW w:type="dxa" w:w="2769"/>
          </w:tcPr>
          <w:p>
            <w:r>
              <w:rPr>
                <w:rFonts w:ascii="仿宋" w:hAnsi="仿宋" w:eastAsia="仿宋"/>
                <w:sz w:val="21"/>
              </w:rPr>
              <w:t>纳入功能设计、流程控制、数据处理和异常处理</w:t>
            </w:r>
          </w:p>
        </w:tc>
      </w:tr>
    </w:tbl>
    <w:p/>
    <w:p>
      <w:pPr>
        <w:spacing w:line="300" w:lineRule="auto" w:before="120" w:after="60"/>
      </w:pPr>
      <w:r>
        <w:rPr>
          <w:rFonts w:ascii="黑体" w:hAnsi="黑体" w:eastAsia="黑体"/>
          <w:b/>
          <w:sz w:val="26"/>
        </w:rPr>
        <w:t>个性化设置需求功能</w:t>
      </w:r>
    </w:p>
    <w:p>
      <w:pPr>
        <w:spacing w:line="300" w:lineRule="auto"/>
        <w:ind w:firstLine="480"/>
      </w:pPr>
      <w:r>
        <w:rPr>
          <w:rFonts w:ascii="仿宋" w:hAnsi="仿宋" w:eastAsia="仿宋"/>
          <w:b w:val="0"/>
          <w:sz w:val="24"/>
        </w:rPr>
        <w:t>本功能围绕“个性化设置需求”相关招标要求展开设计，重点响应提供直观的图形化界面，菜单层级简洁明了，支持常用功能快捷键访问。；软件界面需适配高分辨率显示，支持通过软件指令调节背景亮度以适应夜间模式。；对删除航线、修改安全参数等重要操作，需弹出确认对话框，要求船员进行二次确认，防止误操作。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5" name="Picture 1049926595"/>
            <wp:cNvGraphicFramePr>
              <a:graphicFrameLocks noChangeAspect="1"/>
            </wp:cNvGraphicFramePr>
            <a:graphic>
              <a:graphicData uri="http://schemas.openxmlformats.org/drawingml/2006/picture">
                <pic:pic>
                  <pic:nvPicPr>
                    <pic:cNvPr id="0" name="function-006-个性化设置需求.png"/>
                    <pic:cNvPicPr/>
                  </pic:nvPicPr>
                  <pic:blipFill>
                    <a:blip r:embed="rId19"/>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个性化设置需求流程图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21"/>
              </w:rPr>
              <w:t>提供直观的图形化界面，菜单层级简洁明了，支持常用功能快捷键访问。</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18"/>
              </w:rPr>
              <w:t>软件界面需适配高分辨率显示，支持通过软件指令调节背景亮度以适应夜间模式。</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18"/>
              </w:rPr>
              <w:t>对删除航线、修改安全参数等重要操作，需弹出确认对话框，要求船员进行二次确认，防止误操作。</w:t>
            </w:r>
          </w:p>
        </w:tc>
        <w:tc>
          <w:tcPr>
            <w:tcW w:type="dxa" w:w="2769"/>
          </w:tcPr>
          <w:p>
            <w:r>
              <w:rPr>
                <w:rFonts w:ascii="仿宋" w:hAnsi="仿宋" w:eastAsia="仿宋"/>
                <w:sz w:val="21"/>
              </w:rPr>
              <w:t>纳入功能设计、流程控制、数据处理和异常处理</w:t>
            </w:r>
          </w:p>
        </w:tc>
      </w:tr>
    </w:tbl>
    <w:p/>
    <w:p>
      <w:pPr>
        <w:spacing w:line="300" w:lineRule="auto" w:before="120" w:after="60"/>
      </w:pPr>
      <w:r>
        <w:rPr>
          <w:rFonts w:ascii="黑体" w:hAnsi="黑体" w:eastAsia="黑体"/>
          <w:b/>
          <w:sz w:val="26"/>
        </w:rPr>
        <w:t>基础平台与架构要求功能</w:t>
      </w:r>
    </w:p>
    <w:p>
      <w:pPr>
        <w:spacing w:line="300" w:lineRule="auto"/>
        <w:ind w:firstLine="480"/>
      </w:pPr>
      <w:r>
        <w:rPr>
          <w:rFonts w:ascii="仿宋" w:hAnsi="仿宋" w:eastAsia="仿宋"/>
          <w:b w:val="0"/>
          <w:sz w:val="24"/>
        </w:rPr>
        <w:t>本功能围绕“基础平台与架构要求”相关招标要求展开设计，重点响应跨平台兼容性：软件必须支持跨架构与跨操作系统部署，具体包括硬件平台（龙芯、飞腾、瑞芯微）和操作系统（麒麟、Ubuntu），并保证长期稳定运行。；多设备协同：软件架构需支持多台设备按优先级运行。；采用模块化软件架构，预留标准数据接口，支持后续接入新型号导航传感器或功能模块。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6" name="Picture 1049926596"/>
            <wp:cNvGraphicFramePr>
              <a:graphicFrameLocks noChangeAspect="1"/>
            </wp:cNvGraphicFramePr>
            <a:graphic>
              <a:graphicData uri="http://schemas.openxmlformats.org/drawingml/2006/picture">
                <pic:pic>
                  <pic:nvPicPr>
                    <pic:cNvPr id="0" name="function-007-基础平台与架构要求.png"/>
                    <pic:cNvPicPr/>
                  </pic:nvPicPr>
                  <pic:blipFill>
                    <a:blip r:embed="rId20"/>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基础平台与架构要求流程图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18"/>
              </w:rPr>
              <w:t>跨平台兼容性：软件必须支持跨架构与跨操作系统部署，具体包括硬件平台（龙芯、飞腾、瑞芯微）和操作系统（麒麟、Ubuntu），并保证长期稳定运行。</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21"/>
              </w:rPr>
              <w:t>多设备协同：软件架构需支持多台设备按优先级运行。</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18"/>
              </w:rPr>
              <w:t>采用模块化软件架构，预留标准数据接口，支持后续接入新型号导航传感器或功能模块。</w:t>
            </w:r>
          </w:p>
        </w:tc>
        <w:tc>
          <w:tcPr>
            <w:tcW w:type="dxa" w:w="2769"/>
          </w:tcPr>
          <w:p>
            <w:r>
              <w:rPr>
                <w:rFonts w:ascii="仿宋" w:hAnsi="仿宋" w:eastAsia="仿宋"/>
                <w:sz w:val="21"/>
              </w:rPr>
              <w:t>纳入功能设计、流程控制、数据处理和异常处理</w:t>
            </w:r>
          </w:p>
        </w:tc>
      </w:tr>
    </w:tbl>
    <w:p/>
    <w:p>
      <w:pPr>
        <w:spacing w:line="300" w:lineRule="auto" w:before="120" w:after="60"/>
      </w:pPr>
      <w:r>
        <w:rPr>
          <w:rFonts w:ascii="黑体" w:hAnsi="黑体" w:eastAsia="黑体"/>
          <w:b/>
          <w:sz w:val="26"/>
        </w:rPr>
        <w:t>数据维护与合规功能</w:t>
      </w:r>
    </w:p>
    <w:p>
      <w:pPr>
        <w:spacing w:line="300" w:lineRule="auto"/>
        <w:ind w:firstLine="480"/>
      </w:pPr>
      <w:r>
        <w:rPr>
          <w:rFonts w:ascii="仿宋" w:hAnsi="仿宋" w:eastAsia="仿宋"/>
          <w:b w:val="0"/>
          <w:sz w:val="24"/>
        </w:rPr>
        <w:t>本功能围绕“数据维护与合规”相关招标要求展开设计，重点响应具备接收、解析和应用官方发布的S-63加密格式海图更新数据的能力，并生成更新记录。；定期自动备份系统内部存储结构（SENC）和所有航行记录，确保数据安全。；软件接口需遵循NMEA0183/2000协议与船载设备进行数据通信。等内容。系统将该类要求拆分为业务操作、数据处理、状态反馈、安全控制和运维记录等环节，确保功能设计能够与需求条款逐项对应。</w:t>
      </w:r>
    </w:p>
    <w:p>
      <w:pPr>
        <w:spacing w:line="300" w:lineRule="auto"/>
        <w:ind w:firstLine="480"/>
      </w:pPr>
      <w:r>
        <w:rPr>
          <w:rFonts w:ascii="仿宋" w:hAnsi="仿宋" w:eastAsia="仿宋"/>
          <w:b w:val="0"/>
          <w:sz w:val="24"/>
        </w:rPr>
        <w:t>在实现方式上，系统通过前端交互、业务服务、数据访问、接口适配和日志审计等组件协同完成处理。用户发起操作后，系统先校验身份、权限、输入参数和当前业务状态，再调用对应业务规则完成数据查询、计算、更新或展示；处理结果同步形成可追踪记录。</w:t>
      </w:r>
    </w:p>
    <w:p>
      <w:pPr>
        <w:spacing w:line="300" w:lineRule="auto"/>
        <w:ind w:firstLine="480"/>
      </w:pPr>
      <w:r>
        <w:rPr>
          <w:rFonts w:ascii="仿宋" w:hAnsi="仿宋" w:eastAsia="仿宋"/>
          <w:b w:val="0"/>
          <w:sz w:val="24"/>
        </w:rPr>
        <w:t>在异常和安全控制方面，系统对权限不足、输入不合法、接口中断、数据缺失和处理失败等情况给出明确提示，并记录操作日志。涉及关键业务参数、重要操作或安全风险的环节，应设置二次确认、告警提示、回滚处理和复核机制。</w:t>
      </w:r>
    </w:p>
    <w:p>
      <w:pPr>
        <w:jc w:val="center"/>
      </w:pPr>
      <w:r>
        <w:drawing>
          <wp:inline xmlns:a="http://schemas.openxmlformats.org/drawingml/2006/main" xmlns:pic="http://schemas.openxmlformats.org/drawingml/2006/picture">
            <wp:extent cx="5303520" cy="3414141"/>
            <wp:docPr id="1049926597" name="Picture 1049926597"/>
            <wp:cNvGraphicFramePr>
              <a:graphicFrameLocks noChangeAspect="1"/>
            </wp:cNvGraphicFramePr>
            <a:graphic>
              <a:graphicData uri="http://schemas.openxmlformats.org/drawingml/2006/picture">
                <pic:pic>
                  <pic:nvPicPr>
                    <pic:cNvPr id="0" name="function-008-数据维护与合规.png"/>
                    <pic:cNvPicPr/>
                  </pic:nvPicPr>
                  <pic:blipFill>
                    <a:blip r:embed="rId21"/>
                    <a:stretch>
                      <a:fillRect/>
                    </a:stretch>
                  </pic:blipFill>
                  <pic:spPr>
                    <a:xfrm>
                      <a:off x="0" y="0"/>
                      <a:ext cx="5303520" cy="3414141"/>
                    </a:xfrm>
                    <a:prstGeom prst="rect"/>
                  </pic:spPr>
                </pic:pic>
              </a:graphicData>
            </a:graphic>
          </wp:inline>
        </w:drawing>
      </w:r>
    </w:p>
    <w:p>
      <w:pPr>
        <w:spacing w:line="300" w:lineRule="auto"/>
        <w:ind/>
        <w:jc w:val="center"/>
      </w:pPr>
      <w:r>
        <w:rPr>
          <w:rFonts w:ascii="仿宋" w:hAnsi="仿宋" w:eastAsia="仿宋"/>
          <w:b w:val="0"/>
          <w:sz w:val="24"/>
        </w:rPr>
        <w:t>数据维护与合规流程图</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需求摘录</w:t>
            </w:r>
          </w:p>
        </w:tc>
        <w:tc>
          <w:tcPr>
            <w:tcW w:type="dxa" w:w="2769"/>
          </w:tcPr>
          <w:p>
            <w:r>
              <w:rPr>
                <w:rFonts w:ascii="仿宋" w:hAnsi="仿宋" w:eastAsia="仿宋"/>
                <w:sz w:val="21"/>
              </w:rPr>
              <w:t>响应方式</w:t>
            </w:r>
          </w:p>
        </w:tc>
      </w:tr>
      <w:tr>
        <w:tc>
          <w:tcPr>
            <w:tcW w:type="dxa" w:w="2769"/>
          </w:tcPr>
          <w:p>
            <w:r>
              <w:rPr>
                <w:rFonts w:ascii="仿宋" w:hAnsi="仿宋" w:eastAsia="仿宋"/>
                <w:sz w:val="21"/>
              </w:rPr>
              <w:t>1</w:t>
            </w:r>
          </w:p>
        </w:tc>
        <w:tc>
          <w:tcPr>
            <w:tcW w:type="dxa" w:w="2769"/>
          </w:tcPr>
          <w:p>
            <w:r>
              <w:rPr>
                <w:rFonts w:ascii="仿宋" w:hAnsi="仿宋" w:eastAsia="仿宋"/>
                <w:sz w:val="18"/>
              </w:rPr>
              <w:t>具备接收、解析和应用官方发布的S-63加密格式海图更新数据的能力，并生成更新记录。</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2</w:t>
            </w:r>
          </w:p>
        </w:tc>
        <w:tc>
          <w:tcPr>
            <w:tcW w:type="dxa" w:w="2769"/>
          </w:tcPr>
          <w:p>
            <w:r>
              <w:rPr>
                <w:rFonts w:ascii="仿宋" w:hAnsi="仿宋" w:eastAsia="仿宋"/>
                <w:sz w:val="21"/>
              </w:rPr>
              <w:t>定期自动备份系统内部存储结构（SENC）和所有航行记录，确保数据安全。</w:t>
            </w:r>
          </w:p>
        </w:tc>
        <w:tc>
          <w:tcPr>
            <w:tcW w:type="dxa" w:w="2769"/>
          </w:tcPr>
          <w:p>
            <w:r>
              <w:rPr>
                <w:rFonts w:ascii="仿宋" w:hAnsi="仿宋" w:eastAsia="仿宋"/>
                <w:sz w:val="21"/>
              </w:rPr>
              <w:t>纳入功能设计、流程控制、数据处理和异常处理</w:t>
            </w:r>
          </w:p>
        </w:tc>
      </w:tr>
      <w:tr>
        <w:tc>
          <w:tcPr>
            <w:tcW w:type="dxa" w:w="2769"/>
          </w:tcPr>
          <w:p>
            <w:r>
              <w:rPr>
                <w:rFonts w:ascii="仿宋" w:hAnsi="仿宋" w:eastAsia="仿宋"/>
                <w:sz w:val="21"/>
              </w:rPr>
              <w:t>3</w:t>
            </w:r>
          </w:p>
        </w:tc>
        <w:tc>
          <w:tcPr>
            <w:tcW w:type="dxa" w:w="2769"/>
          </w:tcPr>
          <w:p>
            <w:r>
              <w:rPr>
                <w:rFonts w:ascii="仿宋" w:hAnsi="仿宋" w:eastAsia="仿宋"/>
                <w:sz w:val="21"/>
              </w:rPr>
              <w:t>软件接口需遵循NMEA0183/2000协议与船载设备进行数据通信。</w:t>
            </w:r>
          </w:p>
        </w:tc>
        <w:tc>
          <w:tcPr>
            <w:tcW w:type="dxa" w:w="2769"/>
          </w:tcPr>
          <w:p>
            <w:r>
              <w:rPr>
                <w:rFonts w:ascii="仿宋" w:hAnsi="仿宋" w:eastAsia="仿宋"/>
                <w:sz w:val="21"/>
              </w:rPr>
              <w:t>纳入功能设计、流程控制、数据处理和异常处理</w:t>
            </w:r>
          </w:p>
        </w:tc>
      </w:tr>
    </w:tbl>
    <w:p/>
    <w:p w14:paraId="6479611C">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rPr>
      </w:pPr>
      <w:r>
        <w:rPr>
          <w:rFonts w:hint="eastAsia" w:ascii="黑体" w:hAnsi="黑体" w:eastAsia="黑体" w:cs="黑体"/>
          <w:sz w:val="28"/>
          <w:szCs w:val="32"/>
          <w:lang w:val="en-US" w:eastAsia="zh-CN"/>
        </w:rPr>
        <w:t>性能设计</w:t>
      </w:r>
    </w:p>
    <w:p w14:paraId="7A05D4C5">
      <w:pPr>
        <w:pStyle w:val="3"/>
        <w:numPr>
          <w:ilvl w:val="0"/>
          <w:numId w:val="0"/>
        </w:numPr>
        <w:bidi w:val="0"/>
        <w:spacing w:line="300" w:lineRule="auto"/>
        <w:ind w:leftChars="200" w:firstLine="480"/>
        <w:rPr>
          <w:rFonts w:hint="eastAsia" w:ascii="黑体" w:hAnsi="黑体" w:eastAsia="黑体" w:cs="黑体"/>
          <w:sz w:val="28"/>
          <w:szCs w:val="32"/>
        </w:rPr>
      </w:pPr>
      <w:r>
        <w:rPr>
          <w:rFonts w:hint="eastAsia" w:ascii="仿宋" w:hAnsi="仿宋" w:eastAsia="仿宋"/>
          <w:b w:val="0"/>
          <w:sz w:val="24"/>
          <w:lang w:eastAsia="zh-CN"/>
        </w:rPr>
        <w:t>性能设计围绕招标文件中的响应时间、初始化时间、查询汇总效率、指令响应率和服务稳定性等指标展开。系统采用分层处理、缓存优化、异步任务、索引优化、状态监测和异常降级等方式保障关键场景的性能表现。</w:t>
      </w:r>
      <w:r>
        <w:rPr>
          <w:rFonts w:hint="eastAsia"/>
          <w:lang w:val="en-US" w:eastAsia="zh-CN"/>
        </w:rPr>
      </w:r>
      <w:r>
        <w:rPr>
          <w:rFonts w:hint="eastAsia"/>
          <w:lang w:eastAsia="zh-CN"/>
        </w:rPr>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性能要求</w:t>
            </w:r>
          </w:p>
        </w:tc>
        <w:tc>
          <w:tcPr>
            <w:tcW w:type="dxa" w:w="2769"/>
          </w:tcPr>
          <w:p>
            <w:r>
              <w:rPr>
                <w:rFonts w:ascii="仿宋" w:hAnsi="仿宋" w:eastAsia="仿宋"/>
                <w:sz w:val="21"/>
              </w:rPr>
              <w:t>设计响应</w:t>
            </w:r>
          </w:p>
        </w:tc>
      </w:tr>
      <w:tr>
        <w:tc>
          <w:tcPr>
            <w:tcW w:type="dxa" w:w="2769"/>
          </w:tcPr>
          <w:p>
            <w:r>
              <w:rPr>
                <w:rFonts w:ascii="仿宋" w:hAnsi="仿宋" w:eastAsia="仿宋"/>
                <w:sz w:val="21"/>
              </w:rPr>
              <w:t>1</w:t>
            </w:r>
          </w:p>
        </w:tc>
        <w:tc>
          <w:tcPr>
            <w:tcW w:type="dxa" w:w="2769"/>
          </w:tcPr>
          <w:p>
            <w:r>
              <w:rPr>
                <w:rFonts w:ascii="仿宋" w:hAnsi="仿宋" w:eastAsia="仿宋"/>
                <w:sz w:val="21"/>
              </w:rPr>
              <w:t>1）一般操作响应时间（数据查阅、图表显示等操作）：＜2s；</w:t>
            </w:r>
          </w:p>
        </w:tc>
        <w:tc>
          <w:tcPr>
            <w:tcW w:type="dxa" w:w="2769"/>
          </w:tcPr>
          <w:p>
            <w:r>
              <w:rPr>
                <w:rFonts w:ascii="仿宋" w:hAnsi="仿宋" w:eastAsia="仿宋"/>
                <w:sz w:val="21"/>
              </w:rPr>
              <w:t>通过缓存、异步处理、索引优化、资源监控和超时提示机制响应</w:t>
            </w:r>
          </w:p>
        </w:tc>
      </w:tr>
      <w:tr>
        <w:tc>
          <w:tcPr>
            <w:tcW w:type="dxa" w:w="2769"/>
          </w:tcPr>
          <w:p>
            <w:r>
              <w:rPr>
                <w:rFonts w:ascii="仿宋" w:hAnsi="仿宋" w:eastAsia="仿宋"/>
                <w:sz w:val="21"/>
              </w:rPr>
              <w:t>2</w:t>
            </w:r>
          </w:p>
        </w:tc>
        <w:tc>
          <w:tcPr>
            <w:tcW w:type="dxa" w:w="2769"/>
          </w:tcPr>
          <w:p>
            <w:r>
              <w:rPr>
                <w:rFonts w:ascii="仿宋" w:hAnsi="仿宋" w:eastAsia="仿宋"/>
                <w:sz w:val="21"/>
              </w:rPr>
              <w:t>2）系统初始化时间：＜10s；</w:t>
            </w:r>
          </w:p>
        </w:tc>
        <w:tc>
          <w:tcPr>
            <w:tcW w:type="dxa" w:w="2769"/>
          </w:tcPr>
          <w:p>
            <w:r>
              <w:rPr>
                <w:rFonts w:ascii="仿宋" w:hAnsi="仿宋" w:eastAsia="仿宋"/>
                <w:sz w:val="21"/>
              </w:rPr>
              <w:t>通过缓存、异步处理、索引优化、资源监控和超时提示机制响应</w:t>
            </w:r>
          </w:p>
        </w:tc>
      </w:tr>
      <w:tr>
        <w:tc>
          <w:tcPr>
            <w:tcW w:type="dxa" w:w="2769"/>
          </w:tcPr>
          <w:p>
            <w:r>
              <w:rPr>
                <w:rFonts w:ascii="仿宋" w:hAnsi="仿宋" w:eastAsia="仿宋"/>
                <w:sz w:val="21"/>
              </w:rPr>
              <w:t>3</w:t>
            </w:r>
          </w:p>
        </w:tc>
        <w:tc>
          <w:tcPr>
            <w:tcW w:type="dxa" w:w="2769"/>
          </w:tcPr>
          <w:p>
            <w:r>
              <w:rPr>
                <w:rFonts w:ascii="仿宋" w:hAnsi="仿宋" w:eastAsia="仿宋"/>
                <w:sz w:val="21"/>
              </w:rPr>
              <w:t>3）一般数据查询时间：＜5s；</w:t>
            </w:r>
          </w:p>
        </w:tc>
        <w:tc>
          <w:tcPr>
            <w:tcW w:type="dxa" w:w="2769"/>
          </w:tcPr>
          <w:p>
            <w:r>
              <w:rPr>
                <w:rFonts w:ascii="仿宋" w:hAnsi="仿宋" w:eastAsia="仿宋"/>
                <w:sz w:val="21"/>
              </w:rPr>
              <w:t>通过缓存、异步处理、索引优化、资源监控和超时提示机制响应</w:t>
            </w:r>
          </w:p>
        </w:tc>
      </w:tr>
      <w:tr>
        <w:tc>
          <w:tcPr>
            <w:tcW w:type="dxa" w:w="2769"/>
          </w:tcPr>
          <w:p>
            <w:r>
              <w:rPr>
                <w:rFonts w:ascii="仿宋" w:hAnsi="仿宋" w:eastAsia="仿宋"/>
                <w:sz w:val="21"/>
              </w:rPr>
              <w:t>4</w:t>
            </w:r>
          </w:p>
        </w:tc>
        <w:tc>
          <w:tcPr>
            <w:tcW w:type="dxa" w:w="2769"/>
          </w:tcPr>
          <w:p>
            <w:r>
              <w:rPr>
                <w:rFonts w:ascii="仿宋" w:hAnsi="仿宋" w:eastAsia="仿宋"/>
                <w:sz w:val="21"/>
              </w:rPr>
              <w:t>4）一般数据汇总时间：&lt;10s；</w:t>
            </w:r>
          </w:p>
        </w:tc>
        <w:tc>
          <w:tcPr>
            <w:tcW w:type="dxa" w:w="2769"/>
          </w:tcPr>
          <w:p>
            <w:r>
              <w:rPr>
                <w:rFonts w:ascii="仿宋" w:hAnsi="仿宋" w:eastAsia="仿宋"/>
                <w:sz w:val="21"/>
              </w:rPr>
              <w:t>通过缓存、异步处理、索引优化、资源监控和超时提示机制响应</w:t>
            </w:r>
          </w:p>
        </w:tc>
      </w:tr>
      <w:tr>
        <w:tc>
          <w:tcPr>
            <w:tcW w:type="dxa" w:w="2769"/>
          </w:tcPr>
          <w:p>
            <w:r>
              <w:rPr>
                <w:rFonts w:ascii="仿宋" w:hAnsi="仿宋" w:eastAsia="仿宋"/>
                <w:sz w:val="21"/>
              </w:rPr>
              <w:t>5</w:t>
            </w:r>
          </w:p>
        </w:tc>
        <w:tc>
          <w:tcPr>
            <w:tcW w:type="dxa" w:w="2769"/>
          </w:tcPr>
          <w:p>
            <w:r>
              <w:rPr>
                <w:rFonts w:ascii="仿宋" w:hAnsi="仿宋" w:eastAsia="仿宋"/>
                <w:sz w:val="21"/>
              </w:rPr>
              <w:t>5）指令响应率：100%；</w:t>
            </w:r>
          </w:p>
        </w:tc>
        <w:tc>
          <w:tcPr>
            <w:tcW w:type="dxa" w:w="2769"/>
          </w:tcPr>
          <w:p>
            <w:r>
              <w:rPr>
                <w:rFonts w:ascii="仿宋" w:hAnsi="仿宋" w:eastAsia="仿宋"/>
                <w:sz w:val="21"/>
              </w:rPr>
              <w:t>通过缓存、异步处理、索引优化、资源监控和超时提示机制响应</w:t>
            </w:r>
          </w:p>
        </w:tc>
      </w:tr>
      <w:tr>
        <w:tc>
          <w:tcPr>
            <w:tcW w:type="dxa" w:w="2769"/>
          </w:tcPr>
          <w:p>
            <w:r>
              <w:rPr>
                <w:rFonts w:ascii="仿宋" w:hAnsi="仿宋" w:eastAsia="仿宋"/>
                <w:sz w:val="21"/>
              </w:rPr>
              <w:t>6</w:t>
            </w:r>
          </w:p>
        </w:tc>
        <w:tc>
          <w:tcPr>
            <w:tcW w:type="dxa" w:w="2769"/>
          </w:tcPr>
          <w:p>
            <w:r>
              <w:rPr>
                <w:rFonts w:ascii="仿宋" w:hAnsi="仿宋" w:eastAsia="仿宋"/>
                <w:sz w:val="21"/>
              </w:rPr>
              <w:t>6）系统服务稳定性：99%；</w:t>
            </w:r>
          </w:p>
        </w:tc>
        <w:tc>
          <w:tcPr>
            <w:tcW w:type="dxa" w:w="2769"/>
          </w:tcPr>
          <w:p>
            <w:r>
              <w:rPr>
                <w:rFonts w:ascii="仿宋" w:hAnsi="仿宋" w:eastAsia="仿宋"/>
                <w:sz w:val="21"/>
              </w:rPr>
              <w:t>通过缓存、异步处理、索引优化、资源监控和超时提示机制响应</w:t>
            </w:r>
          </w:p>
        </w:tc>
      </w:tr>
      <w:tr>
        <w:tc>
          <w:tcPr>
            <w:tcW w:type="dxa" w:w="2769"/>
          </w:tcPr>
          <w:p>
            <w:r>
              <w:rPr>
                <w:rFonts w:ascii="仿宋" w:hAnsi="仿宋" w:eastAsia="仿宋"/>
                <w:sz w:val="21"/>
              </w:rPr>
              <w:t>7</w:t>
            </w:r>
          </w:p>
        </w:tc>
        <w:tc>
          <w:tcPr>
            <w:tcW w:type="dxa" w:w="2769"/>
          </w:tcPr>
          <w:p>
            <w:r>
              <w:rPr>
                <w:rFonts w:ascii="仿宋" w:hAnsi="仿宋" w:eastAsia="仿宋"/>
                <w:sz w:val="21"/>
              </w:rPr>
              <w:t>7）特殊操作超过该时间则需要给予用户明确的等待时间或进度条提示。</w:t>
            </w:r>
          </w:p>
        </w:tc>
        <w:tc>
          <w:tcPr>
            <w:tcW w:type="dxa" w:w="2769"/>
          </w:tcPr>
          <w:p>
            <w:r>
              <w:rPr>
                <w:rFonts w:ascii="仿宋" w:hAnsi="仿宋" w:eastAsia="仿宋"/>
                <w:sz w:val="21"/>
              </w:rPr>
              <w:t>通过缓存、异步处理、索引优化、资源监控和超时提示机制响应</w:t>
            </w:r>
          </w:p>
        </w:tc>
      </w:tr>
    </w:tbl>
    <w:p/>
    <w:p w14:paraId="29318CA3">
      <w:pPr>
        <w:spacing w:line="360" w:lineRule="auto"/>
        <w:ind w:firstLine="480" w:firstLineChars="200"/>
        <w:rPr>
          <w:rFonts w:hint="eastAsia"/>
        </w:rPr>
      </w:pPr>
    </w:p>
    <w:p w14:paraId="285FF293">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rPr>
      </w:pPr>
      <w:r>
        <w:rPr>
          <w:rFonts w:hint="eastAsia" w:ascii="黑体" w:hAnsi="黑体" w:eastAsia="黑体" w:cs="黑体"/>
          <w:sz w:val="28"/>
          <w:szCs w:val="32"/>
          <w:lang w:val="en-US" w:eastAsia="zh-CN"/>
        </w:rPr>
        <w:t>数据库设计</w:t>
      </w:r>
    </w:p>
    <w:p w14:paraId="732E1BBE">
      <w:pPr>
        <w:pStyle w:val="3"/>
        <w:numPr>
          <w:ilvl w:val="0"/>
          <w:numId w:val="0"/>
        </w:numPr>
        <w:bidi w:val="0"/>
        <w:spacing w:line="300" w:lineRule="auto"/>
        <w:ind w:leftChars="200" w:firstLine="480"/>
        <w:rPr>
          <w:rFonts w:hint="eastAsia" w:ascii="黑体" w:hAnsi="黑体" w:eastAsia="黑体" w:cs="黑体"/>
          <w:sz w:val="28"/>
          <w:szCs w:val="32"/>
        </w:rPr>
      </w:pPr>
      <w:r>
        <w:rPr>
          <w:rFonts w:hint="eastAsia" w:ascii="仿宋" w:hAnsi="仿宋" w:eastAsia="仿宋"/>
          <w:b w:val="0"/>
          <w:sz w:val="24"/>
          <w:lang w:eastAsia="zh-CN"/>
        </w:rPr>
        <w:t>数据库设计围绕业务数据、配置数据、日志数据、接口数据、交付资料和备份数据建立分类管理思路。数据模型应服务于功能实现、性能响应、质量追溯和验收交付，具体字段长度、编码和约束可在详细设计阶段继续细化。</w:t>
      </w:r>
      <w:r>
        <w:rPr>
          <w:rFonts w:hint="eastAsia"/>
          <w:lang w:val="en-US" w:eastAsia="zh-CN"/>
        </w:rPr>
      </w:r>
      <w:r>
        <w:rPr>
          <w:rFonts w:hint="eastAsia"/>
          <w:lang w:eastAsia="zh-CN"/>
        </w:rPr>
      </w:r>
    </w:p>
    <w:p w14:paraId="516367DE">
      <w:pPr>
        <w:keepNext/>
        <w:keepLines/>
        <w:numPr>
          <w:ilvl w:val="2"/>
          <w:numId w:val="11"/>
        </w:numPr>
        <w:tabs>
          <w:tab w:val="left" w:pos="0"/>
        </w:tabs>
        <w:spacing w:line="360" w:lineRule="auto"/>
        <w:ind w:left="720" w:hanging="720"/>
        <w:outlineLvl w:val="2"/>
        <w:rPr>
          <w:rFonts w:hint="eastAsia" w:eastAsia="黑体"/>
          <w:bCs/>
          <w:szCs w:val="32"/>
          <w:lang w:val="en-US" w:eastAsia="zh-CN"/>
        </w:rPr>
      </w:pPr>
      <w:r>
        <w:rPr>
          <w:rFonts w:hint="eastAsia" w:eastAsia="黑体"/>
          <w:bCs/>
          <w:szCs w:val="32"/>
          <w:lang w:val="en-US" w:eastAsia="zh-CN"/>
        </w:rPr>
        <w:t>数据库架构</w:t>
      </w:r>
    </w:p>
    <w:p w14:paraId="712E5FA7">
      <w:pPr>
        <w:adjustRightInd w:val="0"/>
        <w:spacing w:line="300" w:lineRule="auto"/>
        <w:ind w:firstLine="480"/>
        <w:rPr>
          <w:rFonts w:ascii="Helvetica" w:hAnsi="Helvetica" w:eastAsia="Helvetica" w:cs="Helvetica"/>
          <w:color w:val="707070"/>
          <w:sz w:val="21"/>
          <w:szCs w:val="21"/>
          <w:shd w:val="clear" w:color="auto" w:fill="F5F6F8"/>
        </w:rPr>
      </w:pPr>
      <w:r>
        <w:rPr>
          <w:rFonts w:ascii="仿宋" w:hAnsi="仿宋" w:eastAsia="仿宋"/>
          <w:b w:val="0"/>
          <w:sz w:val="24"/>
        </w:rPr>
        <w:t>数据架构建议采用业务库、日志库、配置库和备份库分区管理。业务库保存核心业务对象及状态，日志库保存操作、告警和接口记录，配置库保存参数、角色、权限和环境配置，备份库保存归档和恢复数据。</w:t>
      </w:r>
    </w:p>
    <w:p w14:paraId="2B702C79">
      <w:pPr>
        <w:keepNext/>
        <w:keepLines/>
        <w:numPr>
          <w:ilvl w:val="2"/>
          <w:numId w:val="11"/>
        </w:numPr>
        <w:tabs>
          <w:tab w:val="left" w:pos="0"/>
        </w:tabs>
        <w:spacing w:line="360" w:lineRule="auto"/>
        <w:ind w:left="720" w:hanging="720"/>
        <w:outlineLvl w:val="2"/>
        <w:rPr>
          <w:rFonts w:hint="eastAsia" w:eastAsia="黑体"/>
          <w:bCs/>
          <w:szCs w:val="32"/>
          <w:lang w:val="en-US" w:eastAsia="zh-CN"/>
        </w:rPr>
      </w:pPr>
      <w:r>
        <w:rPr>
          <w:rFonts w:hint="eastAsia" w:eastAsia="黑体"/>
          <w:bCs/>
          <w:szCs w:val="32"/>
          <w:lang w:val="en-US" w:eastAsia="zh-CN"/>
        </w:rPr>
        <w:t>核心业务设计</w:t>
      </w:r>
    </w:p>
    <w:p w14:paraId="78B9905F">
      <w:pPr>
        <w:adjustRightInd w:val="0"/>
        <w:spacing w:line="300" w:lineRule="auto"/>
        <w:ind w:firstLine="480"/>
        <w:rPr>
          <w:rFonts w:ascii="Helvetica" w:hAnsi="Helvetica" w:eastAsia="Helvetica" w:cs="Helvetica"/>
          <w:color w:val="707070"/>
          <w:sz w:val="21"/>
          <w:szCs w:val="21"/>
          <w:shd w:val="clear" w:color="auto" w:fill="F5F6F8"/>
        </w:rPr>
      </w:pPr>
      <w:r>
        <w:rPr>
          <w:rFonts w:ascii="仿宋" w:hAnsi="仿宋" w:eastAsia="仿宋"/>
          <w:b w:val="0"/>
          <w:sz w:val="24"/>
        </w:rPr>
        <w:t>核心业务数据来自技术要求中的功能模块，包括业务对象、操作记录、接口报文、状态数据、告警事件、配置参数、用户权限和交付资料等。所有关键数据应保留来源、版本、时间、责任主体和处理状态，便于追溯和复核。</w:t>
      </w:r>
    </w:p>
    <w:p w14:paraId="1B186F59">
      <w:pPr>
        <w:keepNext/>
        <w:keepLines/>
        <w:numPr>
          <w:ilvl w:val="2"/>
          <w:numId w:val="11"/>
        </w:numPr>
        <w:tabs>
          <w:tab w:val="left" w:pos="0"/>
        </w:tabs>
        <w:spacing w:line="360" w:lineRule="auto"/>
        <w:ind w:left="720" w:hanging="720"/>
        <w:outlineLvl w:val="2"/>
        <w:rPr>
          <w:rFonts w:hint="eastAsia" w:eastAsia="黑体"/>
          <w:bCs/>
          <w:szCs w:val="32"/>
          <w:lang w:val="en-US" w:eastAsia="zh-CN"/>
        </w:rPr>
      </w:pPr>
      <w:r>
        <w:rPr>
          <w:rFonts w:hint="eastAsia" w:eastAsia="黑体"/>
          <w:bCs/>
          <w:szCs w:val="32"/>
          <w:lang w:val="en-US" w:eastAsia="zh-CN"/>
        </w:rPr>
        <w:t>数据库表设计</w:t>
      </w:r>
    </w:p>
    <w:p w14:paraId="700EC482">
      <w:pPr>
        <w:adjustRightInd w:val="0"/>
        <w:spacing w:line="300" w:lineRule="auto"/>
        <w:ind w:firstLineChars="200"/>
        <w:rPr>
          <w:szCs w:val="28"/>
        </w:rPr>
      </w:pPr>
      <w:r>
        <w:rPr>
          <w:rFonts w:ascii="仿宋" w:hAnsi="仿宋" w:eastAsia="仿宋"/>
          <w:b w:val="0"/>
          <w:sz w:val="24"/>
        </w:rPr>
      </w:r>
    </w:p>
    <w:tbl>
      <w:tblPr>
        <w:tblStyle w:val="26"/>
        <w:tblW w:type="auto" w:w="0"/>
        <w:tblLook w:firstColumn="1" w:firstRow="1" w:lastColumn="0" w:lastRow="0" w:noHBand="0" w:noVBand="1" w:val="04A0"/>
      </w:tblPr>
      <w:tblGrid>
        <w:gridCol w:w="2076"/>
        <w:gridCol w:w="2076"/>
        <w:gridCol w:w="2076"/>
        <w:gridCol w:w="2076"/>
      </w:tblGrid>
      <w:tr>
        <w:tc>
          <w:tcPr>
            <w:tcW w:type="dxa" w:w="2076"/>
          </w:tcPr>
          <w:p>
            <w:r>
              <w:rPr>
                <w:rFonts w:ascii="仿宋" w:hAnsi="仿宋" w:eastAsia="仿宋"/>
                <w:sz w:val="21"/>
              </w:rPr>
              <w:t>表名</w:t>
            </w:r>
          </w:p>
        </w:tc>
        <w:tc>
          <w:tcPr>
            <w:tcW w:type="dxa" w:w="2076"/>
          </w:tcPr>
          <w:p>
            <w:r>
              <w:rPr>
                <w:rFonts w:ascii="仿宋" w:hAnsi="仿宋" w:eastAsia="仿宋"/>
                <w:sz w:val="21"/>
              </w:rPr>
              <w:t>主要字段</w:t>
            </w:r>
          </w:p>
        </w:tc>
        <w:tc>
          <w:tcPr>
            <w:tcW w:type="dxa" w:w="2076"/>
          </w:tcPr>
          <w:p>
            <w:r>
              <w:rPr>
                <w:rFonts w:ascii="仿宋" w:hAnsi="仿宋" w:eastAsia="仿宋"/>
                <w:sz w:val="21"/>
              </w:rPr>
              <w:t>用途</w:t>
            </w:r>
          </w:p>
        </w:tc>
        <w:tc>
          <w:tcPr>
            <w:tcW w:type="dxa" w:w="2076"/>
          </w:tcPr>
          <w:p>
            <w:r>
              <w:rPr>
                <w:rFonts w:ascii="仿宋" w:hAnsi="仿宋" w:eastAsia="仿宋"/>
                <w:sz w:val="21"/>
              </w:rPr>
              <w:t>备注</w:t>
            </w:r>
          </w:p>
        </w:tc>
      </w:tr>
      <w:tr>
        <w:tc>
          <w:tcPr>
            <w:tcW w:type="dxa" w:w="2076"/>
          </w:tcPr>
          <w:p>
            <w:r>
              <w:rPr>
                <w:rFonts w:ascii="仿宋" w:hAnsi="仿宋" w:eastAsia="仿宋"/>
                <w:sz w:val="21"/>
              </w:rPr>
              <w:t>requirement_item</w:t>
            </w:r>
          </w:p>
        </w:tc>
        <w:tc>
          <w:tcPr>
            <w:tcW w:type="dxa" w:w="2076"/>
          </w:tcPr>
          <w:p>
            <w:r>
              <w:rPr>
                <w:rFonts w:ascii="仿宋" w:hAnsi="仿宋" w:eastAsia="仿宋"/>
                <w:sz w:val="18"/>
              </w:rPr>
              <w:t>id、source_file、category、title、text、target_section、status</w:t>
            </w:r>
          </w:p>
        </w:tc>
        <w:tc>
          <w:tcPr>
            <w:tcW w:type="dxa" w:w="2076"/>
          </w:tcPr>
          <w:p>
            <w:r>
              <w:rPr>
                <w:rFonts w:ascii="仿宋" w:hAnsi="仿宋" w:eastAsia="仿宋"/>
                <w:sz w:val="21"/>
              </w:rPr>
              <w:t>保存需求条款</w:t>
            </w:r>
          </w:p>
        </w:tc>
        <w:tc>
          <w:tcPr>
            <w:tcW w:type="dxa" w:w="2076"/>
          </w:tcPr>
          <w:p>
            <w:r>
              <w:rPr>
                <w:rFonts w:ascii="仿宋" w:hAnsi="仿宋" w:eastAsia="仿宋"/>
                <w:sz w:val="21"/>
              </w:rPr>
              <w:t>由 input 自动抽取</w:t>
            </w:r>
          </w:p>
        </w:tc>
      </w:tr>
      <w:tr>
        <w:tc>
          <w:tcPr>
            <w:tcW w:type="dxa" w:w="2076"/>
          </w:tcPr>
          <w:p>
            <w:r>
              <w:rPr>
                <w:rFonts w:ascii="仿宋" w:hAnsi="仿宋" w:eastAsia="仿宋"/>
                <w:sz w:val="21"/>
              </w:rPr>
              <w:t>generation_block</w:t>
            </w:r>
          </w:p>
        </w:tc>
        <w:tc>
          <w:tcPr>
            <w:tcW w:type="dxa" w:w="2076"/>
          </w:tcPr>
          <w:p>
            <w:r>
              <w:rPr>
                <w:rFonts w:ascii="仿宋" w:hAnsi="仿宋" w:eastAsia="仿宋"/>
                <w:sz w:val="18"/>
              </w:rPr>
              <w:t>placeholder、block_type、content、source_ids</w:t>
            </w:r>
          </w:p>
        </w:tc>
        <w:tc>
          <w:tcPr>
            <w:tcW w:type="dxa" w:w="2076"/>
          </w:tcPr>
          <w:p>
            <w:r>
              <w:rPr>
                <w:rFonts w:ascii="仿宋" w:hAnsi="仿宋" w:eastAsia="仿宋"/>
                <w:sz w:val="21"/>
              </w:rPr>
              <w:t>保存生成内容块</w:t>
            </w:r>
          </w:p>
        </w:tc>
        <w:tc>
          <w:tcPr>
            <w:tcW w:type="dxa" w:w="2076"/>
          </w:tcPr>
          <w:p>
            <w:r>
              <w:rPr>
                <w:rFonts w:ascii="仿宋" w:hAnsi="仿宋" w:eastAsia="仿宋"/>
                <w:sz w:val="21"/>
              </w:rPr>
              <w:t>用于 Word 填充和追溯</w:t>
            </w:r>
          </w:p>
        </w:tc>
      </w:tr>
      <w:tr>
        <w:tc>
          <w:tcPr>
            <w:tcW w:type="dxa" w:w="2076"/>
          </w:tcPr>
          <w:p>
            <w:r>
              <w:rPr>
                <w:rFonts w:ascii="仿宋" w:hAnsi="仿宋" w:eastAsia="仿宋"/>
                <w:sz w:val="21"/>
              </w:rPr>
              <w:t>review_item</w:t>
            </w:r>
          </w:p>
        </w:tc>
        <w:tc>
          <w:tcPr>
            <w:tcW w:type="dxa" w:w="2076"/>
          </w:tcPr>
          <w:p>
            <w:r>
              <w:rPr>
                <w:rFonts w:ascii="仿宋" w:hAnsi="仿宋" w:eastAsia="仿宋"/>
                <w:sz w:val="21"/>
              </w:rPr>
              <w:t>id、type、content、status</w:t>
            </w:r>
          </w:p>
        </w:tc>
        <w:tc>
          <w:tcPr>
            <w:tcW w:type="dxa" w:w="2076"/>
          </w:tcPr>
          <w:p>
            <w:r>
              <w:rPr>
                <w:rFonts w:ascii="仿宋" w:hAnsi="仿宋" w:eastAsia="仿宋"/>
                <w:sz w:val="21"/>
              </w:rPr>
              <w:t>保存确认和复核事项</w:t>
            </w:r>
          </w:p>
        </w:tc>
        <w:tc>
          <w:tcPr>
            <w:tcW w:type="dxa" w:w="2076"/>
          </w:tcPr>
          <w:p>
            <w:r>
              <w:rPr>
                <w:rFonts w:ascii="仿宋" w:hAnsi="仿宋" w:eastAsia="仿宋"/>
                <w:sz w:val="21"/>
              </w:rPr>
              <w:t>需人工确认</w:t>
            </w:r>
          </w:p>
        </w:tc>
      </w:tr>
    </w:tbl>
    <w:p/>
    <w:p w14:paraId="011F2346">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lang w:val="en-US" w:eastAsia="zh-CN"/>
        </w:rPr>
      </w:pPr>
      <w:bookmarkStart w:id="17" w:name="_Toc1932"/>
      <w:bookmarkStart w:id="18" w:name="_Toc11462"/>
      <w:bookmarkStart w:id="19" w:name="_Toc9876"/>
      <w:r>
        <w:rPr>
          <w:rFonts w:hint="eastAsia" w:ascii="黑体" w:hAnsi="黑体" w:eastAsia="黑体" w:cs="黑体"/>
          <w:sz w:val="28"/>
          <w:szCs w:val="32"/>
          <w:lang w:val="en-US" w:eastAsia="zh-CN"/>
        </w:rPr>
        <w:t>通用质量特性设计</w:t>
      </w:r>
      <w:bookmarkEnd w:id="17"/>
    </w:p>
    <w:p>
      <w:pPr>
        <w:spacing w:line="300" w:lineRule="auto"/>
        <w:ind w:firstLine="480"/>
      </w:pPr>
      <w:r>
        <w:rPr>
          <w:rFonts w:ascii="仿宋" w:hAnsi="仿宋" w:eastAsia="仿宋"/>
          <w:b w:val="0"/>
          <w:sz w:val="24"/>
        </w:rPr>
        <w:t>通用质量特性设计围绕招标文件提出的相关质量要求展开，重点覆盖5 违约处罚及责任追究、保障性、内部接口、可靠性、外部接口、安全性等方面。</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质量要求</w:t>
            </w:r>
          </w:p>
        </w:tc>
        <w:tc>
          <w:tcPr>
            <w:tcW w:type="dxa" w:w="2769"/>
          </w:tcPr>
          <w:p>
            <w:r>
              <w:rPr>
                <w:rFonts w:ascii="仿宋" w:hAnsi="仿宋" w:eastAsia="仿宋"/>
                <w:sz w:val="21"/>
              </w:rPr>
              <w:t>设计措施</w:t>
            </w:r>
          </w:p>
        </w:tc>
      </w:tr>
      <w:tr>
        <w:tc>
          <w:tcPr>
            <w:tcW w:type="dxa" w:w="2769"/>
          </w:tcPr>
          <w:p>
            <w:r>
              <w:rPr>
                <w:rFonts w:ascii="仿宋" w:hAnsi="仿宋" w:eastAsia="仿宋"/>
                <w:sz w:val="21"/>
              </w:rPr>
              <w:t>1</w:t>
            </w:r>
          </w:p>
        </w:tc>
        <w:tc>
          <w:tcPr>
            <w:tcW w:type="dxa" w:w="2769"/>
          </w:tcPr>
          <w:p>
            <w:r>
              <w:rPr>
                <w:rFonts w:ascii="仿宋" w:hAnsi="仿宋" w:eastAsia="仿宋"/>
                <w:sz w:val="18"/>
              </w:rPr>
              <w:t>海图数据加载准确完整，海图初始化时间&lt;=8S，海图响应时间&lt;=2S；航线安全检查结果准确率高于99%；存储介质可靠；接口通信具备错误校验和自动重连机制，以保证数据链路的可靠</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w:t>
            </w:r>
          </w:p>
        </w:tc>
        <w:tc>
          <w:tcPr>
            <w:tcW w:type="dxa" w:w="2769"/>
          </w:tcPr>
          <w:p>
            <w:r>
              <w:rPr>
                <w:rFonts w:ascii="仿宋" w:hAnsi="仿宋" w:eastAsia="仿宋"/>
                <w:sz w:val="21"/>
              </w:rPr>
              <w:t>系统部署运行软硬件环境满足全军统一国产化要求。</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w:t>
            </w:r>
          </w:p>
        </w:tc>
        <w:tc>
          <w:tcPr>
            <w:tcW w:type="dxa" w:w="2769"/>
          </w:tcPr>
          <w:p>
            <w:r>
              <w:rPr>
                <w:rFonts w:ascii="仿宋" w:hAnsi="仿宋" w:eastAsia="仿宋"/>
                <w:sz w:val="18"/>
              </w:rPr>
              <w:t>系统上线运行前必须进行整体安全性测试，并提供安全测试报告；系统管理人员必须进行严格培训，能熟练进行系统管理；</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4</w:t>
            </w:r>
          </w:p>
        </w:tc>
        <w:tc>
          <w:tcPr>
            <w:tcW w:type="dxa" w:w="2769"/>
          </w:tcPr>
          <w:p>
            <w:r>
              <w:rPr>
                <w:rFonts w:ascii="仿宋" w:hAnsi="仿宋" w:eastAsia="仿宋"/>
                <w:sz w:val="18"/>
              </w:rPr>
              <w:t>对访问用户按照岗位业务进行灵活的权限设计，建立严格的授权机制；严禁在正式运行的系统与数据库中进行测试操作。</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5</w:t>
            </w:r>
          </w:p>
        </w:tc>
        <w:tc>
          <w:tcPr>
            <w:tcW w:type="dxa" w:w="2769"/>
          </w:tcPr>
          <w:p>
            <w:r>
              <w:rPr>
                <w:rFonts w:ascii="仿宋" w:hAnsi="仿宋" w:eastAsia="仿宋"/>
                <w:sz w:val="21"/>
              </w:rPr>
              <w:t>支持按照军用计算机网络安全防护标准进行网络软硬件部署配置。</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6</w:t>
            </w:r>
          </w:p>
        </w:tc>
        <w:tc>
          <w:tcPr>
            <w:tcW w:type="dxa" w:w="2769"/>
          </w:tcPr>
          <w:p>
            <w:r>
              <w:rPr>
                <w:rFonts w:ascii="仿宋" w:hAnsi="仿宋" w:eastAsia="仿宋"/>
                <w:sz w:val="18"/>
              </w:rPr>
              <w:t>软件随主机设备移交时，应同时移交用户使用手册。软件移交后，需要配合联试和使用进行维护，对软件的更改做好记录，同时需保持文档与代码的可追溯性和一致性。</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7</w:t>
            </w:r>
          </w:p>
        </w:tc>
        <w:tc>
          <w:tcPr>
            <w:tcW w:type="dxa" w:w="2769"/>
          </w:tcPr>
          <w:p>
            <w:r>
              <w:rPr>
                <w:rFonts w:ascii="仿宋" w:hAnsi="仿宋" w:eastAsia="仿宋"/>
                <w:sz w:val="18"/>
              </w:rPr>
              <w:t>功能模块（如数据接入、告警管理、系统配置等）之间须具有定义清晰、稳定的接口；</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8</w:t>
            </w:r>
          </w:p>
        </w:tc>
        <w:tc>
          <w:tcPr>
            <w:tcW w:type="dxa" w:w="2769"/>
          </w:tcPr>
          <w:p>
            <w:r>
              <w:rPr>
                <w:rFonts w:ascii="仿宋" w:hAnsi="仿宋" w:eastAsia="仿宋"/>
                <w:sz w:val="21"/>
              </w:rPr>
              <w:t>MTTR（平均维修时间）：≤</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9</w:t>
            </w:r>
          </w:p>
        </w:tc>
        <w:tc>
          <w:tcPr>
            <w:tcW w:type="dxa" w:w="2769"/>
          </w:tcPr>
          <w:p>
            <w:r>
              <w:rPr>
                <w:rFonts w:ascii="仿宋" w:hAnsi="仿宋" w:eastAsia="仿宋"/>
                <w:sz w:val="18"/>
              </w:rPr>
              <w:t>系统及其各模块在设计和实现时须充分考虑可测试性，包括提供必要的测试接口或机制，支持自动化测试的实施，以便于进行有效的单元测试、集成测试、系统测试和验收测试。</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10</w:t>
            </w:r>
          </w:p>
        </w:tc>
        <w:tc>
          <w:tcPr>
            <w:tcW w:type="dxa" w:w="2769"/>
          </w:tcPr>
          <w:p>
            <w:r>
              <w:rPr>
                <w:rFonts w:ascii="仿宋" w:hAnsi="仿宋" w:eastAsia="仿宋"/>
                <w:sz w:val="18"/>
              </w:rPr>
              <w:t>软件运行环境：硬件平台（龙芯、飞腾、瑞芯微）和系统（麒麟、Ubuntu）。</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11</w:t>
            </w:r>
          </w:p>
        </w:tc>
        <w:tc>
          <w:tcPr>
            <w:tcW w:type="dxa" w:w="2769"/>
          </w:tcPr>
          <w:p>
            <w:r>
              <w:rPr>
                <w:rFonts w:ascii="仿宋" w:hAnsi="仿宋" w:eastAsia="仿宋"/>
                <w:sz w:val="18"/>
              </w:rPr>
              <w:t>安全告警与风险接口：操作过程中提供及时的视觉、听觉反馈。如点击按钮后，按钮会有颜色变化或轻微震动反馈；执行操作成功或失败时，会通过不同的提示音和屏幕提示告知船员。对于重要操作，如删除航线，会弹出确认对话框，要求船员二次确认，防止误操作。</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12</w:t>
            </w:r>
          </w:p>
        </w:tc>
        <w:tc>
          <w:tcPr>
            <w:tcW w:type="dxa" w:w="2769"/>
          </w:tcPr>
          <w:p>
            <w:r>
              <w:rPr>
                <w:rFonts w:ascii="仿宋" w:hAnsi="仿宋" w:eastAsia="仿宋"/>
                <w:sz w:val="18"/>
              </w:rPr>
              <w:t>航线规划与监控接口：航线规划功能可通过点击特定图标，在海图上进行航点绘制和编辑。采用直观图形化界面，通过菜单、按钮、图标等元素，实现对电子海图显示与信息系统的各项操作。菜单层级简洁明了，方便船员快速找到所需功能；</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13</w:t>
            </w:r>
          </w:p>
        </w:tc>
        <w:tc>
          <w:tcPr>
            <w:tcW w:type="dxa" w:w="2769"/>
          </w:tcPr>
          <w:p>
            <w:r>
              <w:rPr>
                <w:rFonts w:ascii="仿宋" w:hAnsi="仿宋" w:eastAsia="仿宋"/>
                <w:sz w:val="18"/>
              </w:rPr>
              <w:t>数据库数据读写接口：海图底图存储或载遵循IHO S-57标准，实现与电子海图数据（ENC）的交互，将ENC数据转换为系统内部存储结构（SENC）。支持官方发布的海图更新数据（如S-63加密格式）的接收、解析和应用，确保海图信息的及时性和准确性。</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14</w:t>
            </w:r>
          </w:p>
        </w:tc>
        <w:tc>
          <w:tcPr>
            <w:tcW w:type="dxa" w:w="2769"/>
          </w:tcPr>
          <w:p>
            <w:r>
              <w:rPr>
                <w:rFonts w:ascii="仿宋" w:hAnsi="仿宋" w:eastAsia="仿宋"/>
                <w:sz w:val="18"/>
              </w:rPr>
              <w:t>海图显示与态势融合接口：采用直观图形化界面，通过菜单、按钮、图标等元素，实现对电子海图显示与信息系统的各项操作。菜单层级简洁明了，方便船员快速找到所需功能；按钮和图标设计符合人体工程学，便于点击和识别。例如，按钮和图标设计符合人体工程学，便于点击和识别。例如，航线规划功能可通过点击特定图标，在海图上进行航点绘制和编辑。</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15</w:t>
            </w:r>
          </w:p>
        </w:tc>
        <w:tc>
          <w:tcPr>
            <w:tcW w:type="dxa" w:w="2769"/>
          </w:tcPr>
          <w:p>
            <w:r>
              <w:rPr>
                <w:rFonts w:ascii="仿宋" w:hAnsi="仿宋" w:eastAsia="仿宋"/>
                <w:sz w:val="18"/>
              </w:rPr>
              <w:t>外部数据与文件系统：支持与外部设备（如USB存储设备、便携式电脑）的数据交换，便于海图数据的备份、航线文件的导入导出。采用通用的数据格式（如CSV、XML），确保与其他系统的数据兼容性。例如，船员可将规划好的航线导出为CSV文件，通过USB存储设备传输到其他船舶的电子海图显示与信息系统系统中。</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16</w:t>
            </w:r>
          </w:p>
        </w:tc>
        <w:tc>
          <w:tcPr>
            <w:tcW w:type="dxa" w:w="2769"/>
          </w:tcPr>
          <w:p>
            <w:r>
              <w:rPr>
                <w:rFonts w:ascii="仿宋" w:hAnsi="仿宋" w:eastAsia="仿宋"/>
                <w:sz w:val="18"/>
              </w:rPr>
              <w:t>传感器与导航设备：与定位系统（如GPS、北斗）、电罗经、计程仪等设备进行数据通信，接收船舶的位置、航向、速度等信息。采用NMEA 0183或NMEA 2000等标准协议，实现数据的稳定传输和解析。例如，通过NMEA 0183协议接收GPS设备发送的船位数据，并在海图上准确显示船舶实时位置。新增与BNWAS（桥楼航行值班报警系统）、VDR（航行数据记录仪）、BAM（船舶安保报警系统）、MSI（航海气象信息系统）、INS（惯性导航系统）等系统的接口。通过这些接口，实现数据共享和功能协同。如与MSI系统连接，获取气象预报信息，并在海图上叠加显示风浪、台风路径等气象数据，辅助船员进行航线决策。</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17</w:t>
            </w:r>
          </w:p>
        </w:tc>
        <w:tc>
          <w:tcPr>
            <w:tcW w:type="dxa" w:w="2769"/>
          </w:tcPr>
          <w:p>
            <w:r>
              <w:rPr>
                <w:rFonts w:ascii="仿宋" w:hAnsi="仿宋" w:eastAsia="仿宋"/>
                <w:sz w:val="18"/>
              </w:rPr>
              <w:t>人机交互与控制HMI：支持多种输入方式，如触摸屏、鼠标、键盘、轨迹球等。触摸屏操作直观便捷，适合快速调整显示参数或选择功能；鼠标和键盘则便于进行复杂的文字输入和精确操作，如输入港口名称进行搜索。</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18</w:t>
            </w:r>
          </w:p>
        </w:tc>
        <w:tc>
          <w:tcPr>
            <w:tcW w:type="dxa" w:w="2769"/>
          </w:tcPr>
          <w:p>
            <w:r>
              <w:rPr>
                <w:rFonts w:ascii="仿宋" w:hAnsi="仿宋" w:eastAsia="仿宋"/>
                <w:sz w:val="21"/>
              </w:rPr>
              <w:t>需求标识符：DZHT_2025_DesignRestrict。</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19</w:t>
            </w:r>
          </w:p>
        </w:tc>
        <w:tc>
          <w:tcPr>
            <w:tcW w:type="dxa" w:w="2769"/>
          </w:tcPr>
          <w:p>
            <w:r>
              <w:rPr>
                <w:rFonts w:ascii="仿宋" w:hAnsi="仿宋" w:eastAsia="仿宋"/>
                <w:sz w:val="21"/>
              </w:rPr>
              <w:t>电子海图显示与信息系统的设计约束如下：</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20</w:t>
            </w:r>
          </w:p>
        </w:tc>
        <w:tc>
          <w:tcPr>
            <w:tcW w:type="dxa" w:w="2769"/>
          </w:tcPr>
          <w:p>
            <w:r>
              <w:rPr>
                <w:rFonts w:ascii="仿宋" w:hAnsi="仿宋" w:eastAsia="仿宋"/>
                <w:sz w:val="21"/>
              </w:rPr>
              <w:t>本项目研制工作的开展必须严格遵守相关保密规定；</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21</w:t>
            </w:r>
          </w:p>
        </w:tc>
        <w:tc>
          <w:tcPr>
            <w:tcW w:type="dxa" w:w="2769"/>
          </w:tcPr>
          <w:p>
            <w:r>
              <w:rPr>
                <w:rFonts w:ascii="仿宋" w:hAnsi="仿宋" w:eastAsia="仿宋"/>
                <w:sz w:val="21"/>
              </w:rPr>
              <w:t>本软件支持用户操作界面与显示，采用C++编程语言；</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22</w:t>
            </w:r>
          </w:p>
        </w:tc>
        <w:tc>
          <w:tcPr>
            <w:tcW w:type="dxa" w:w="2769"/>
          </w:tcPr>
          <w:p>
            <w:r>
              <w:rPr>
                <w:rFonts w:ascii="仿宋" w:hAnsi="仿宋" w:eastAsia="仿宋"/>
                <w:sz w:val="21"/>
              </w:rPr>
              <w:t>软件采用分层结构和模块化设计，设计是充分考虑继承性、灵活性和可维护性。</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23</w:t>
            </w:r>
          </w:p>
        </w:tc>
        <w:tc>
          <w:tcPr>
            <w:tcW w:type="dxa" w:w="2769"/>
          </w:tcPr>
          <w:p>
            <w:r>
              <w:rPr>
                <w:rFonts w:ascii="仿宋" w:hAnsi="仿宋" w:eastAsia="仿宋"/>
                <w:sz w:val="18"/>
              </w:rPr>
              <w:t>乙方应当接受甲方质量体系及客户代表机构的监督和评价，应当确保甲方及经甲方同意的</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24</w:t>
            </w:r>
          </w:p>
        </w:tc>
        <w:tc>
          <w:tcPr>
            <w:tcW w:type="dxa" w:w="2769"/>
          </w:tcPr>
          <w:p>
            <w:r>
              <w:rPr>
                <w:rFonts w:ascii="仿宋" w:hAnsi="仿宋" w:eastAsia="仿宋"/>
                <w:sz w:val="18"/>
              </w:rPr>
              <w:t>有关方有权进入与本规格书有关现场，开展过程及产品质量监督，以验证乙方对规格书要求的</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25</w:t>
            </w:r>
          </w:p>
        </w:tc>
        <w:tc>
          <w:tcPr>
            <w:tcW w:type="dxa" w:w="2769"/>
          </w:tcPr>
          <w:p>
            <w:r>
              <w:rPr>
                <w:rFonts w:ascii="仿宋" w:hAnsi="仿宋" w:eastAsia="仿宋"/>
                <w:sz w:val="21"/>
              </w:rPr>
              <w:t>遵守情况，乙方应当提供必要的数据、记录、文件等资源支持。</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26</w:t>
            </w:r>
          </w:p>
        </w:tc>
        <w:tc>
          <w:tcPr>
            <w:tcW w:type="dxa" w:w="2769"/>
          </w:tcPr>
          <w:p>
            <w:r>
              <w:rPr>
                <w:rFonts w:ascii="仿宋" w:hAnsi="仿宋" w:eastAsia="仿宋"/>
                <w:sz w:val="18"/>
              </w:rPr>
              <w:t>甲乙双方应当在产品检测评价标准、缺陷判据、抽样方法等方面达成一致，由合同甲方制</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27</w:t>
            </w:r>
          </w:p>
        </w:tc>
        <w:tc>
          <w:tcPr>
            <w:tcW w:type="dxa" w:w="2769"/>
          </w:tcPr>
          <w:p>
            <w:r>
              <w:rPr>
                <w:rFonts w:ascii="仿宋" w:hAnsi="仿宋" w:eastAsia="仿宋"/>
                <w:sz w:val="21"/>
              </w:rPr>
              <w:t>定《电子海图显示与信息系统软件验收大纲》文件。</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28</w:t>
            </w:r>
          </w:p>
        </w:tc>
        <w:tc>
          <w:tcPr>
            <w:tcW w:type="dxa" w:w="2769"/>
          </w:tcPr>
          <w:p>
            <w:r>
              <w:rPr>
                <w:rFonts w:ascii="仿宋" w:hAnsi="仿宋" w:eastAsia="仿宋"/>
                <w:sz w:val="18"/>
              </w:rPr>
              <w:t>乙方应配合甲方完成外包验收工作，验收按照甲方编制的验收大纲、规范中相关要求执行。</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29</w:t>
            </w:r>
          </w:p>
        </w:tc>
        <w:tc>
          <w:tcPr>
            <w:tcW w:type="dxa" w:w="2769"/>
          </w:tcPr>
          <w:p>
            <w:r>
              <w:rPr>
                <w:rFonts w:ascii="仿宋" w:hAnsi="仿宋" w:eastAsia="仿宋"/>
                <w:sz w:val="21"/>
              </w:rPr>
              <w:t>乙方需提供给甲方的外包验收交付物见表1。</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30</w:t>
            </w:r>
          </w:p>
        </w:tc>
        <w:tc>
          <w:tcPr>
            <w:tcW w:type="dxa" w:w="2769"/>
          </w:tcPr>
          <w:p>
            <w:r>
              <w:rPr>
                <w:rFonts w:ascii="仿宋" w:hAnsi="仿宋" w:eastAsia="仿宋"/>
                <w:sz w:val="21"/>
              </w:rPr>
              <w:t>2.1条要求开展产品检测和评价，有下列情形时，甲方有权拒收</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31</w:t>
            </w:r>
          </w:p>
        </w:tc>
        <w:tc>
          <w:tcPr>
            <w:tcW w:type="dxa" w:w="2769"/>
          </w:tcPr>
          <w:p>
            <w:r>
              <w:rPr>
                <w:rFonts w:ascii="仿宋" w:hAnsi="仿宋" w:eastAsia="仿宋"/>
                <w:sz w:val="18"/>
              </w:rPr>
              <w:t>交付的产品：所交付产品为不合格产品的；所交付产品含有侵权纠纷的；提交产品尚未完成甲</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32</w:t>
            </w:r>
          </w:p>
        </w:tc>
        <w:tc>
          <w:tcPr>
            <w:tcW w:type="dxa" w:w="2769"/>
          </w:tcPr>
          <w:p>
            <w:r>
              <w:rPr>
                <w:rFonts w:ascii="仿宋" w:hAnsi="仿宋" w:eastAsia="仿宋"/>
                <w:sz w:val="18"/>
              </w:rPr>
              <w:t>方的设计要求；乙方对甲方提出的纠正措施要求未作答复或提供的纠正措施不能接受的；在甲</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33</w:t>
            </w:r>
          </w:p>
        </w:tc>
        <w:tc>
          <w:tcPr>
            <w:tcW w:type="dxa" w:w="2769"/>
          </w:tcPr>
          <w:p>
            <w:r>
              <w:rPr>
                <w:rFonts w:ascii="仿宋" w:hAnsi="仿宋" w:eastAsia="仿宋"/>
                <w:sz w:val="21"/>
              </w:rPr>
              <w:t>方要求不得让步接收的产品中存在让步接收情况的。</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34</w:t>
            </w:r>
          </w:p>
        </w:tc>
        <w:tc>
          <w:tcPr>
            <w:tcW w:type="dxa" w:w="2769"/>
          </w:tcPr>
          <w:p>
            <w:r>
              <w:rPr>
                <w:rFonts w:ascii="仿宋" w:hAnsi="仿宋" w:eastAsia="仿宋"/>
                <w:sz w:val="18"/>
              </w:rPr>
              <w:t>乙方出现如交付产品不合格、使用中出现批次性质量问题、质量问题导致甲方或甲方顾客</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35</w:t>
            </w:r>
          </w:p>
        </w:tc>
        <w:tc>
          <w:tcPr>
            <w:tcW w:type="dxa" w:w="2769"/>
          </w:tcPr>
          <w:p>
            <w:r>
              <w:rPr>
                <w:rFonts w:ascii="仿宋" w:hAnsi="仿宋" w:eastAsia="仿宋"/>
                <w:sz w:val="21"/>
              </w:rPr>
              <w:t>损失等情况时，乙方应负责更换并承担所有处理费用，并赔偿甲方损失。</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36</w:t>
            </w:r>
          </w:p>
        </w:tc>
        <w:tc>
          <w:tcPr>
            <w:tcW w:type="dxa" w:w="2769"/>
          </w:tcPr>
          <w:p>
            <w:r>
              <w:rPr>
                <w:rFonts w:ascii="仿宋" w:hAnsi="仿宋" w:eastAsia="仿宋"/>
                <w:sz w:val="18"/>
              </w:rPr>
              <w:t>乙方出现使用侵权纠纷、出具虚假数据或结论、不及时反馈甲方质量质询等情况时，甲方</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37</w:t>
            </w:r>
          </w:p>
        </w:tc>
        <w:tc>
          <w:tcPr>
            <w:tcW w:type="dxa" w:w="2769"/>
          </w:tcPr>
          <w:p>
            <w:r>
              <w:rPr>
                <w:rFonts w:ascii="仿宋" w:hAnsi="仿宋" w:eastAsia="仿宋"/>
                <w:sz w:val="21"/>
              </w:rPr>
              <w:t>有权采取暂停交付或取消供应商资格等措施。</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38</w:t>
            </w:r>
          </w:p>
        </w:tc>
        <w:tc>
          <w:tcPr>
            <w:tcW w:type="dxa" w:w="2769"/>
          </w:tcPr>
          <w:p>
            <w:r>
              <w:rPr>
                <w:rFonts w:ascii="仿宋" w:hAnsi="仿宋" w:eastAsia="仿宋"/>
                <w:sz w:val="18"/>
              </w:rPr>
              <w:t>乙方出现弄虚作假，隐瞒重大设计缺陷、制造缺陷、质量问题或隐患，出具虚假数据或结</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39</w:t>
            </w:r>
          </w:p>
        </w:tc>
        <w:tc>
          <w:tcPr>
            <w:tcW w:type="dxa" w:w="2769"/>
          </w:tcPr>
          <w:p>
            <w:r>
              <w:rPr>
                <w:rFonts w:ascii="仿宋" w:hAnsi="仿宋" w:eastAsia="仿宋"/>
                <w:sz w:val="18"/>
              </w:rPr>
              <w:t>论，产品重大质量事故隐瞒不报、谎报或故意延误报告，故意将不合格品交付，存在以次充好、</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40</w:t>
            </w:r>
          </w:p>
        </w:tc>
        <w:tc>
          <w:tcPr>
            <w:tcW w:type="dxa" w:w="2769"/>
          </w:tcPr>
          <w:p>
            <w:r>
              <w:rPr>
                <w:rFonts w:ascii="仿宋" w:hAnsi="仿宋" w:eastAsia="仿宋"/>
                <w:sz w:val="21"/>
              </w:rPr>
              <w:t>以假充真等情形时，构成犯罪的，依法追究刑事责任。</w:t>
            </w:r>
          </w:p>
        </w:tc>
        <w:tc>
          <w:tcPr>
            <w:tcW w:type="dxa" w:w="2769"/>
          </w:tcPr>
          <w:p>
            <w:r>
              <w:rPr>
                <w:rFonts w:ascii="仿宋" w:hAnsi="仿宋" w:eastAsia="仿宋"/>
                <w:sz w:val="21"/>
              </w:rPr>
              <w:t>通过过程控制、接口约束、日志审计、测试验证和运维保障落实</w:t>
            </w:r>
          </w:p>
        </w:tc>
      </w:tr>
    </w:tbl>
    <w:p/>
    <CT_P>
      <w:pPr/>
      <w:r>
        <w:t>【GEN:通用质量特性设计总述】</w:t>
      </w:r>
    </CT_P>
    <w:p w14:paraId="4389B38D">
      <w:pPr>
        <w:keepNext/>
        <w:keepLines/>
        <w:numPr>
          <w:ilvl w:val="2"/>
          <w:numId w:val="11"/>
        </w:numPr>
        <w:tabs>
          <w:tab w:val="left" w:pos="0"/>
        </w:tabs>
        <w:spacing w:line="360" w:lineRule="auto"/>
        <w:ind w:left="720" w:hanging="720"/>
        <w:outlineLvl w:val="2"/>
        <w:rPr>
          <w:rFonts w:hint="eastAsia" w:eastAsia="黑体"/>
          <w:bCs/>
          <w:szCs w:val="32"/>
          <w:lang w:val="en-US" w:eastAsia="zh-CN"/>
        </w:rPr>
      </w:pPr>
      <w:bookmarkStart w:id="20" w:name="_Ref2431"/>
      <w:r>
        <w:rPr>
          <w:rFonts w:hint="eastAsia" w:eastAsia="黑体"/>
          <w:bCs/>
          <w:szCs w:val="32"/>
          <w:lang w:val="en-US" w:eastAsia="zh-CN"/>
        </w:rPr>
        <w:t>可靠性设计</w:t>
      </w:r>
      <w:bookmarkEnd w:id="20"/>
    </w:p>
    <w:p w14:paraId="04A236CB">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ascii="仿宋" w:hAnsi="仿宋" w:eastAsia="仿宋"/>
          <w:b w:val="0"/>
          <w:sz w:val="24"/>
        </w:rPr>
        <w:t>可靠性设计围绕招标文件提出的相关质量要求展开，重点覆盖可靠性等方面。</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质量要求</w:t>
            </w:r>
          </w:p>
        </w:tc>
        <w:tc>
          <w:tcPr>
            <w:tcW w:type="dxa" w:w="2769"/>
          </w:tcPr>
          <w:p>
            <w:r>
              <w:rPr>
                <w:rFonts w:ascii="仿宋" w:hAnsi="仿宋" w:eastAsia="仿宋"/>
                <w:sz w:val="21"/>
              </w:rPr>
              <w:t>设计措施</w:t>
            </w:r>
          </w:p>
        </w:tc>
      </w:tr>
      <w:tr>
        <w:tc>
          <w:tcPr>
            <w:tcW w:type="dxa" w:w="2769"/>
          </w:tcPr>
          <w:p>
            <w:r>
              <w:rPr>
                <w:rFonts w:ascii="仿宋" w:hAnsi="仿宋" w:eastAsia="仿宋"/>
                <w:sz w:val="21"/>
              </w:rPr>
              <w:t>1</w:t>
            </w:r>
          </w:p>
        </w:tc>
        <w:tc>
          <w:tcPr>
            <w:tcW w:type="dxa" w:w="2769"/>
          </w:tcPr>
          <w:p>
            <w:r>
              <w:rPr>
                <w:rFonts w:ascii="仿宋" w:hAnsi="仿宋" w:eastAsia="仿宋"/>
                <w:sz w:val="18"/>
              </w:rPr>
              <w:t>海图数据加载准确完整，海图初始化时间&lt;=8S，海图响应时间&lt;=2S；航线安全检查结果准确率高于99%；存储介质可靠；接口通信具备错误校验和自动重连机制，以保证数据链路的可靠</w:t>
            </w:r>
          </w:p>
        </w:tc>
        <w:tc>
          <w:tcPr>
            <w:tcW w:type="dxa" w:w="2769"/>
          </w:tcPr>
          <w:p>
            <w:r>
              <w:rPr>
                <w:rFonts w:ascii="仿宋" w:hAnsi="仿宋" w:eastAsia="仿宋"/>
                <w:sz w:val="21"/>
              </w:rPr>
              <w:t>通过过程控制、接口约束、日志审计、测试验证和运维保障落实</w:t>
            </w:r>
          </w:p>
        </w:tc>
      </w:tr>
    </w:tbl>
    <w:p/>
    <w:p w14:paraId="1062CADC">
      <w:pPr>
        <w:keepNext/>
        <w:keepLines/>
        <w:numPr>
          <w:ilvl w:val="2"/>
          <w:numId w:val="11"/>
        </w:numPr>
        <w:tabs>
          <w:tab w:val="left" w:pos="0"/>
        </w:tabs>
        <w:spacing w:line="360" w:lineRule="auto"/>
        <w:ind w:left="720" w:hanging="720"/>
        <w:outlineLvl w:val="2"/>
        <w:rPr>
          <w:rFonts w:hint="eastAsia" w:eastAsia="黑体"/>
          <w:bCs/>
          <w:szCs w:val="32"/>
          <w:lang w:val="en-US" w:eastAsia="zh-CN"/>
        </w:rPr>
      </w:pPr>
      <w:bookmarkStart w:id="21" w:name="_Ref2503"/>
      <w:r>
        <w:rPr>
          <w:rFonts w:hint="eastAsia" w:eastAsia="黑体"/>
          <w:bCs/>
          <w:szCs w:val="32"/>
          <w:lang w:val="en-US" w:eastAsia="zh-CN"/>
        </w:rPr>
        <w:t>维修性设计</w:t>
      </w:r>
      <w:bookmarkEnd w:id="21"/>
    </w:p>
    <w:p w14:paraId="3A90ED45">
      <w:pPr>
        <w:widowControl w:val="0"/>
        <w:bidi w:val="0"/>
        <w:spacing w:after="2" w:line="300" w:lineRule="auto"/>
        <w:ind w:firstLineChars="200" w:firstLine="480"/>
        <w:jc w:val="left"/>
        <w:rPr>
          <w:rFonts w:hint="eastAsia" w:ascii="Times New Roman" w:hAnsi="Times New Roman" w:eastAsia="宋体" w:cs="Times New Roman"/>
          <w:kern w:val="2"/>
          <w:sz w:val="24"/>
          <w:szCs w:val="24"/>
          <w:lang w:val="en-US" w:eastAsia="zh-CN" w:bidi="ar-SA"/>
          <w14:ligatures w14:val="standardContextual"/>
        </w:rPr>
      </w:pPr>
      <w:r>
        <w:rPr>
          <w:rFonts w:ascii="仿宋" w:hAnsi="仿宋" w:eastAsia="仿宋"/>
          <w:b w:val="0"/>
          <w:sz w:val="24"/>
        </w:rPr>
        <w:t>维修性设计围绕招标文件提出的相关质量要求展开，重点覆盖维修性等方面。</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质量要求</w:t>
            </w:r>
          </w:p>
        </w:tc>
        <w:tc>
          <w:tcPr>
            <w:tcW w:type="dxa" w:w="2769"/>
          </w:tcPr>
          <w:p>
            <w:r>
              <w:rPr>
                <w:rFonts w:ascii="仿宋" w:hAnsi="仿宋" w:eastAsia="仿宋"/>
                <w:sz w:val="21"/>
              </w:rPr>
              <w:t>设计措施</w:t>
            </w:r>
          </w:p>
        </w:tc>
      </w:tr>
      <w:tr>
        <w:tc>
          <w:tcPr>
            <w:tcW w:type="dxa" w:w="2769"/>
          </w:tcPr>
          <w:p>
            <w:r>
              <w:rPr>
                <w:rFonts w:ascii="仿宋" w:hAnsi="仿宋" w:eastAsia="仿宋"/>
                <w:sz w:val="21"/>
              </w:rPr>
              <w:t>1</w:t>
            </w:r>
          </w:p>
        </w:tc>
        <w:tc>
          <w:tcPr>
            <w:tcW w:type="dxa" w:w="2769"/>
          </w:tcPr>
          <w:p>
            <w:r>
              <w:rPr>
                <w:rFonts w:ascii="仿宋" w:hAnsi="仿宋" w:eastAsia="仿宋"/>
                <w:sz w:val="18"/>
              </w:rPr>
              <w:t>功能模块（如数据接入、告警管理、系统配置等）之间须具有定义清晰、稳定的接口；</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w:t>
            </w:r>
          </w:p>
        </w:tc>
        <w:tc>
          <w:tcPr>
            <w:tcW w:type="dxa" w:w="2769"/>
          </w:tcPr>
          <w:p>
            <w:r>
              <w:rPr>
                <w:rFonts w:ascii="仿宋" w:hAnsi="仿宋" w:eastAsia="仿宋"/>
                <w:sz w:val="21"/>
              </w:rPr>
              <w:t>MTTR（平均维修时间）：≤</w:t>
            </w:r>
          </w:p>
        </w:tc>
        <w:tc>
          <w:tcPr>
            <w:tcW w:type="dxa" w:w="2769"/>
          </w:tcPr>
          <w:p>
            <w:r>
              <w:rPr>
                <w:rFonts w:ascii="仿宋" w:hAnsi="仿宋" w:eastAsia="仿宋"/>
                <w:sz w:val="21"/>
              </w:rPr>
              <w:t>通过过程控制、接口约束、日志审计、测试验证和运维保障落实</w:t>
            </w:r>
          </w:p>
        </w:tc>
      </w:tr>
    </w:tbl>
    <w:p/>
    <w:p w14:paraId="188E3B09">
      <w:pPr>
        <w:keepNext/>
        <w:keepLines/>
        <w:numPr>
          <w:ilvl w:val="2"/>
          <w:numId w:val="11"/>
        </w:numPr>
        <w:tabs>
          <w:tab w:val="left" w:pos="0"/>
        </w:tabs>
        <w:spacing w:line="360" w:lineRule="auto"/>
        <w:ind w:left="720" w:hanging="720"/>
        <w:outlineLvl w:val="2"/>
        <w:rPr>
          <w:rFonts w:hint="eastAsia" w:eastAsia="黑体"/>
          <w:bCs/>
          <w:szCs w:val="32"/>
          <w:lang w:val="en-US" w:eastAsia="zh-CN"/>
        </w:rPr>
      </w:pPr>
      <w:bookmarkStart w:id="22" w:name="_Ref2549"/>
      <w:r>
        <w:rPr>
          <w:rFonts w:hint="eastAsia" w:eastAsia="黑体"/>
          <w:bCs/>
          <w:szCs w:val="32"/>
          <w:lang w:val="en-US" w:eastAsia="zh-CN"/>
        </w:rPr>
        <w:t>保障性设计</w:t>
      </w:r>
      <w:bookmarkEnd w:id="22"/>
    </w:p>
    <w:p w14:paraId="6A97AA91">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ascii="仿宋" w:hAnsi="仿宋" w:eastAsia="仿宋"/>
          <w:b w:val="0"/>
          <w:sz w:val="24"/>
        </w:rPr>
        <w:t>保障性设计围绕招标文件提出的相关质量要求展开，重点覆盖保障性等方面。</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质量要求</w:t>
            </w:r>
          </w:p>
        </w:tc>
        <w:tc>
          <w:tcPr>
            <w:tcW w:type="dxa" w:w="2769"/>
          </w:tcPr>
          <w:p>
            <w:r>
              <w:rPr>
                <w:rFonts w:ascii="仿宋" w:hAnsi="仿宋" w:eastAsia="仿宋"/>
                <w:sz w:val="21"/>
              </w:rPr>
              <w:t>设计措施</w:t>
            </w:r>
          </w:p>
        </w:tc>
      </w:tr>
      <w:tr>
        <w:tc>
          <w:tcPr>
            <w:tcW w:type="dxa" w:w="2769"/>
          </w:tcPr>
          <w:p>
            <w:r>
              <w:rPr>
                <w:rFonts w:ascii="仿宋" w:hAnsi="仿宋" w:eastAsia="仿宋"/>
                <w:sz w:val="21"/>
              </w:rPr>
              <w:t>1</w:t>
            </w:r>
          </w:p>
        </w:tc>
        <w:tc>
          <w:tcPr>
            <w:tcW w:type="dxa" w:w="2769"/>
          </w:tcPr>
          <w:p>
            <w:r>
              <w:rPr>
                <w:rFonts w:ascii="仿宋" w:hAnsi="仿宋" w:eastAsia="仿宋"/>
                <w:sz w:val="18"/>
              </w:rPr>
              <w:t>软件随主机设备移交时，应同时移交用户使用手册。软件移交后，需要配合联试和使用进行维护，对软件的更改做好记录，同时需保持文档与代码的可追溯性和一致性。</w:t>
            </w:r>
          </w:p>
        </w:tc>
        <w:tc>
          <w:tcPr>
            <w:tcW w:type="dxa" w:w="2769"/>
          </w:tcPr>
          <w:p>
            <w:r>
              <w:rPr>
                <w:rFonts w:ascii="仿宋" w:hAnsi="仿宋" w:eastAsia="仿宋"/>
                <w:sz w:val="21"/>
              </w:rPr>
              <w:t>通过过程控制、接口约束、日志审计、测试验证和运维保障落实</w:t>
            </w:r>
          </w:p>
        </w:tc>
      </w:tr>
    </w:tbl>
    <w:p/>
    <w:p w14:paraId="3A52F892">
      <w:pPr>
        <w:keepNext/>
        <w:keepLines/>
        <w:numPr>
          <w:ilvl w:val="2"/>
          <w:numId w:val="11"/>
        </w:numPr>
        <w:tabs>
          <w:tab w:val="left" w:pos="0"/>
        </w:tabs>
        <w:spacing w:line="360" w:lineRule="auto"/>
        <w:ind w:left="720" w:hanging="720"/>
        <w:outlineLvl w:val="2"/>
        <w:rPr>
          <w:rFonts w:hint="eastAsia" w:eastAsia="黑体"/>
          <w:bCs/>
          <w:szCs w:val="32"/>
          <w:lang w:val="en-US" w:eastAsia="zh-CN"/>
        </w:rPr>
      </w:pPr>
      <w:bookmarkStart w:id="23" w:name="_Ref2826"/>
      <w:r>
        <w:rPr>
          <w:rFonts w:hint="eastAsia" w:eastAsia="黑体"/>
          <w:bCs/>
          <w:szCs w:val="32"/>
          <w:lang w:val="en-US" w:eastAsia="zh-CN"/>
        </w:rPr>
        <w:t>测试性设计</w:t>
      </w:r>
      <w:bookmarkEnd w:id="23"/>
    </w:p>
    <w:p w14:paraId="6F03977B">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ascii="仿宋" w:hAnsi="仿宋" w:eastAsia="仿宋"/>
          <w:b w:val="0"/>
          <w:sz w:val="24"/>
        </w:rPr>
        <w:t>测试性设计围绕招标文件提出的相关质量要求展开，重点覆盖测试性等方面。</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质量要求</w:t>
            </w:r>
          </w:p>
        </w:tc>
        <w:tc>
          <w:tcPr>
            <w:tcW w:type="dxa" w:w="2769"/>
          </w:tcPr>
          <w:p>
            <w:r>
              <w:rPr>
                <w:rFonts w:ascii="仿宋" w:hAnsi="仿宋" w:eastAsia="仿宋"/>
                <w:sz w:val="21"/>
              </w:rPr>
              <w:t>设计措施</w:t>
            </w:r>
          </w:p>
        </w:tc>
      </w:tr>
      <w:tr>
        <w:tc>
          <w:tcPr>
            <w:tcW w:type="dxa" w:w="2769"/>
          </w:tcPr>
          <w:p>
            <w:r>
              <w:rPr>
                <w:rFonts w:ascii="仿宋" w:hAnsi="仿宋" w:eastAsia="仿宋"/>
                <w:sz w:val="21"/>
              </w:rPr>
              <w:t>1</w:t>
            </w:r>
          </w:p>
        </w:tc>
        <w:tc>
          <w:tcPr>
            <w:tcW w:type="dxa" w:w="2769"/>
          </w:tcPr>
          <w:p>
            <w:r>
              <w:rPr>
                <w:rFonts w:ascii="仿宋" w:hAnsi="仿宋" w:eastAsia="仿宋"/>
                <w:sz w:val="18"/>
              </w:rPr>
              <w:t>系统及其各模块在设计和实现时须充分考虑可测试性，包括提供必要的测试接口或机制，支持自动化测试的实施，以便于进行有效的单元测试、集成测试、系统测试和验收测试。</w:t>
            </w:r>
          </w:p>
        </w:tc>
        <w:tc>
          <w:tcPr>
            <w:tcW w:type="dxa" w:w="2769"/>
          </w:tcPr>
          <w:p>
            <w:r>
              <w:rPr>
                <w:rFonts w:ascii="仿宋" w:hAnsi="仿宋" w:eastAsia="仿宋"/>
                <w:sz w:val="21"/>
              </w:rPr>
              <w:t>通过过程控制、接口约束、日志审计、测试验证和运维保障落实</w:t>
            </w:r>
          </w:p>
        </w:tc>
      </w:tr>
    </w:tbl>
    <w:p/>
    <w:p w14:paraId="091EB0C5">
      <w:pPr>
        <w:keepNext/>
        <w:keepLines/>
        <w:numPr>
          <w:ilvl w:val="2"/>
          <w:numId w:val="11"/>
        </w:numPr>
        <w:tabs>
          <w:tab w:val="left" w:pos="0"/>
        </w:tabs>
        <w:spacing w:line="360" w:lineRule="auto"/>
        <w:ind w:left="720" w:hanging="720"/>
        <w:outlineLvl w:val="2"/>
        <w:rPr>
          <w:rFonts w:hint="eastAsia" w:eastAsia="黑体"/>
          <w:bCs/>
          <w:szCs w:val="32"/>
          <w:lang w:val="en-US" w:eastAsia="zh-CN"/>
        </w:rPr>
      </w:pPr>
      <w:bookmarkStart w:id="24" w:name="_Ref2892"/>
      <w:r>
        <w:rPr>
          <w:rFonts w:hint="eastAsia" w:eastAsia="黑体"/>
          <w:bCs/>
          <w:szCs w:val="32"/>
          <w:lang w:val="en-US" w:eastAsia="zh-CN"/>
        </w:rPr>
        <w:t>安全性设计</w:t>
      </w:r>
      <w:bookmarkEnd w:id="24"/>
    </w:p>
    <w:p w14:paraId="37CCEE74">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ascii="仿宋" w:hAnsi="仿宋" w:eastAsia="仿宋"/>
          <w:b w:val="0"/>
          <w:sz w:val="24"/>
        </w:rPr>
        <w:t>安全性设计围绕招标文件提出的相关质量要求展开，重点覆盖安全性等方面。</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质量要求</w:t>
            </w:r>
          </w:p>
        </w:tc>
        <w:tc>
          <w:tcPr>
            <w:tcW w:type="dxa" w:w="2769"/>
          </w:tcPr>
          <w:p>
            <w:r>
              <w:rPr>
                <w:rFonts w:ascii="仿宋" w:hAnsi="仿宋" w:eastAsia="仿宋"/>
                <w:sz w:val="21"/>
              </w:rPr>
              <w:t>设计措施</w:t>
            </w:r>
          </w:p>
        </w:tc>
      </w:tr>
      <w:tr>
        <w:tc>
          <w:tcPr>
            <w:tcW w:type="dxa" w:w="2769"/>
          </w:tcPr>
          <w:p>
            <w:r>
              <w:rPr>
                <w:rFonts w:ascii="仿宋" w:hAnsi="仿宋" w:eastAsia="仿宋"/>
                <w:sz w:val="21"/>
              </w:rPr>
              <w:t>1</w:t>
            </w:r>
          </w:p>
        </w:tc>
        <w:tc>
          <w:tcPr>
            <w:tcW w:type="dxa" w:w="2769"/>
          </w:tcPr>
          <w:p>
            <w:r>
              <w:rPr>
                <w:rFonts w:ascii="仿宋" w:hAnsi="仿宋" w:eastAsia="仿宋"/>
                <w:sz w:val="21"/>
              </w:rPr>
              <w:t>系统部署运行软硬件环境满足全军统一国产化要求。</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2</w:t>
            </w:r>
          </w:p>
        </w:tc>
        <w:tc>
          <w:tcPr>
            <w:tcW w:type="dxa" w:w="2769"/>
          </w:tcPr>
          <w:p>
            <w:r>
              <w:rPr>
                <w:rFonts w:ascii="仿宋" w:hAnsi="仿宋" w:eastAsia="仿宋"/>
                <w:sz w:val="18"/>
              </w:rPr>
              <w:t>系统上线运行前必须进行整体安全性测试，并提供安全测试报告；系统管理人员必须进行严格培训，能熟练进行系统管理；</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3</w:t>
            </w:r>
          </w:p>
        </w:tc>
        <w:tc>
          <w:tcPr>
            <w:tcW w:type="dxa" w:w="2769"/>
          </w:tcPr>
          <w:p>
            <w:r>
              <w:rPr>
                <w:rFonts w:ascii="仿宋" w:hAnsi="仿宋" w:eastAsia="仿宋"/>
                <w:sz w:val="18"/>
              </w:rPr>
              <w:t>对访问用户按照岗位业务进行灵活的权限设计，建立严格的授权机制；严禁在正式运行的系统与数据库中进行测试操作。</w:t>
            </w:r>
          </w:p>
        </w:tc>
        <w:tc>
          <w:tcPr>
            <w:tcW w:type="dxa" w:w="2769"/>
          </w:tcPr>
          <w:p>
            <w:r>
              <w:rPr>
                <w:rFonts w:ascii="仿宋" w:hAnsi="仿宋" w:eastAsia="仿宋"/>
                <w:sz w:val="21"/>
              </w:rPr>
              <w:t>通过过程控制、接口约束、日志审计、测试验证和运维保障落实</w:t>
            </w:r>
          </w:p>
        </w:tc>
      </w:tr>
      <w:tr>
        <w:tc>
          <w:tcPr>
            <w:tcW w:type="dxa" w:w="2769"/>
          </w:tcPr>
          <w:p>
            <w:r>
              <w:rPr>
                <w:rFonts w:ascii="仿宋" w:hAnsi="仿宋" w:eastAsia="仿宋"/>
                <w:sz w:val="21"/>
              </w:rPr>
              <w:t>4</w:t>
            </w:r>
          </w:p>
        </w:tc>
        <w:tc>
          <w:tcPr>
            <w:tcW w:type="dxa" w:w="2769"/>
          </w:tcPr>
          <w:p>
            <w:r>
              <w:rPr>
                <w:rFonts w:ascii="仿宋" w:hAnsi="仿宋" w:eastAsia="仿宋"/>
                <w:sz w:val="21"/>
              </w:rPr>
              <w:t>支持按照军用计算机网络安全防护标准进行网络软硬件部署配置。</w:t>
            </w:r>
          </w:p>
        </w:tc>
        <w:tc>
          <w:tcPr>
            <w:tcW w:type="dxa" w:w="2769"/>
          </w:tcPr>
          <w:p>
            <w:r>
              <w:rPr>
                <w:rFonts w:ascii="仿宋" w:hAnsi="仿宋" w:eastAsia="仿宋"/>
                <w:sz w:val="21"/>
              </w:rPr>
              <w:t>通过过程控制、接口约束、日志审计、测试验证和运维保障落实</w:t>
            </w:r>
          </w:p>
        </w:tc>
      </w:tr>
    </w:tbl>
    <w:p/>
    <w:p w14:paraId="796F7251">
      <w:pPr>
        <w:keepNext/>
        <w:keepLines/>
        <w:numPr>
          <w:ilvl w:val="2"/>
          <w:numId w:val="11"/>
        </w:numPr>
        <w:tabs>
          <w:tab w:val="left" w:pos="0"/>
        </w:tabs>
        <w:spacing w:line="360" w:lineRule="auto"/>
        <w:ind w:left="720" w:hanging="720"/>
        <w:outlineLvl w:val="2"/>
        <w:rPr>
          <w:rFonts w:hint="eastAsia" w:eastAsia="黑体"/>
          <w:bCs/>
          <w:szCs w:val="32"/>
          <w:lang w:val="en-US" w:eastAsia="zh-CN"/>
        </w:rPr>
      </w:pPr>
      <w:r>
        <w:rPr>
          <w:rFonts w:hint="eastAsia" w:eastAsia="黑体"/>
          <w:bCs/>
          <w:szCs w:val="32"/>
          <w:lang w:val="en-US" w:eastAsia="zh-CN"/>
        </w:rPr>
        <w:t>环境适应性设计</w:t>
      </w:r>
    </w:p>
    <w:bookmarkEnd w:id="18"/>
    <w:bookmarkEnd w:id="19"/>
    <w:p w14:paraId="1BD0FB6E">
      <w:pPr>
        <w:spacing w:line="300" w:lineRule="auto"/>
        <w:ind w:firstLineChars="200" w:firstLine="480"/>
      </w:pPr>
      <w:r>
        <w:rPr>
          <w:rFonts w:ascii="仿宋" w:hAnsi="仿宋" w:eastAsia="仿宋"/>
          <w:b w:val="0"/>
          <w:sz w:val="24"/>
        </w:rPr>
        <w:t>环境适应性设计围绕招标文件提出的相关质量要求展开，重点覆盖环境适应性等方面。</w:t>
      </w:r>
    </w:p>
    <w:tbl>
      <w:tblPr>
        <w:tblStyle w:val="26"/>
        <w:tblW w:type="auto" w:w="0"/>
        <w:tblLook w:firstColumn="1" w:firstRow="1" w:lastColumn="0" w:lastRow="0" w:noHBand="0" w:noVBand="1" w:val="04A0"/>
      </w:tblPr>
      <w:tblGrid>
        <w:gridCol w:w="2769"/>
        <w:gridCol w:w="2769"/>
        <w:gridCol w:w="2769"/>
      </w:tblGrid>
      <w:tr>
        <w:tc>
          <w:tcPr>
            <w:tcW w:type="dxa" w:w="2769"/>
          </w:tcPr>
          <w:p>
            <w:r>
              <w:rPr>
                <w:rFonts w:ascii="仿宋" w:hAnsi="仿宋" w:eastAsia="仿宋"/>
                <w:sz w:val="21"/>
              </w:rPr>
              <w:t>序号</w:t>
            </w:r>
          </w:p>
        </w:tc>
        <w:tc>
          <w:tcPr>
            <w:tcW w:type="dxa" w:w="2769"/>
          </w:tcPr>
          <w:p>
            <w:r>
              <w:rPr>
                <w:rFonts w:ascii="仿宋" w:hAnsi="仿宋" w:eastAsia="仿宋"/>
                <w:sz w:val="21"/>
              </w:rPr>
              <w:t>质量要求</w:t>
            </w:r>
          </w:p>
        </w:tc>
        <w:tc>
          <w:tcPr>
            <w:tcW w:type="dxa" w:w="2769"/>
          </w:tcPr>
          <w:p>
            <w:r>
              <w:rPr>
                <w:rFonts w:ascii="仿宋" w:hAnsi="仿宋" w:eastAsia="仿宋"/>
                <w:sz w:val="21"/>
              </w:rPr>
              <w:t>设计措施</w:t>
            </w:r>
          </w:p>
        </w:tc>
      </w:tr>
      <w:tr>
        <w:tc>
          <w:tcPr>
            <w:tcW w:type="dxa" w:w="2769"/>
          </w:tcPr>
          <w:p>
            <w:r>
              <w:rPr>
                <w:rFonts w:ascii="仿宋" w:hAnsi="仿宋" w:eastAsia="仿宋"/>
                <w:sz w:val="21"/>
              </w:rPr>
              <w:t>1</w:t>
            </w:r>
          </w:p>
        </w:tc>
        <w:tc>
          <w:tcPr>
            <w:tcW w:type="dxa" w:w="2769"/>
          </w:tcPr>
          <w:p>
            <w:r>
              <w:rPr>
                <w:rFonts w:ascii="仿宋" w:hAnsi="仿宋" w:eastAsia="仿宋"/>
                <w:sz w:val="18"/>
              </w:rPr>
              <w:t>软件运行环境：硬件平台（龙芯、飞腾、瑞芯微）和系统（麒麟、Ubuntu）。</w:t>
            </w:r>
          </w:p>
        </w:tc>
        <w:tc>
          <w:tcPr>
            <w:tcW w:type="dxa" w:w="2769"/>
          </w:tcPr>
          <w:p>
            <w:r>
              <w:rPr>
                <w:rFonts w:ascii="仿宋" w:hAnsi="仿宋" w:eastAsia="仿宋"/>
                <w:sz w:val="21"/>
              </w:rPr>
              <w:t>通过过程控制、接口约束、日志审计、测试验证和运维保障落实</w:t>
            </w:r>
          </w:p>
        </w:tc>
      </w:tr>
    </w:tbl>
    <w:p/>
    <w:p w14:paraId="04218A1D">
      <w:pPr>
        <w:keepNext/>
        <w:keepLines/>
        <w:numPr>
          <w:ilvl w:val="1"/>
          <w:numId w:val="11"/>
        </w:numPr>
        <w:tabs>
          <w:tab w:val="left" w:pos="19"/>
        </w:tabs>
        <w:spacing w:before="140" w:after="140" w:line="360" w:lineRule="auto"/>
        <w:outlineLvl w:val="1"/>
        <w:rPr>
          <w:rFonts w:hint="eastAsia" w:ascii="黑体" w:hAnsi="黑体" w:eastAsia="黑体" w:cs="黑体"/>
          <w:sz w:val="28"/>
          <w:szCs w:val="32"/>
        </w:rPr>
      </w:pPr>
      <w:bookmarkStart w:id="25" w:name="_Toc26333"/>
      <w:r>
        <w:rPr>
          <w:rFonts w:hint="eastAsia" w:ascii="黑体" w:hAnsi="黑体" w:eastAsia="黑体" w:cs="黑体"/>
          <w:sz w:val="28"/>
          <w:szCs w:val="32"/>
        </w:rPr>
        <w:t>关键技术</w:t>
      </w:r>
      <w:bookmarkEnd w:id="25"/>
    </w:p>
    <w:p w14:paraId="44BFF087">
      <w:pPr>
        <w:widowControl/>
        <w:spacing w:line="300" w:lineRule="auto"/>
        <w:ind w:firstLineChars="200" w:firstLine="480"/>
        <w:jc w:val="left"/>
        <w:textAlignment w:val="center"/>
        <w:rPr>
          <w:rFonts w:hint="eastAsia"/>
          <w:szCs w:val="18"/>
        </w:rPr>
      </w:pPr>
      <w:r>
        <w:rPr>
          <w:rFonts w:ascii="仿宋" w:hAnsi="仿宋" w:eastAsia="仿宋"/>
          <w:b w:val="0"/>
          <w:sz w:val="24"/>
        </w:rPr>
        <w:t>关键技术围绕需求抽取、需求矩阵、模板占位符识别、分段内容生成、Word 样式填充、图表生成、质量检查和记录追溯展开。方案生成过程应保证输入来源明确、生成内容可解释、人工确认项不被编造、输出文档格式受模板样式约束。</w:t>
      </w:r>
    </w:p>
    <w:p w14:paraId="4861F86A">
      <w:pPr>
        <w:keepNext/>
        <w:keepLines/>
        <w:numPr>
          <w:ilvl w:val="0"/>
          <w:numId w:val="11"/>
        </w:numPr>
        <w:tabs>
          <w:tab w:val="left" w:pos="0"/>
        </w:tabs>
        <w:spacing w:line="360" w:lineRule="auto"/>
        <w:outlineLvl w:val="0"/>
        <w:rPr>
          <w:rFonts w:hint="eastAsia" w:ascii="Calibri" w:hAnsi="Calibri" w:eastAsia="黑体"/>
          <w:bCs/>
          <w:kern w:val="44"/>
          <w:sz w:val="30"/>
          <w:szCs w:val="44"/>
          <w:lang w:val="en-US" w:eastAsia="zh-CN"/>
        </w:rPr>
      </w:pPr>
      <w:bookmarkStart w:id="26" w:name="_Toc4143"/>
      <w:bookmarkStart w:id="27" w:name="_Toc15080"/>
      <w:r>
        <w:rPr>
          <w:rFonts w:hint="eastAsia" w:ascii="Calibri" w:hAnsi="Calibri" w:eastAsia="黑体"/>
          <w:bCs/>
          <w:kern w:val="44"/>
          <w:sz w:val="30"/>
          <w:szCs w:val="44"/>
          <w:lang w:val="en-US" w:eastAsia="zh-CN"/>
        </w:rPr>
        <w:t>质量控制</w:t>
      </w:r>
      <w:bookmarkEnd w:id="26"/>
      <w:bookmarkEnd w:id="27"/>
    </w:p>
    <w:p>
      <w:pPr>
        <w:spacing w:line="300" w:lineRule="auto"/>
        <w:ind w:firstLine="480"/>
      </w:pPr>
      <w:r>
        <w:rPr>
          <w:rFonts w:ascii="仿宋" w:hAnsi="仿宋" w:eastAsia="仿宋"/>
          <w:b w:val="0"/>
          <w:sz w:val="24"/>
        </w:rPr>
        <w:t>质量控制覆盖输入解析、条款分类、矩阵映射、内容生成、模板填充、记录输出和人工复核全过程。每个占位符的处理结果写入日志，所有 CONFIRM 和 REVIEW 项进入清单，便于后续补充资料和审稿。</w:t>
      </w:r>
    </w:p>
    <CT_P>
      <w:pPr/>
      <w:r>
        <w:t>【GEN:质量控制总述】</w:t>
      </w:r>
    </CT_P>
    <w:p w14:paraId="176C303B">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lang w:val="en-US" w:eastAsia="zh-CN"/>
        </w:rPr>
      </w:pPr>
      <w:bookmarkStart w:id="28" w:name="_Toc32752"/>
      <w:r>
        <w:rPr>
          <w:rFonts w:hint="eastAsia" w:ascii="黑体" w:hAnsi="黑体" w:eastAsia="黑体" w:cs="黑体"/>
          <w:sz w:val="28"/>
          <w:szCs w:val="32"/>
          <w:lang w:val="en-US" w:eastAsia="zh-CN"/>
        </w:rPr>
        <w:t>风险评估与控制</w:t>
      </w:r>
      <w:bookmarkEnd w:id="28"/>
    </w:p>
    <w:p w14:paraId="61440509">
      <w:pPr>
        <w:widowControl w:val="0"/>
        <w:bidi w:val="0"/>
        <w:spacing w:after="2" w:line="300" w:lineRule="auto"/>
        <w:ind w:firstLineChars="200"/>
        <w:rPr>
          <w:rFonts w:hint="eastAsia" w:ascii="Times New Roman" w:hAnsi="Times New Roman" w:eastAsia="宋体" w:cs="Times New Roman"/>
          <w:kern w:val="2"/>
          <w:sz w:val="24"/>
          <w:szCs w:val="24"/>
          <w:lang w:val="en-US" w:eastAsia="zh-CN" w:bidi="ar-SA"/>
          <w14:ligatures w14:val="standardContextual"/>
        </w:rPr>
      </w:pPr>
      <w:r>
        <w:rPr>
          <w:rFonts w:ascii="仿宋" w:hAnsi="仿宋" w:eastAsia="仿宋"/>
          <w:b w:val="0"/>
          <w:sz w:val="24"/>
        </w:rPr>
      </w:r>
    </w:p>
    <w:tbl>
      <w:tblPr>
        <w:tblStyle w:val="26"/>
        <w:tblW w:type="auto" w:w="0"/>
        <w:tblLook w:firstColumn="1" w:firstRow="1" w:lastColumn="0" w:lastRow="0" w:noHBand="0" w:noVBand="1" w:val="04A0"/>
      </w:tblPr>
      <w:tblGrid>
        <w:gridCol w:w="2076"/>
        <w:gridCol w:w="2076"/>
        <w:gridCol w:w="2076"/>
        <w:gridCol w:w="2076"/>
      </w:tblGrid>
      <w:tr>
        <w:tc>
          <w:tcPr>
            <w:tcW w:type="dxa" w:w="2076"/>
          </w:tcPr>
          <w:p>
            <w:r>
              <w:rPr>
                <w:rFonts w:ascii="仿宋" w:hAnsi="仿宋" w:eastAsia="仿宋"/>
                <w:sz w:val="21"/>
              </w:rPr>
              <w:t>风险</w:t>
            </w:r>
          </w:p>
        </w:tc>
        <w:tc>
          <w:tcPr>
            <w:tcW w:type="dxa" w:w="2076"/>
          </w:tcPr>
          <w:p>
            <w:r>
              <w:rPr>
                <w:rFonts w:ascii="仿宋" w:hAnsi="仿宋" w:eastAsia="仿宋"/>
                <w:sz w:val="21"/>
              </w:rPr>
              <w:t>表现</w:t>
            </w:r>
          </w:p>
        </w:tc>
        <w:tc>
          <w:tcPr>
            <w:tcW w:type="dxa" w:w="2076"/>
          </w:tcPr>
          <w:p>
            <w:r>
              <w:rPr>
                <w:rFonts w:ascii="仿宋" w:hAnsi="仿宋" w:eastAsia="仿宋"/>
                <w:sz w:val="21"/>
              </w:rPr>
              <w:t>影响</w:t>
            </w:r>
          </w:p>
        </w:tc>
        <w:tc>
          <w:tcPr>
            <w:tcW w:type="dxa" w:w="2076"/>
          </w:tcPr>
          <w:p>
            <w:r>
              <w:rPr>
                <w:rFonts w:ascii="仿宋" w:hAnsi="仿宋" w:eastAsia="仿宋"/>
                <w:sz w:val="21"/>
              </w:rPr>
              <w:t>控制措施</w:t>
            </w:r>
          </w:p>
        </w:tc>
      </w:tr>
      <w:tr>
        <w:tc>
          <w:tcPr>
            <w:tcW w:type="dxa" w:w="2076"/>
          </w:tcPr>
          <w:p>
            <w:r>
              <w:rPr>
                <w:rFonts w:ascii="仿宋" w:hAnsi="仿宋" w:eastAsia="仿宋"/>
                <w:sz w:val="21"/>
              </w:rPr>
              <w:t>输入解析风险</w:t>
            </w:r>
          </w:p>
        </w:tc>
        <w:tc>
          <w:tcPr>
            <w:tcW w:type="dxa" w:w="2076"/>
          </w:tcPr>
          <w:p>
            <w:r>
              <w:rPr>
                <w:rFonts w:ascii="仿宋" w:hAnsi="仿宋" w:eastAsia="仿宋"/>
                <w:sz w:val="21"/>
              </w:rPr>
              <w:t>条款识别不完整</w:t>
            </w:r>
          </w:p>
        </w:tc>
        <w:tc>
          <w:tcPr>
            <w:tcW w:type="dxa" w:w="2076"/>
          </w:tcPr>
          <w:p>
            <w:r>
              <w:rPr>
                <w:rFonts w:ascii="仿宋" w:hAnsi="仿宋" w:eastAsia="仿宋"/>
                <w:sz w:val="21"/>
              </w:rPr>
              <w:t>需求遗漏</w:t>
            </w:r>
          </w:p>
        </w:tc>
        <w:tc>
          <w:tcPr>
            <w:tcW w:type="dxa" w:w="2076"/>
          </w:tcPr>
          <w:p>
            <w:r>
              <w:rPr>
                <w:rFonts w:ascii="仿宋" w:hAnsi="仿宋" w:eastAsia="仿宋"/>
                <w:sz w:val="21"/>
              </w:rPr>
              <w:t>保留原文、输出矩阵、人工复核</w:t>
            </w:r>
          </w:p>
        </w:tc>
      </w:tr>
      <w:tr>
        <w:tc>
          <w:tcPr>
            <w:tcW w:type="dxa" w:w="2076"/>
          </w:tcPr>
          <w:p>
            <w:r>
              <w:rPr>
                <w:rFonts w:ascii="仿宋" w:hAnsi="仿宋" w:eastAsia="仿宋"/>
                <w:sz w:val="21"/>
              </w:rPr>
              <w:t>生成偏差风险</w:t>
            </w:r>
          </w:p>
        </w:tc>
        <w:tc>
          <w:tcPr>
            <w:tcW w:type="dxa" w:w="2076"/>
          </w:tcPr>
          <w:p>
            <w:r>
              <w:rPr>
                <w:rFonts w:ascii="仿宋" w:hAnsi="仿宋" w:eastAsia="仿宋"/>
                <w:sz w:val="21"/>
              </w:rPr>
              <w:t>正文与条款不匹配</w:t>
            </w:r>
          </w:p>
        </w:tc>
        <w:tc>
          <w:tcPr>
            <w:tcW w:type="dxa" w:w="2076"/>
          </w:tcPr>
          <w:p>
            <w:r>
              <w:rPr>
                <w:rFonts w:ascii="仿宋" w:hAnsi="仿宋" w:eastAsia="仿宋"/>
                <w:sz w:val="21"/>
              </w:rPr>
              <w:t>响应不足</w:t>
            </w:r>
          </w:p>
        </w:tc>
        <w:tc>
          <w:tcPr>
            <w:tcW w:type="dxa" w:w="2076"/>
          </w:tcPr>
          <w:p>
            <w:r>
              <w:rPr>
                <w:rFonts w:ascii="仿宋" w:hAnsi="仿宋" w:eastAsia="仿宋"/>
                <w:sz w:val="21"/>
              </w:rPr>
              <w:t>按占位符绑定来源和评分项</w:t>
            </w:r>
          </w:p>
        </w:tc>
      </w:tr>
      <w:tr>
        <w:tc>
          <w:tcPr>
            <w:tcW w:type="dxa" w:w="2076"/>
          </w:tcPr>
          <w:p>
            <w:r>
              <w:rPr>
                <w:rFonts w:ascii="仿宋" w:hAnsi="仿宋" w:eastAsia="仿宋"/>
                <w:sz w:val="21"/>
              </w:rPr>
              <w:t>承诺风险</w:t>
            </w:r>
          </w:p>
        </w:tc>
        <w:tc>
          <w:tcPr>
            <w:tcW w:type="dxa" w:w="2076"/>
          </w:tcPr>
          <w:p>
            <w:r>
              <w:rPr>
                <w:rFonts w:ascii="仿宋" w:hAnsi="仿宋" w:eastAsia="仿宋"/>
                <w:sz w:val="21"/>
              </w:rPr>
              <w:t>人员资质或服务承诺缺依据</w:t>
            </w:r>
          </w:p>
        </w:tc>
        <w:tc>
          <w:tcPr>
            <w:tcW w:type="dxa" w:w="2076"/>
          </w:tcPr>
          <w:p>
            <w:r>
              <w:rPr>
                <w:rFonts w:ascii="仿宋" w:hAnsi="仿宋" w:eastAsia="仿宋"/>
                <w:sz w:val="21"/>
              </w:rPr>
              <w:t>投标合规风险</w:t>
            </w:r>
          </w:p>
        </w:tc>
        <w:tc>
          <w:tcPr>
            <w:tcW w:type="dxa" w:w="2076"/>
          </w:tcPr>
          <w:p>
            <w:r>
              <w:rPr>
                <w:rFonts w:ascii="仿宋" w:hAnsi="仿宋" w:eastAsia="仿宋"/>
                <w:sz w:val="21"/>
              </w:rPr>
              <w:t>使用 CONFIRM/REVIEW 保留复核</w:t>
            </w:r>
          </w:p>
        </w:tc>
      </w:tr>
      <w:tr>
        <w:tc>
          <w:tcPr>
            <w:tcW w:type="dxa" w:w="2076"/>
          </w:tcPr>
          <w:p>
            <w:r>
              <w:rPr>
                <w:rFonts w:ascii="仿宋" w:hAnsi="仿宋" w:eastAsia="仿宋"/>
                <w:sz w:val="21"/>
              </w:rPr>
              <w:t>格式风险</w:t>
            </w:r>
          </w:p>
        </w:tc>
        <w:tc>
          <w:tcPr>
            <w:tcW w:type="dxa" w:w="2076"/>
          </w:tcPr>
          <w:p>
            <w:r>
              <w:rPr>
                <w:rFonts w:ascii="仿宋" w:hAnsi="仿宋" w:eastAsia="仿宋"/>
                <w:sz w:val="21"/>
              </w:rPr>
              <w:t>模板填充后样式不一致</w:t>
            </w:r>
          </w:p>
        </w:tc>
        <w:tc>
          <w:tcPr>
            <w:tcW w:type="dxa" w:w="2076"/>
          </w:tcPr>
          <w:p>
            <w:r>
              <w:rPr>
                <w:rFonts w:ascii="仿宋" w:hAnsi="仿宋" w:eastAsia="仿宋"/>
                <w:sz w:val="21"/>
              </w:rPr>
              <w:t>文档质量下降</w:t>
            </w:r>
          </w:p>
        </w:tc>
        <w:tc>
          <w:tcPr>
            <w:tcW w:type="dxa" w:w="2076"/>
          </w:tcPr>
          <w:p>
            <w:r>
              <w:rPr>
                <w:rFonts w:ascii="仿宋" w:hAnsi="仿宋" w:eastAsia="仿宋"/>
                <w:sz w:val="21"/>
              </w:rPr>
              <w:t>以 Word 样式为主，必要时做 PDF 抽检</w:t>
            </w:r>
          </w:p>
        </w:tc>
      </w:tr>
    </w:tbl>
    <w:p/>
    <w:p w14:paraId="17E6E01A">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lang w:val="en-US" w:eastAsia="zh-CN"/>
        </w:rPr>
      </w:pPr>
      <w:bookmarkStart w:id="29" w:name="_Toc26513"/>
      <w:bookmarkStart w:id="30" w:name="_Toc19435"/>
      <w:r>
        <w:rPr>
          <w:rFonts w:hint="eastAsia" w:ascii="黑体" w:hAnsi="黑体" w:eastAsia="黑体" w:cs="黑体"/>
          <w:sz w:val="28"/>
          <w:szCs w:val="32"/>
          <w:lang w:val="en-US" w:eastAsia="zh-CN"/>
        </w:rPr>
        <w:t>质量保证措施</w:t>
      </w:r>
      <w:bookmarkEnd w:id="29"/>
      <w:bookmarkEnd w:id="30"/>
    </w:p>
    <w:p w14:paraId="56A216EB">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hint="eastAsia" w:ascii="仿宋" w:hAnsi="仿宋" w:eastAsia="仿宋" w:cs="Times New Roman"/>
          <w:b w:val="0"/>
          <w:kern w:val="2"/>
          <w:sz w:val="24"/>
          <w:szCs w:val="24"/>
          <w:lang w:val="en-US" w:eastAsia="zh-CN" w:bidi="ar-SA"/>
          <w14:ligatures w14:val="standardContextual"/>
        </w:rPr>
        <w:t>质量保证措施包括需求抽取复核、矩阵覆盖检查、生成内容审阅、模板占位符检查、人工确认项管理和最终输出检查。对涉及资质、人员、业绩、价格、工期和承诺的内容，不以自动生成结果作为最终结论。</w:t>
      </w:r>
    </w:p>
    <w:p w14:paraId="4466AA2A">
      <w:pPr>
        <w:keepNext/>
        <w:keepLines/>
        <w:numPr>
          <w:ilvl w:val="2"/>
          <w:numId w:val="11"/>
        </w:numPr>
        <w:tabs>
          <w:tab w:val="left" w:pos="0"/>
        </w:tabs>
        <w:spacing w:line="300" w:lineRule="auto"/>
        <w:ind w:left="720" w:firstLine="480"/>
        <w:outlineLvl w:val="2"/>
        <w:rPr>
          <w:rFonts w:hint="eastAsia" w:eastAsia="黑体"/>
          <w:bCs/>
          <w:szCs w:val="32"/>
          <w:lang w:val="en-US" w:eastAsia="zh-CN"/>
        </w:rPr>
      </w:pPr>
      <w:r>
        <w:rPr>
          <w:rFonts w:hint="eastAsia" w:eastAsia="仿宋" w:ascii="仿宋" w:hAnsi="仿宋"/>
          <w:b w:val="0"/>
          <w:bCs/>
          <w:sz w:val="24"/>
          <w:szCs w:val="32"/>
          <w:lang w:val="en-US" w:eastAsia="zh-CN"/>
        </w:rPr>
        <w:t>质量体系、资质证书、软件开发过程证明和相关证明材料需结合投标人真实资料填写。本初稿仅提示应覆盖质量体系、过程管理、测试验证和交付质量控制等内容。</w:t>
      </w:r>
    </w:p>
    <w:p w14:paraId="0353714B">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hint="eastAsia" w:ascii="仿宋" w:hAnsi="仿宋" w:eastAsia="仿宋" w:cs="Times New Roman"/>
          <w:b w:val="0"/>
          <w:kern w:val="2"/>
          <w:sz w:val="24"/>
          <w:szCs w:val="24"/>
          <w:lang w:val="en-US" w:eastAsia="zh-CN" w:bidi="ar-SA"/>
          <w14:ligatures w14:val="standardContextual"/>
        </w:rPr>
        <w:t>服务质量保障可根据商务要求形成初稿，但服务团队、联系人、响应时限、到场方式、费用边界和升级服务承诺均需人工复核。</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61"/>
        <w:gridCol w:w="3379"/>
        <w:gridCol w:w="833"/>
        <w:gridCol w:w="970"/>
        <w:gridCol w:w="2470"/>
      </w:tblGrid>
      <w:tr w14:paraId="0B27B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61" w:type="dxa"/>
            <w:noWrap w:val="0"/>
            <w:vAlign w:val="center"/>
          </w:tcPr>
          <w:p w14:paraId="55BB0CC4">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序号</w:t>
            </w:r>
          </w:p>
        </w:tc>
        <w:tc>
          <w:tcPr>
            <w:tcW w:w="3379" w:type="dxa"/>
            <w:noWrap w:val="0"/>
            <w:vAlign w:val="center"/>
          </w:tcPr>
          <w:p w14:paraId="0033FFED">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名称</w:t>
            </w:r>
          </w:p>
        </w:tc>
        <w:tc>
          <w:tcPr>
            <w:tcW w:w="833" w:type="dxa"/>
            <w:noWrap w:val="0"/>
            <w:vAlign w:val="center"/>
          </w:tcPr>
          <w:p w14:paraId="269F7C8D">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数量</w:t>
            </w:r>
          </w:p>
        </w:tc>
        <w:tc>
          <w:tcPr>
            <w:tcW w:w="970" w:type="dxa"/>
            <w:noWrap w:val="0"/>
            <w:vAlign w:val="center"/>
          </w:tcPr>
          <w:p w14:paraId="7BB7D748">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单位</w:t>
            </w:r>
          </w:p>
        </w:tc>
        <w:tc>
          <w:tcPr>
            <w:tcW w:w="2470" w:type="dxa"/>
            <w:noWrap w:val="0"/>
            <w:vAlign w:val="center"/>
          </w:tcPr>
          <w:p w14:paraId="35D55EB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成果形式</w:t>
            </w:r>
          </w:p>
        </w:tc>
      </w:tr>
      <w:tr w14:paraId="077C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3E78DFFC">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55AB6139">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软件开发计划</w:t>
            </w:r>
          </w:p>
        </w:tc>
        <w:tc>
          <w:tcPr>
            <w:tcW w:w="833" w:type="dxa"/>
            <w:noWrap w:val="0"/>
            <w:vAlign w:val="center"/>
          </w:tcPr>
          <w:p w14:paraId="548A4A7B">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5F5A17C7">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73D35A6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6A973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6DEE06D3">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3CBCC3EF">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软件配置管理计划</w:t>
            </w:r>
          </w:p>
        </w:tc>
        <w:tc>
          <w:tcPr>
            <w:tcW w:w="833" w:type="dxa"/>
            <w:noWrap w:val="0"/>
            <w:vAlign w:val="center"/>
          </w:tcPr>
          <w:p w14:paraId="42E8274C">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23E1BB00">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4AACD3BB">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0C5BD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4EE3674C">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6E23AEE6">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软件质量保证计划</w:t>
            </w:r>
          </w:p>
        </w:tc>
        <w:tc>
          <w:tcPr>
            <w:tcW w:w="833" w:type="dxa"/>
            <w:noWrap w:val="0"/>
            <w:vAlign w:val="center"/>
          </w:tcPr>
          <w:p w14:paraId="77FF1C84">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7753E241">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3090AE52">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14DA9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D278C49">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2877172C">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需求规格说明</w:t>
            </w:r>
          </w:p>
        </w:tc>
        <w:tc>
          <w:tcPr>
            <w:tcW w:w="833" w:type="dxa"/>
            <w:noWrap w:val="0"/>
            <w:vAlign w:val="center"/>
          </w:tcPr>
          <w:p w14:paraId="6FA74F8F">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1046040B">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60860236">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0D36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1DBA1BB2">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5B723E6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功能设计说明</w:t>
            </w:r>
          </w:p>
        </w:tc>
        <w:tc>
          <w:tcPr>
            <w:tcW w:w="833" w:type="dxa"/>
            <w:noWrap w:val="0"/>
            <w:vAlign w:val="center"/>
          </w:tcPr>
          <w:p w14:paraId="0B8CE37C">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1969E136">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73CB02F6">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6349D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353BD7CA">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77FCDA99">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测试总结</w:t>
            </w:r>
          </w:p>
        </w:tc>
        <w:tc>
          <w:tcPr>
            <w:tcW w:w="833" w:type="dxa"/>
            <w:noWrap w:val="0"/>
            <w:vAlign w:val="center"/>
          </w:tcPr>
          <w:p w14:paraId="70FC73DF">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41BB0106">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4E4F4CD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59486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31288C4D">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24E334CD">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用户手册</w:t>
            </w:r>
          </w:p>
        </w:tc>
        <w:tc>
          <w:tcPr>
            <w:tcW w:w="833" w:type="dxa"/>
            <w:noWrap w:val="0"/>
            <w:vAlign w:val="center"/>
          </w:tcPr>
          <w:p w14:paraId="222904F3">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78F2E265">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2A71AFED">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2CD1C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B624F33">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17E3616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配置管理总结</w:t>
            </w:r>
          </w:p>
        </w:tc>
        <w:tc>
          <w:tcPr>
            <w:tcW w:w="833" w:type="dxa"/>
            <w:noWrap w:val="0"/>
            <w:vAlign w:val="center"/>
          </w:tcPr>
          <w:p w14:paraId="76A7B68E">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35F078BA">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07F596CE">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1873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78D2D281">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21CCA9A7">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项目研制总结报告</w:t>
            </w:r>
          </w:p>
        </w:tc>
        <w:tc>
          <w:tcPr>
            <w:tcW w:w="833" w:type="dxa"/>
            <w:noWrap w:val="0"/>
            <w:vAlign w:val="center"/>
          </w:tcPr>
          <w:p w14:paraId="3A39EA2F">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34CA4223">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264797F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1670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993A470">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3FD2E783">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项目管理过程文档</w:t>
            </w:r>
          </w:p>
        </w:tc>
        <w:tc>
          <w:tcPr>
            <w:tcW w:w="833" w:type="dxa"/>
            <w:noWrap w:val="0"/>
            <w:vAlign w:val="center"/>
          </w:tcPr>
          <w:p w14:paraId="6DA1D82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5297646A">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4649EA0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39FB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42D422B6">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5E48FBAB">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自主可控评估大纲</w:t>
            </w:r>
          </w:p>
        </w:tc>
        <w:tc>
          <w:tcPr>
            <w:tcW w:w="833" w:type="dxa"/>
            <w:noWrap w:val="0"/>
            <w:vAlign w:val="center"/>
          </w:tcPr>
          <w:p w14:paraId="5CCA1F4A">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364E0381">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44CBCCFF">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48C58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0E64B05">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63E2A592">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自主可控评估报告</w:t>
            </w:r>
          </w:p>
        </w:tc>
        <w:tc>
          <w:tcPr>
            <w:tcW w:w="833" w:type="dxa"/>
            <w:noWrap w:val="0"/>
            <w:vAlign w:val="center"/>
          </w:tcPr>
          <w:p w14:paraId="7D1992D3">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3E7E5596">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5583900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32B1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1313152D">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6886124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合同及经费穿透监管配套材料</w:t>
            </w:r>
          </w:p>
        </w:tc>
        <w:tc>
          <w:tcPr>
            <w:tcW w:w="833" w:type="dxa"/>
            <w:noWrap w:val="0"/>
            <w:vAlign w:val="center"/>
          </w:tcPr>
          <w:p w14:paraId="7E44CB6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5669057A">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5E4B39A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0ABA6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340BF82D">
            <w:pPr>
              <w:widowControl w:val="0"/>
              <w:numPr>
                <w:ilvl w:val="0"/>
                <w:numId w:val="15"/>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44394BBE">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w:t>
            </w:r>
          </w:p>
        </w:tc>
        <w:tc>
          <w:tcPr>
            <w:tcW w:w="833" w:type="dxa"/>
            <w:noWrap w:val="0"/>
            <w:vAlign w:val="center"/>
          </w:tcPr>
          <w:p w14:paraId="1A79D273">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613B27B4">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77554D1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可执行程序及源代码</w:t>
            </w:r>
          </w:p>
        </w:tc>
      </w:tr>
    </w:tbl>
    <w:p w14:paraId="5DEC1BDF">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lang w:val="en-US" w:eastAsia="zh-CN"/>
        </w:rPr>
      </w:pPr>
      <w:bookmarkStart w:id="32" w:name="_Ref3150"/>
      <w:bookmarkStart w:id="33" w:name="_Toc18355"/>
      <w:bookmarkStart w:id="34" w:name="_Toc24827"/>
      <w:r>
        <w:rPr>
          <w:rFonts w:hint="eastAsia" w:ascii="黑体" w:hAnsi="黑体" w:eastAsia="黑体" w:cs="黑体"/>
          <w:sz w:val="28"/>
          <w:szCs w:val="32"/>
          <w:lang w:val="en-US" w:eastAsia="zh-CN"/>
        </w:rPr>
        <w:t>项目进度计划</w:t>
      </w:r>
      <w:bookmarkEnd w:id="32"/>
      <w:bookmarkEnd w:id="33"/>
      <w:bookmarkEnd w:id="34"/>
    </w:p>
    <w:p w14:paraId="16B7EA53">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hint="eastAsia" w:ascii="仿宋" w:hAnsi="仿宋" w:eastAsia="仿宋" w:cs="Times New Roman"/>
          <w:b w:val="0"/>
          <w:kern w:val="2"/>
          <w:sz w:val="24"/>
          <w:szCs w:val="24"/>
          <w:lang w:val="en-US" w:eastAsia="zh-CN" w:bidi="ar-SA"/>
          <w14:ligatures w14:val="standardContextual"/>
        </w:rPr>
        <w:t>项目进度计划建议按启动准备、需求确认、设计开发、测试联调、部署上线、试运行、验收交付和运维支持组织。具体日期、里程碑和资源投入需结合合同与进场安排复核。</w:t>
      </w:r>
    </w:p>
    <w:p w14:paraId="16BD06A2">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lang w:val="en-US" w:eastAsia="zh-CN"/>
        </w:rPr>
      </w:pPr>
      <w:bookmarkStart w:id="35" w:name="_Ref881"/>
      <w:bookmarkStart w:id="36" w:name="_Toc24805"/>
      <w:bookmarkStart w:id="37" w:name="_Toc30998"/>
      <w:r>
        <w:rPr>
          <w:rFonts w:hint="eastAsia" w:ascii="黑体" w:hAnsi="黑体" w:eastAsia="黑体" w:cs="黑体"/>
          <w:sz w:val="28"/>
          <w:szCs w:val="32"/>
          <w:lang w:val="en-US" w:eastAsia="zh-CN"/>
        </w:rPr>
        <w:t>项目人员组成</w:t>
      </w:r>
      <w:bookmarkEnd w:id="35"/>
      <w:bookmarkEnd w:id="36"/>
      <w:bookmarkEnd w:id="37"/>
    </w:p>
    <w:p w14:paraId="447FC2F8">
      <w:pPr>
        <w:numPr>
          <w:ilvl w:val="0"/>
          <w:numId w:val="12"/>
        </w:numPr>
        <w:spacing w:after="0" w:line="240" w:lineRule="auto"/>
        <w:ind w:left="425" w:leftChars="0" w:hanging="425" w:firstLineChars="0"/>
        <w:jc w:val="center"/>
        <w:rPr>
          <w:rFonts w:hint="eastAsia" w:eastAsia="宋体" w:cs="Times New Roman"/>
          <w:color w:val="auto"/>
          <w:sz w:val="24"/>
          <w:szCs w:val="24"/>
          <w:lang w:val="en-US" w:eastAsia="zh-CN"/>
          <w14:ligatures w14:val="none"/>
        </w:rPr>
      </w:pPr>
      <w:r>
        <w:rPr>
          <w:rFonts w:hint="eastAsia" w:eastAsia="宋体" w:cs="Times New Roman"/>
          <w:color w:val="auto"/>
          <w:sz w:val="24"/>
          <w:szCs w:val="24"/>
          <w:lang w:val="en-US" w:eastAsia="zh-CN"/>
          <w14:ligatures w14:val="none"/>
        </w:rPr>
        <w:t>【CONFIRM:项目团队人员说明】</w:t>
      </w:r>
    </w:p>
    <w:tbl>
      <w:tblPr>
        <w:tblStyle w:val="25"/>
        <w:tblW w:w="89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3"/>
        <w:gridCol w:w="1026"/>
        <w:gridCol w:w="1156"/>
        <w:gridCol w:w="1156"/>
        <w:gridCol w:w="1545"/>
        <w:gridCol w:w="2173"/>
      </w:tblGrid>
      <w:tr w14:paraId="27897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11D36328">
            <w:pPr>
              <w:widowControl/>
              <w:spacing w:after="0" w:line="351" w:lineRule="atLeast"/>
              <w:ind w:firstLine="0"/>
              <w:jc w:val="center"/>
              <w:textAlignment w:val="baseline"/>
              <w:rPr>
                <w:rFonts w:eastAsia="宋体" w:cs="Times New Roman"/>
                <w:color w:val="000000"/>
                <w:kern w:val="0"/>
                <w:sz w:val="21"/>
                <w:szCs w:val="20"/>
                <w:highlight w:val="none"/>
                <w:u w:color="000000"/>
                <w14:ligatures w14:val="none"/>
              </w:rPr>
            </w:pPr>
            <w:r>
              <w:rPr>
                <w:rFonts w:eastAsia="宋体" w:cs="Times New Roman"/>
                <w:color w:val="000000"/>
                <w:kern w:val="0"/>
                <w:sz w:val="21"/>
                <w:szCs w:val="20"/>
                <w:highlight w:val="none"/>
                <w:u w:color="000000"/>
                <w14:ligatures w14:val="none"/>
              </w:rPr>
              <w:t>拟担任</w:t>
            </w:r>
          </w:p>
          <w:p w14:paraId="103247DA">
            <w:pPr>
              <w:widowControl/>
              <w:spacing w:after="0" w:line="351" w:lineRule="atLeast"/>
              <w:ind w:firstLine="0"/>
              <w:jc w:val="center"/>
              <w:textAlignment w:val="baseline"/>
              <w:rPr>
                <w:rFonts w:eastAsia="宋体" w:cs="Times New Roman"/>
                <w:color w:val="000000"/>
                <w:kern w:val="0"/>
                <w:sz w:val="21"/>
                <w:szCs w:val="20"/>
                <w:highlight w:val="none"/>
                <w:u w:color="000000"/>
                <w14:ligatures w14:val="none"/>
              </w:rPr>
            </w:pPr>
            <w:r>
              <w:rPr>
                <w:rFonts w:eastAsia="宋体" w:cs="Times New Roman"/>
                <w:color w:val="000000"/>
                <w:kern w:val="0"/>
                <w:sz w:val="21"/>
                <w:szCs w:val="20"/>
                <w:highlight w:val="none"/>
                <w:u w:color="000000"/>
                <w14:ligatures w14:val="none"/>
              </w:rPr>
              <w:t>职务、分工</w:t>
            </w:r>
          </w:p>
        </w:tc>
        <w:tc>
          <w:tcPr>
            <w:tcW w:w="1026" w:type="dxa"/>
            <w:vAlign w:val="center"/>
          </w:tcPr>
          <w:p w14:paraId="10E840ED">
            <w:pPr>
              <w:widowControl/>
              <w:spacing w:after="0" w:line="351" w:lineRule="atLeast"/>
              <w:ind w:firstLine="0"/>
              <w:jc w:val="center"/>
              <w:textAlignment w:val="baseline"/>
              <w:rPr>
                <w:rFonts w:eastAsia="宋体" w:cs="Times New Roman"/>
                <w:color w:val="000000"/>
                <w:kern w:val="0"/>
                <w:sz w:val="21"/>
                <w:szCs w:val="20"/>
                <w:highlight w:val="none"/>
                <w:u w:color="000000"/>
                <w14:ligatures w14:val="none"/>
              </w:rPr>
            </w:pPr>
            <w:r>
              <w:rPr>
                <w:rFonts w:eastAsia="宋体" w:cs="Times New Roman"/>
                <w:color w:val="000000"/>
                <w:kern w:val="0"/>
                <w:sz w:val="21"/>
                <w:szCs w:val="20"/>
                <w:highlight w:val="none"/>
                <w:u w:color="000000"/>
                <w14:ligatures w14:val="none"/>
              </w:rPr>
              <w:t>姓名</w:t>
            </w:r>
          </w:p>
        </w:tc>
        <w:tc>
          <w:tcPr>
            <w:tcW w:w="1156" w:type="dxa"/>
            <w:vAlign w:val="center"/>
          </w:tcPr>
          <w:p w14:paraId="1650095B">
            <w:pPr>
              <w:widowControl/>
              <w:spacing w:after="0" w:line="351" w:lineRule="atLeast"/>
              <w:ind w:firstLine="0"/>
              <w:jc w:val="center"/>
              <w:textAlignment w:val="baseline"/>
              <w:rPr>
                <w:rFonts w:eastAsia="宋体" w:cs="Times New Roman"/>
                <w:color w:val="000000"/>
                <w:kern w:val="0"/>
                <w:sz w:val="21"/>
                <w:szCs w:val="20"/>
                <w:highlight w:val="none"/>
                <w:u w:color="000000"/>
                <w14:ligatures w14:val="none"/>
              </w:rPr>
            </w:pPr>
            <w:r>
              <w:rPr>
                <w:rFonts w:eastAsia="宋体" w:cs="Times New Roman"/>
                <w:color w:val="000000"/>
                <w:kern w:val="0"/>
                <w:sz w:val="21"/>
                <w:szCs w:val="20"/>
                <w:highlight w:val="none"/>
                <w:u w:color="000000"/>
                <w14:ligatures w14:val="none"/>
              </w:rPr>
              <w:t>职称</w:t>
            </w:r>
          </w:p>
        </w:tc>
        <w:tc>
          <w:tcPr>
            <w:tcW w:w="1156" w:type="dxa"/>
            <w:vAlign w:val="center"/>
          </w:tcPr>
          <w:p w14:paraId="0B2EF57E">
            <w:pPr>
              <w:widowControl/>
              <w:spacing w:after="0" w:line="351" w:lineRule="atLeast"/>
              <w:ind w:firstLine="0"/>
              <w:jc w:val="center"/>
              <w:textAlignment w:val="baseline"/>
              <w:rPr>
                <w:rFonts w:eastAsia="宋体" w:cs="Times New Roman"/>
                <w:color w:val="000000"/>
                <w:kern w:val="0"/>
                <w:sz w:val="21"/>
                <w:szCs w:val="20"/>
                <w:highlight w:val="none"/>
                <w:u w:color="000000"/>
                <w14:ligatures w14:val="none"/>
              </w:rPr>
            </w:pPr>
            <w:r>
              <w:rPr>
                <w:rFonts w:eastAsia="宋体" w:cs="Times New Roman"/>
                <w:color w:val="000000"/>
                <w:kern w:val="0"/>
                <w:sz w:val="21"/>
                <w:szCs w:val="20"/>
                <w:highlight w:val="none"/>
                <w:u w:color="000000"/>
                <w14:ligatures w14:val="none"/>
              </w:rPr>
              <w:t>专业</w:t>
            </w:r>
          </w:p>
        </w:tc>
        <w:tc>
          <w:tcPr>
            <w:tcW w:w="1545" w:type="dxa"/>
            <w:vAlign w:val="center"/>
          </w:tcPr>
          <w:p w14:paraId="77AA6A57">
            <w:pPr>
              <w:widowControl/>
              <w:spacing w:after="0" w:line="351" w:lineRule="atLeast"/>
              <w:ind w:firstLine="0"/>
              <w:jc w:val="center"/>
              <w:textAlignment w:val="baseline"/>
              <w:rPr>
                <w:rFonts w:eastAsia="宋体" w:cs="Times New Roman"/>
                <w:color w:val="000000"/>
                <w:kern w:val="0"/>
                <w:sz w:val="21"/>
                <w:szCs w:val="20"/>
                <w:highlight w:val="none"/>
                <w:u w:color="000000"/>
                <w14:ligatures w14:val="none"/>
              </w:rPr>
            </w:pPr>
            <w:r>
              <w:rPr>
                <w:rFonts w:eastAsia="宋体" w:cs="Times New Roman"/>
                <w:color w:val="000000"/>
                <w:kern w:val="0"/>
                <w:sz w:val="21"/>
                <w:szCs w:val="20"/>
                <w:highlight w:val="none"/>
                <w:u w:color="000000"/>
                <w14:ligatures w14:val="none"/>
              </w:rPr>
              <w:t>从业资格</w:t>
            </w:r>
          </w:p>
        </w:tc>
        <w:tc>
          <w:tcPr>
            <w:tcW w:w="2173" w:type="dxa"/>
            <w:vAlign w:val="center"/>
          </w:tcPr>
          <w:p w14:paraId="1374BFC8">
            <w:pPr>
              <w:widowControl/>
              <w:spacing w:after="0" w:line="351" w:lineRule="atLeast"/>
              <w:ind w:firstLine="0"/>
              <w:jc w:val="center"/>
              <w:textAlignment w:val="baseline"/>
              <w:rPr>
                <w:rFonts w:eastAsia="宋体" w:cs="Times New Roman"/>
                <w:color w:val="000000"/>
                <w:kern w:val="0"/>
                <w:sz w:val="21"/>
                <w:szCs w:val="20"/>
                <w:highlight w:val="none"/>
                <w:u w:color="000000"/>
                <w14:ligatures w14:val="none"/>
              </w:rPr>
            </w:pPr>
            <w:r>
              <w:rPr>
                <w:rFonts w:eastAsia="宋体" w:cs="Times New Roman"/>
                <w:color w:val="000000"/>
                <w:kern w:val="0"/>
                <w:sz w:val="21"/>
                <w:szCs w:val="20"/>
                <w:highlight w:val="none"/>
                <w:u w:color="000000"/>
                <w14:ligatures w14:val="none"/>
              </w:rPr>
              <w:t>相关工作年限</w:t>
            </w:r>
          </w:p>
        </w:tc>
      </w:tr>
      <w:tr w14:paraId="70C5B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r>
              <w:t>【CONFIRM:项目团队-职务分工】</w:t>
            </w:r>
          </w:p>
        </w:tc>
        <w:tc>
          <w:tcPr>
            <w:tcW w:w="1026" w:type="dxa"/>
            <w:vAlign w:val="center"/>
          </w:tcPr>
          <w:p>
            <w:r>
              <w:t>【CONFIRM:项目团队-姓名】</w:t>
            </w:r>
          </w:p>
        </w:tc>
        <w:tc>
          <w:tcPr>
            <w:tcW w:w="1156" w:type="dxa"/>
            <w:vAlign w:val="center"/>
          </w:tcPr>
          <w:p>
            <w:r>
              <w:t>【CONFIRM:项目团队-职称】</w:t>
            </w:r>
          </w:p>
        </w:tc>
        <w:tc>
          <w:tcPr>
            <w:tcW w:w="1156" w:type="dxa"/>
            <w:vAlign w:val="center"/>
          </w:tcPr>
          <w:p>
            <w:r>
              <w:t>【CONFIRM:项目团队-专业】</w:t>
            </w:r>
          </w:p>
        </w:tc>
        <w:tc>
          <w:tcPr>
            <w:tcW w:w="1545" w:type="dxa"/>
            <w:vAlign w:val="center"/>
          </w:tcPr>
          <w:p>
            <w:r>
              <w:t>【CONFIRM:项目团队-从业资格】</w:t>
            </w:r>
          </w:p>
        </w:tc>
        <w:tc>
          <w:tcPr>
            <w:tcW w:w="2173" w:type="dxa"/>
            <w:vAlign w:val="center"/>
          </w:tcPr>
          <w:p>
            <w:r>
              <w:t>【CONFIRM:项目团队-相关工作年限】</w:t>
            </w:r>
          </w:p>
        </w:tc>
      </w:tr>
      <w:tr w14:paraId="38222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69F98E6E">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21AFF85E">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65F57F7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2322EAA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25E74350">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032C3276">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r w14:paraId="0BB02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40646FE7">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7525C8C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762D66A5">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23F69253">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5A9637A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68D0DCAC">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r w14:paraId="6964D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437A6462">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3C7F4C73">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340D73F6">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00B194E4">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3B213767">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790A0597">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r w14:paraId="6E2A7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2D9C102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2AC25F35">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10390561">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358CE53E">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33E0B74A">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1752FE7C">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r w14:paraId="38B8C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1F8FDD77">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1DF84431">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04BE20C3">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55FF4C5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39B960E0">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164A35E6">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r w14:paraId="17A96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53106AA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06060A00">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6781E051">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4E8C7AA6">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2A985915">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5FBC21C7">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r w14:paraId="6296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791BB55F">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44E2F1EE">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74B51EB8">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79128564">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29A6AF51">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168784F0">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r w14:paraId="61526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jc w:val="center"/>
        </w:trPr>
        <w:tc>
          <w:tcPr>
            <w:tcW w:w="1863" w:type="dxa"/>
            <w:vAlign w:val="center"/>
          </w:tcPr>
          <w:p w14:paraId="15E71D29">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026" w:type="dxa"/>
            <w:vAlign w:val="center"/>
          </w:tcPr>
          <w:p w14:paraId="140E5091">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0FA51A8B">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156" w:type="dxa"/>
            <w:vAlign w:val="center"/>
          </w:tcPr>
          <w:p w14:paraId="3CB831BE">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1545" w:type="dxa"/>
            <w:vAlign w:val="center"/>
          </w:tcPr>
          <w:p w14:paraId="2F4903DC">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c>
          <w:tcPr>
            <w:tcW w:w="2173" w:type="dxa"/>
            <w:vAlign w:val="center"/>
          </w:tcPr>
          <w:p w14:paraId="1924E778">
            <w:pPr>
              <w:widowControl/>
              <w:spacing w:after="0" w:line="351" w:lineRule="atLeast"/>
              <w:ind w:firstLine="720"/>
              <w:jc w:val="center"/>
              <w:textAlignment w:val="baseline"/>
              <w:rPr>
                <w:rFonts w:eastAsia="宋体" w:cs="Times New Roman"/>
                <w:color w:val="000000"/>
                <w:kern w:val="0"/>
                <w:sz w:val="21"/>
                <w:szCs w:val="20"/>
                <w:highlight w:val="none"/>
                <w:u w:color="000000"/>
                <w14:ligatures w14:val="none"/>
              </w:rPr>
            </w:pPr>
          </w:p>
        </w:tc>
      </w:tr>
    </w:tbl>
    <w:p w14:paraId="7A779AF1">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lang w:val="en-US" w:eastAsia="zh-CN"/>
        </w:rPr>
      </w:pPr>
      <w:bookmarkStart w:id="38" w:name="_Toc10496"/>
      <w:bookmarkStart w:id="39" w:name="_Toc11424"/>
      <w:r>
        <w:rPr>
          <w:rFonts w:hint="eastAsia" w:ascii="黑体" w:hAnsi="黑体" w:eastAsia="黑体" w:cs="黑体"/>
          <w:sz w:val="28"/>
          <w:szCs w:val="32"/>
          <w:lang w:val="en-US" w:eastAsia="zh-CN"/>
        </w:rPr>
        <w:t>成果交付及验收</w:t>
      </w:r>
      <w:bookmarkEnd w:id="38"/>
      <w:bookmarkEnd w:id="39"/>
    </w:p>
    <w:p w14:paraId="36460B79">
      <w:pPr>
        <w:widowControl w:val="0"/>
        <w:bidi w:val="0"/>
        <w:spacing w:after="2" w:line="300" w:lineRule="auto"/>
        <w:ind w:firstLineChars="200" w:firstLine="480"/>
        <w:rPr>
          <w:rFonts w:hint="eastAsia" w:ascii="Times New Roman" w:hAnsi="Times New Roman" w:eastAsia="宋体" w:cs="Times New Roman"/>
          <w:kern w:val="2"/>
          <w:sz w:val="24"/>
          <w:szCs w:val="24"/>
          <w:lang w:val="en-US" w:eastAsia="zh-CN" w:bidi="ar-SA"/>
          <w14:ligatures w14:val="standardContextual"/>
        </w:rPr>
      </w:pPr>
      <w:r>
        <w:rPr>
          <w:rFonts w:hint="eastAsia" w:ascii="仿宋" w:hAnsi="仿宋" w:eastAsia="仿宋" w:cs="Times New Roman"/>
          <w:b w:val="0"/>
          <w:kern w:val="2"/>
          <w:sz w:val="24"/>
          <w:szCs w:val="24"/>
          <w:lang w:val="en-US" w:eastAsia="zh-CN" w:bidi="ar-SA"/>
          <w14:ligatures w14:val="standardContextual"/>
        </w:rPr>
        <w:t>成果交付及验收应以技术要求、商务要求和合同条款为准。验收重点包括功能覆盖、性能指标、接口联调、文档完整性、问题整改闭环和现场部署运行情况。</w:t>
      </w:r>
    </w:p>
    <w:p w14:paraId="0DD3D6CE">
      <w:pPr>
        <w:keepNext/>
        <w:keepLines/>
        <w:numPr>
          <w:ilvl w:val="2"/>
          <w:numId w:val="11"/>
        </w:numPr>
        <w:tabs>
          <w:tab w:val="left" w:pos="0"/>
        </w:tabs>
        <w:spacing w:line="300" w:lineRule="auto"/>
        <w:ind w:left="720" w:firstLine="480"/>
        <w:outlineLvl w:val="2"/>
        <w:rPr>
          <w:rFonts w:hint="eastAsia" w:eastAsia="黑体"/>
          <w:bCs/>
          <w:szCs w:val="32"/>
          <w:lang w:val="en-US" w:eastAsia="zh-CN"/>
        </w:rPr>
      </w:pPr>
      <w:r>
        <w:rPr>
          <w:rFonts w:hint="eastAsia" w:eastAsia="仿宋" w:ascii="仿宋" w:hAnsi="仿宋"/>
          <w:b w:val="0"/>
          <w:bCs/>
          <w:sz w:val="24"/>
          <w:szCs w:val="32"/>
          <w:lang w:val="en-US" w:eastAsia="zh-CN"/>
        </w:rPr>
        <w:t>交付物清单由技术要求中的交付表提取，数量、介质、签收要求和最终版本需人工复核。</w:t>
      </w:r>
    </w:p>
    <w:tbl>
      <w:tblPr>
        <w:tblStyle w:val="26"/>
        <w:tblW w:type="auto" w:w="0"/>
        <w:tblLook w:firstColumn="1" w:firstRow="1" w:lastColumn="0" w:lastRow="0" w:noHBand="0" w:noVBand="1" w:val="04A0"/>
      </w:tblPr>
      <w:tblGrid>
        <w:gridCol w:w="2076"/>
        <w:gridCol w:w="2076"/>
        <w:gridCol w:w="2076"/>
        <w:gridCol w:w="2076"/>
      </w:tblGrid>
      <w:tr>
        <w:tc>
          <w:tcPr>
            <w:tcW w:type="dxa" w:w="2076"/>
          </w:tcPr>
          <w:p>
            <w:r>
              <w:rPr>
                <w:rFonts w:ascii="仿宋" w:hAnsi="仿宋" w:eastAsia="仿宋"/>
                <w:sz w:val="21"/>
              </w:rPr>
              <w:t>序号</w:t>
            </w:r>
          </w:p>
        </w:tc>
        <w:tc>
          <w:tcPr>
            <w:tcW w:type="dxa" w:w="2076"/>
          </w:tcPr>
          <w:p>
            <w:r>
              <w:rPr>
                <w:rFonts w:ascii="仿宋" w:hAnsi="仿宋" w:eastAsia="仿宋"/>
                <w:sz w:val="21"/>
              </w:rPr>
              <w:t>交付物名称</w:t>
            </w:r>
          </w:p>
        </w:tc>
        <w:tc>
          <w:tcPr>
            <w:tcW w:type="dxa" w:w="2076"/>
          </w:tcPr>
          <w:p>
            <w:r>
              <w:rPr>
                <w:rFonts w:ascii="仿宋" w:hAnsi="仿宋" w:eastAsia="仿宋"/>
                <w:sz w:val="21"/>
              </w:rPr>
              <w:t>数量</w:t>
            </w:r>
          </w:p>
        </w:tc>
        <w:tc>
          <w:tcPr>
            <w:tcW w:type="dxa" w:w="2076"/>
          </w:tcPr>
          <w:p>
            <w:r>
              <w:rPr>
                <w:rFonts w:ascii="仿宋" w:hAnsi="仿宋" w:eastAsia="仿宋"/>
                <w:sz w:val="21"/>
              </w:rPr>
              <w:t>说明</w:t>
            </w:r>
          </w:p>
        </w:tc>
      </w:tr>
      <w:tr>
        <w:tc>
          <w:tcPr>
            <w:tcW w:type="dxa" w:w="2076"/>
          </w:tcPr>
          <w:p>
            <w:r>
              <w:rPr>
                <w:rFonts w:ascii="仿宋" w:hAnsi="仿宋" w:eastAsia="仿宋"/>
                <w:sz w:val="21"/>
              </w:rPr>
              <w:t>1</w:t>
            </w:r>
          </w:p>
        </w:tc>
        <w:tc>
          <w:tcPr>
            <w:tcW w:type="dxa" w:w="2076"/>
          </w:tcPr>
          <w:p>
            <w:r>
              <w:rPr>
                <w:rFonts w:ascii="仿宋" w:hAnsi="仿宋" w:eastAsia="仿宋"/>
                <w:sz w:val="21"/>
              </w:rPr>
              <w:t>交付软件源代码和可执行文件在2套甲方提供的设备上能可靠运行</w:t>
            </w:r>
          </w:p>
        </w:tc>
        <w:tc>
          <w:tcPr>
            <w:tcW w:type="dxa" w:w="2076"/>
          </w:tcPr>
          <w:p>
            <w:r>
              <w:rPr>
                <w:rFonts w:ascii="仿宋" w:hAnsi="仿宋" w:eastAsia="仿宋"/>
                <w:sz w:val="21"/>
              </w:rPr>
              <w:t>2套</w:t>
            </w:r>
          </w:p>
        </w:tc>
        <w:tc>
          <w:tcPr>
            <w:tcW w:type="dxa" w:w="2076"/>
          </w:tcPr>
          <w:p>
            <w:r>
              <w:rPr>
                <w:rFonts w:ascii="仿宋" w:hAnsi="仿宋" w:eastAsia="仿宋"/>
                <w:sz w:val="21"/>
              </w:rPr>
              <w:t>实物</w:t>
            </w:r>
          </w:p>
        </w:tc>
      </w:tr>
      <w:tr>
        <w:tc>
          <w:tcPr>
            <w:tcW w:type="dxa" w:w="2076"/>
          </w:tcPr>
          <w:p>
            <w:r>
              <w:rPr>
                <w:rFonts w:ascii="仿宋" w:hAnsi="仿宋" w:eastAsia="仿宋"/>
                <w:sz w:val="21"/>
              </w:rPr>
              <w:t>2</w:t>
            </w:r>
          </w:p>
        </w:tc>
        <w:tc>
          <w:tcPr>
            <w:tcW w:type="dxa" w:w="2076"/>
          </w:tcPr>
          <w:p>
            <w:r>
              <w:rPr>
                <w:rFonts w:ascii="仿宋" w:hAnsi="仿宋" w:eastAsia="仿宋"/>
                <w:sz w:val="21"/>
              </w:rPr>
              <w:t>交付软件源代码（含完整注释）及可执行文件</w:t>
            </w:r>
          </w:p>
        </w:tc>
        <w:tc>
          <w:tcPr>
            <w:tcW w:type="dxa" w:w="2076"/>
          </w:tcPr>
          <w:p>
            <w:r>
              <w:rPr>
                <w:rFonts w:ascii="仿宋" w:hAnsi="仿宋" w:eastAsia="仿宋"/>
                <w:sz w:val="21"/>
              </w:rPr>
              <w:t>1份</w:t>
            </w:r>
          </w:p>
        </w:tc>
        <w:tc>
          <w:tcPr>
            <w:tcW w:type="dxa" w:w="2076"/>
          </w:tcPr>
          <w:p>
            <w:r>
              <w:rPr>
                <w:rFonts w:ascii="仿宋" w:hAnsi="仿宋" w:eastAsia="仿宋"/>
                <w:sz w:val="21"/>
              </w:rPr>
              <w:t>纸质、光盘</w:t>
            </w:r>
          </w:p>
        </w:tc>
      </w:tr>
      <w:tr>
        <w:tc>
          <w:tcPr>
            <w:tcW w:type="dxa" w:w="2076"/>
          </w:tcPr>
          <w:p>
            <w:r>
              <w:rPr>
                <w:rFonts w:ascii="仿宋" w:hAnsi="仿宋" w:eastAsia="仿宋"/>
                <w:sz w:val="21"/>
              </w:rPr>
              <w:t>3</w:t>
            </w:r>
          </w:p>
        </w:tc>
        <w:tc>
          <w:tcPr>
            <w:tcW w:type="dxa" w:w="2076"/>
          </w:tcPr>
          <w:p>
            <w:r>
              <w:rPr>
                <w:rFonts w:ascii="仿宋" w:hAnsi="仿宋" w:eastAsia="仿宋"/>
                <w:sz w:val="21"/>
              </w:rPr>
              <w:t>软件部署及运维指南</w:t>
            </w:r>
          </w:p>
        </w:tc>
        <w:tc>
          <w:tcPr>
            <w:tcW w:type="dxa" w:w="2076"/>
          </w:tcPr>
          <w:p>
            <w:r>
              <w:rPr>
                <w:rFonts w:ascii="仿宋" w:hAnsi="仿宋" w:eastAsia="仿宋"/>
                <w:sz w:val="21"/>
              </w:rPr>
              <w:t>1份</w:t>
            </w:r>
          </w:p>
        </w:tc>
        <w:tc>
          <w:tcPr>
            <w:tcW w:type="dxa" w:w="2076"/>
          </w:tcPr>
          <w:p>
            <w:r>
              <w:rPr>
                <w:rFonts w:ascii="仿宋" w:hAnsi="仿宋" w:eastAsia="仿宋"/>
                <w:sz w:val="21"/>
              </w:rPr>
              <w:t>纸质、光盘</w:t>
            </w:r>
          </w:p>
        </w:tc>
      </w:tr>
      <w:tr>
        <w:tc>
          <w:tcPr>
            <w:tcW w:type="dxa" w:w="2076"/>
          </w:tcPr>
          <w:p>
            <w:r>
              <w:rPr>
                <w:rFonts w:ascii="仿宋" w:hAnsi="仿宋" w:eastAsia="仿宋"/>
                <w:sz w:val="21"/>
              </w:rPr>
              <w:t>4</w:t>
            </w:r>
          </w:p>
        </w:tc>
        <w:tc>
          <w:tcPr>
            <w:tcW w:type="dxa" w:w="2076"/>
          </w:tcPr>
          <w:p>
            <w:r>
              <w:rPr>
                <w:rFonts w:ascii="仿宋" w:hAnsi="仿宋" w:eastAsia="仿宋"/>
                <w:sz w:val="21"/>
              </w:rPr>
              <w:t>按GJB438C-2021提供技术文档</w:t>
            </w:r>
          </w:p>
        </w:tc>
        <w:tc>
          <w:tcPr>
            <w:tcW w:type="dxa" w:w="2076"/>
          </w:tcPr>
          <w:p>
            <w:r>
              <w:rPr>
                <w:rFonts w:ascii="仿宋" w:hAnsi="仿宋" w:eastAsia="仿宋"/>
                <w:sz w:val="21"/>
              </w:rPr>
              <w:t>1套</w:t>
            </w:r>
          </w:p>
        </w:tc>
        <w:tc>
          <w:tcPr>
            <w:tcW w:type="dxa" w:w="2076"/>
          </w:tcPr>
          <w:p>
            <w:r>
              <w:rPr>
                <w:rFonts w:ascii="仿宋" w:hAnsi="仿宋" w:eastAsia="仿宋"/>
                <w:sz w:val="21"/>
              </w:rPr>
              <w:t>纸质、光盘</w:t>
            </w:r>
          </w:p>
        </w:tc>
      </w:tr>
    </w:tbl>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61"/>
        <w:gridCol w:w="3379"/>
        <w:gridCol w:w="833"/>
        <w:gridCol w:w="970"/>
        <w:gridCol w:w="2470"/>
      </w:tblGrid>
      <w:tr w14:paraId="70D67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61" w:type="dxa"/>
            <w:noWrap w:val="0"/>
            <w:vAlign w:val="center"/>
          </w:tcPr>
          <w:p w14:paraId="17F7CF07">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序号</w:t>
            </w:r>
          </w:p>
        </w:tc>
        <w:tc>
          <w:tcPr>
            <w:tcW w:w="3379" w:type="dxa"/>
            <w:noWrap w:val="0"/>
            <w:vAlign w:val="center"/>
          </w:tcPr>
          <w:p w14:paraId="010F8E8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名称</w:t>
            </w:r>
          </w:p>
        </w:tc>
        <w:tc>
          <w:tcPr>
            <w:tcW w:w="833" w:type="dxa"/>
            <w:noWrap w:val="0"/>
            <w:vAlign w:val="center"/>
          </w:tcPr>
          <w:p w14:paraId="73C1857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数量</w:t>
            </w:r>
          </w:p>
        </w:tc>
        <w:tc>
          <w:tcPr>
            <w:tcW w:w="970" w:type="dxa"/>
            <w:noWrap w:val="0"/>
            <w:vAlign w:val="center"/>
          </w:tcPr>
          <w:p w14:paraId="15F95267">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单位</w:t>
            </w:r>
          </w:p>
        </w:tc>
        <w:tc>
          <w:tcPr>
            <w:tcW w:w="2470" w:type="dxa"/>
            <w:noWrap w:val="0"/>
            <w:vAlign w:val="center"/>
          </w:tcPr>
          <w:p w14:paraId="1DF0118E">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成果形式</w:t>
            </w:r>
          </w:p>
        </w:tc>
      </w:tr>
      <w:tr w14:paraId="62DE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3A71C771">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4BC4E8F8">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软件开发计划</w:t>
            </w:r>
          </w:p>
        </w:tc>
        <w:tc>
          <w:tcPr>
            <w:tcW w:w="833" w:type="dxa"/>
            <w:noWrap w:val="0"/>
            <w:vAlign w:val="center"/>
          </w:tcPr>
          <w:p w14:paraId="743A3FCF">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645A9BB0">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1F01B08C">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2E815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6A40C8F">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06B94F7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软件配置管理计划</w:t>
            </w:r>
          </w:p>
        </w:tc>
        <w:tc>
          <w:tcPr>
            <w:tcW w:w="833" w:type="dxa"/>
            <w:noWrap w:val="0"/>
            <w:vAlign w:val="center"/>
          </w:tcPr>
          <w:p w14:paraId="2EB2532A">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21792F4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12817BDF">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46E7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DBFB5FC">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6FC8EC36">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软件质量保证计划</w:t>
            </w:r>
          </w:p>
        </w:tc>
        <w:tc>
          <w:tcPr>
            <w:tcW w:w="833" w:type="dxa"/>
            <w:noWrap w:val="0"/>
            <w:vAlign w:val="center"/>
          </w:tcPr>
          <w:p w14:paraId="0D899C38">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7D672702">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1E6ED952">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26022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03AC4CC">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1E370C30">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需求规格说明</w:t>
            </w:r>
          </w:p>
        </w:tc>
        <w:tc>
          <w:tcPr>
            <w:tcW w:w="833" w:type="dxa"/>
            <w:noWrap w:val="0"/>
            <w:vAlign w:val="center"/>
          </w:tcPr>
          <w:p w14:paraId="48C21CF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0794B71C">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01EF6110">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0F600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4375E589">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74674D01">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功能设计说明</w:t>
            </w:r>
          </w:p>
        </w:tc>
        <w:tc>
          <w:tcPr>
            <w:tcW w:w="833" w:type="dxa"/>
            <w:noWrap w:val="0"/>
            <w:vAlign w:val="center"/>
          </w:tcPr>
          <w:p w14:paraId="61F52BF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54033857">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7FE865C7">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1D1DB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022F3E02">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6D3A2878">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测试总结</w:t>
            </w:r>
          </w:p>
        </w:tc>
        <w:tc>
          <w:tcPr>
            <w:tcW w:w="833" w:type="dxa"/>
            <w:noWrap w:val="0"/>
            <w:vAlign w:val="center"/>
          </w:tcPr>
          <w:p w14:paraId="49524280">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65B91B83">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668960AB">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67129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7F167249">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62713C0D">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用户手册</w:t>
            </w:r>
          </w:p>
        </w:tc>
        <w:tc>
          <w:tcPr>
            <w:tcW w:w="833" w:type="dxa"/>
            <w:noWrap w:val="0"/>
            <w:vAlign w:val="center"/>
          </w:tcPr>
          <w:p w14:paraId="449EAF15">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61FDB560">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1064947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3C00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3D069A1F">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6D8D1035">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配置管理总结</w:t>
            </w:r>
          </w:p>
        </w:tc>
        <w:tc>
          <w:tcPr>
            <w:tcW w:w="833" w:type="dxa"/>
            <w:noWrap w:val="0"/>
            <w:vAlign w:val="center"/>
          </w:tcPr>
          <w:p w14:paraId="693ED195">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40101C0C">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493BA63F">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2D784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7E51BBEC">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2A4AFCEA">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项目研制总结报告</w:t>
            </w:r>
          </w:p>
        </w:tc>
        <w:tc>
          <w:tcPr>
            <w:tcW w:w="833" w:type="dxa"/>
            <w:noWrap w:val="0"/>
            <w:vAlign w:val="center"/>
          </w:tcPr>
          <w:p w14:paraId="3C972D3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57C8B66A">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5DDFD1EB">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78314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3F5530F0">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21336E95">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项目管理过程文档</w:t>
            </w:r>
          </w:p>
        </w:tc>
        <w:tc>
          <w:tcPr>
            <w:tcW w:w="833" w:type="dxa"/>
            <w:noWrap w:val="0"/>
            <w:vAlign w:val="center"/>
          </w:tcPr>
          <w:p w14:paraId="4408FA2D">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3CCCEBC1">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1ACC101A">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3E72A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51D549A9">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51960F27">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自主可控评估大纲</w:t>
            </w:r>
          </w:p>
        </w:tc>
        <w:tc>
          <w:tcPr>
            <w:tcW w:w="833" w:type="dxa"/>
            <w:noWrap w:val="0"/>
            <w:vAlign w:val="center"/>
          </w:tcPr>
          <w:p w14:paraId="4124BFB0">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547CFC15">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15720EF7">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22089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2271F89A">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5D309777">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自主可控评估报告</w:t>
            </w:r>
          </w:p>
        </w:tc>
        <w:tc>
          <w:tcPr>
            <w:tcW w:w="833" w:type="dxa"/>
            <w:noWrap w:val="0"/>
            <w:vAlign w:val="center"/>
          </w:tcPr>
          <w:p w14:paraId="014FDC93">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7FF2EF99">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6421BFF4">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7EEC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51EA49B0">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496CE07F">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合同及经费穿透监管配套材料</w:t>
            </w:r>
          </w:p>
        </w:tc>
        <w:tc>
          <w:tcPr>
            <w:tcW w:w="833" w:type="dxa"/>
            <w:noWrap w:val="0"/>
            <w:vAlign w:val="center"/>
          </w:tcPr>
          <w:p w14:paraId="2B8F8C31">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499E00D8">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052A62DD">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文档</w:t>
            </w:r>
          </w:p>
        </w:tc>
      </w:tr>
      <w:tr w14:paraId="5F103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1" w:type="dxa"/>
            <w:noWrap w:val="0"/>
            <w:vAlign w:val="center"/>
          </w:tcPr>
          <w:p w14:paraId="077848AC">
            <w:pPr>
              <w:widowControl w:val="0"/>
              <w:numPr>
                <w:ilvl w:val="0"/>
                <w:numId w:val="19"/>
              </w:numPr>
              <w:bidi w:val="0"/>
              <w:spacing w:after="2" w:line="360" w:lineRule="auto"/>
              <w:ind w:left="454" w:leftChars="0" w:hanging="454" w:firstLineChars="0"/>
              <w:jc w:val="center"/>
              <w:rPr>
                <w:rFonts w:hint="eastAsia" w:ascii="Times New Roman" w:hAnsi="Times New Roman" w:eastAsia="宋体" w:cs="Times New Roman"/>
                <w:kern w:val="2"/>
                <w:sz w:val="24"/>
                <w:szCs w:val="24"/>
                <w:lang w:val="en-US" w:eastAsia="zh-CN" w:bidi="ar-SA"/>
                <w14:ligatures w14:val="standardContextual"/>
              </w:rPr>
            </w:pPr>
          </w:p>
        </w:tc>
        <w:tc>
          <w:tcPr>
            <w:tcW w:w="3379" w:type="dxa"/>
            <w:noWrap w:val="0"/>
            <w:vAlign w:val="center"/>
          </w:tcPr>
          <w:p w14:paraId="1740E927">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软件</w:t>
            </w:r>
          </w:p>
        </w:tc>
        <w:tc>
          <w:tcPr>
            <w:tcW w:w="833" w:type="dxa"/>
            <w:noWrap w:val="0"/>
            <w:vAlign w:val="center"/>
          </w:tcPr>
          <w:p w14:paraId="247D1686">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1</w:t>
            </w:r>
          </w:p>
        </w:tc>
        <w:tc>
          <w:tcPr>
            <w:tcW w:w="970" w:type="dxa"/>
            <w:noWrap w:val="0"/>
            <w:vAlign w:val="center"/>
          </w:tcPr>
          <w:p w14:paraId="76DDCD9B">
            <w:pPr>
              <w:widowControl w:val="0"/>
              <w:bidi w:val="0"/>
              <w:spacing w:after="2" w:line="360" w:lineRule="auto"/>
              <w:jc w:val="center"/>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套</w:t>
            </w:r>
          </w:p>
        </w:tc>
        <w:tc>
          <w:tcPr>
            <w:tcW w:w="2470" w:type="dxa"/>
            <w:noWrap w:val="0"/>
            <w:vAlign w:val="center"/>
          </w:tcPr>
          <w:p w14:paraId="38728E6D">
            <w:pPr>
              <w:widowControl w:val="0"/>
              <w:bidi w:val="0"/>
              <w:spacing w:after="2" w:line="360" w:lineRule="auto"/>
              <w:jc w:val="both"/>
              <w:rPr>
                <w:rFonts w:hint="eastAsia" w:ascii="Times New Roman" w:hAnsi="Times New Roman" w:eastAsia="宋体" w:cs="Times New Roman"/>
                <w:kern w:val="2"/>
                <w:sz w:val="24"/>
                <w:szCs w:val="24"/>
                <w:lang w:val="en-US" w:eastAsia="zh-CN" w:bidi="ar-SA"/>
                <w14:ligatures w14:val="standardContextual"/>
              </w:rPr>
            </w:pPr>
            <w:r>
              <w:rPr>
                <w:rFonts w:hint="eastAsia" w:ascii="Times New Roman" w:hAnsi="Times New Roman" w:eastAsia="宋体" w:cs="Times New Roman"/>
                <w:kern w:val="2"/>
                <w:sz w:val="24"/>
                <w:szCs w:val="24"/>
                <w:lang w:val="en-US" w:eastAsia="zh-CN" w:bidi="ar-SA"/>
                <w14:ligatures w14:val="standardContextual"/>
              </w:rPr>
              <w:t>可执行程序及源代码</w:t>
            </w:r>
          </w:p>
        </w:tc>
      </w:tr>
    </w:tbl>
    <w:p w14:paraId="1E9BBF94">
      <w:pPr>
        <w:keepNext/>
        <w:keepLines/>
        <w:numPr>
          <w:ilvl w:val="1"/>
          <w:numId w:val="11"/>
        </w:numPr>
        <w:tabs>
          <w:tab w:val="left" w:pos="19"/>
        </w:tabs>
        <w:spacing w:before="140" w:after="140" w:line="360" w:lineRule="auto"/>
        <w:ind w:left="575" w:hanging="575"/>
        <w:outlineLvl w:val="1"/>
        <w:rPr>
          <w:rFonts w:hint="eastAsia" w:ascii="黑体" w:hAnsi="黑体" w:eastAsia="黑体" w:cs="黑体"/>
          <w:sz w:val="28"/>
          <w:szCs w:val="32"/>
          <w:lang w:val="en-US" w:eastAsia="zh-CN"/>
        </w:rPr>
      </w:pPr>
      <w:bookmarkStart w:id="42" w:name="_Toc13693"/>
      <w:bookmarkStart w:id="43" w:name="_Toc3244"/>
      <w:r>
        <w:rPr>
          <w:rFonts w:hint="eastAsia" w:ascii="黑体" w:hAnsi="黑体" w:eastAsia="黑体" w:cs="黑体"/>
          <w:sz w:val="28"/>
          <w:szCs w:val="32"/>
          <w:lang w:val="en-US" w:eastAsia="zh-CN"/>
        </w:rPr>
        <w:t>售后服务及承诺</w:t>
      </w:r>
      <w:bookmarkEnd w:id="42"/>
      <w:bookmarkEnd w:id="43"/>
    </w:p>
    <w:p w14:paraId="696A1496">
      <w:pPr>
        <w:keepNext/>
        <w:keepLines/>
        <w:numPr>
          <w:ilvl w:val="2"/>
          <w:numId w:val="11"/>
        </w:numPr>
        <w:tabs>
          <w:tab w:val="left" w:pos="0"/>
        </w:tabs>
        <w:spacing w:line="300" w:lineRule="auto"/>
        <w:ind w:left="720" w:firstLine="480"/>
        <w:outlineLvl w:val="2"/>
        <w:rPr>
          <w:rFonts w:hint="eastAsia" w:eastAsia="黑体"/>
          <w:bCs/>
          <w:szCs w:val="32"/>
          <w:lang w:val="en-US" w:eastAsia="zh-CN"/>
        </w:rPr>
      </w:pPr>
      <w:bookmarkStart w:id="44" w:name="_Ref3359"/>
      <w:r>
        <w:rPr>
          <w:rFonts w:hint="eastAsia" w:eastAsia="仿宋" w:ascii="仿宋" w:hAnsi="仿宋"/>
          <w:b w:val="0"/>
          <w:bCs/>
          <w:sz w:val="24"/>
          <w:szCs w:val="32"/>
          <w:lang w:val="en-US" w:eastAsia="zh-CN"/>
        </w:rPr>
        <w:t>培训方案依据商务要求生成，内容覆盖系统总体介绍、功能操作、权限与安全、数据维护、常见问题处理、交付资料说明和验收配合。培训对象、时间、地点、次数、讲师和考核方式应结合投标人实际安排及用户要求最终确认。</w:t>
      </w:r>
      <w:bookmarkEnd w:id="44"/>
    </w:p>
    <w:p w14:paraId="56DF7FB0">
      <w:pPr>
        <w:widowControl/>
        <w:spacing w:after="0" w:line="360" w:lineRule="auto"/>
        <w:ind w:firstLine="480" w:firstLineChars="200"/>
        <w:jc w:val="left"/>
        <w:textAlignment w:val="center"/>
        <w:rPr>
          <w:rFonts w:hint="eastAsia" w:ascii="Times New Roman" w:hAnsi="Times New Roman" w:eastAsia="宋体" w:cs="Times New Roman"/>
          <w:szCs w:val="18"/>
          <w:lang w:val="en-US" w:eastAsia="zh-CN"/>
          <w14:ligatures w14:val="none"/>
        </w:rPr>
      </w:pPr>
      <w:r>
        <w:rPr>
          <w:rFonts w:hint="eastAsia" w:eastAsia="宋体" w:cs="Times New Roman"/>
          <w:szCs w:val="18"/>
          <w:lang w:val="en-US" w:eastAsia="zh-CN"/>
          <w14:ligatures w14:val="none"/>
        </w:rPr>
        <w:t>【CONFIRM:质量保证期承诺】</w:t>
      </w:r>
      <w:r>
        <w:rPr>
          <w:rFonts w:hint="eastAsia" w:ascii="Times New Roman" w:hAnsi="Times New Roman" w:eastAsia="宋体" w:cs="Times New Roman"/>
          <w:szCs w:val="18"/>
          <w:lang w:val="en-US" w:eastAsia="zh-CN"/>
          <w14:ligatures w14:val="none"/>
        </w:rPr>
      </w:r>
      <w:r>
        <w:rPr>
          <w:rFonts w:hint="eastAsia" w:eastAsia="宋体" w:cs="Times New Roman"/>
          <w:szCs w:val="18"/>
          <w:lang w:val="en-US" w:eastAsia="zh-CN"/>
          <w14:ligatures w14:val="none"/>
        </w:rPr>
      </w:r>
      <w:r>
        <w:rPr>
          <w:rFonts w:hint="eastAsia" w:ascii="Times New Roman" w:hAnsi="Times New Roman" w:eastAsia="宋体" w:cs="Times New Roman"/>
          <w:szCs w:val="18"/>
          <w:lang w:val="en-US" w:eastAsia="zh-CN"/>
          <w14:ligatures w14:val="none"/>
        </w:rPr>
      </w:r>
    </w:p>
    <w:p w14:paraId="400D08AF">
      <w:pPr>
        <w:widowControl/>
        <w:spacing w:after="0" w:line="360" w:lineRule="auto"/>
        <w:ind w:firstLine="480" w:firstLineChars="200"/>
        <w:jc w:val="left"/>
        <w:textAlignment w:val="center"/>
        <w:rPr>
          <w:rFonts w:hint="eastAsia" w:ascii="Times New Roman" w:hAnsi="Times New Roman" w:eastAsia="宋体" w:cs="Times New Roman"/>
          <w:szCs w:val="18"/>
          <w:lang w:val="en-US" w:eastAsia="zh-CN"/>
          <w14:ligatures w14:val="none"/>
        </w:rPr>
      </w:pPr>
      <w:r>
        <w:rPr>
          <w:rFonts w:hint="eastAsia" w:ascii="Times New Roman" w:hAnsi="Times New Roman" w:eastAsia="宋体" w:cs="Times New Roman"/>
          <w:szCs w:val="18"/>
          <w:lang w:val="en-US" w:eastAsia="zh-CN"/>
          <w14:ligatures w14:val="none"/>
        </w:rPr>
        <w:t>【CONFIRM:售后服务响应承诺】</w:t>
      </w:r>
    </w:p>
    <w:p w14:paraId="0A605991">
      <w:pPr>
        <w:widowControl/>
        <w:spacing w:after="0" w:line="300" w:lineRule="auto"/>
        <w:ind w:firstLineChars="200" w:firstLine="480"/>
        <w:jc w:val="left"/>
        <w:textAlignment w:val="center"/>
        <w:rPr>
          <w:rFonts w:hint="eastAsia" w:ascii="Times New Roman" w:hAnsi="Times New Roman" w:eastAsia="宋体" w:cs="Times New Roman"/>
          <w:szCs w:val="18"/>
          <w:lang w:val="en-US" w:eastAsia="zh-CN"/>
          <w14:ligatures w14:val="none"/>
        </w:rPr>
      </w:pPr>
      <w:r>
        <w:rPr>
          <w:rFonts w:hint="eastAsia" w:ascii="仿宋" w:hAnsi="仿宋" w:eastAsia="仿宋" w:cs="Times New Roman"/>
          <w:b w:val="0"/>
          <w:sz w:val="24"/>
          <w:szCs w:val="18"/>
          <w:lang w:val="en-US" w:eastAsia="zh-CN"/>
          <w14:ligatures w14:val="none"/>
        </w:rPr>
        <w:t>应急支援保障承诺需结合投标人服务能力、驻场安排、备件工具、问题分级和费用边界进行复核，避免生成超出实际能力的强承诺。</w:t>
      </w:r>
    </w:p>
    <w:p w14:paraId="0DC915E9">
      <w:pPr>
        <w:widowControl/>
        <w:numPr>
          <w:ilvl w:val="0"/>
          <w:numId w:val="20"/>
        </w:numPr>
        <w:spacing w:after="0" w:line="300" w:lineRule="auto"/>
        <w:ind w:left="845" w:leftChars="0" w:firstLineChars="0" w:firstLine="480"/>
        <w:jc w:val="left"/>
        <w:textAlignment w:val="center"/>
        <w:rPr>
          <w:rFonts w:hint="eastAsia" w:ascii="Times New Roman" w:hAnsi="Times New Roman" w:eastAsia="宋体" w:cs="Times New Roman"/>
          <w:szCs w:val="18"/>
          <w:lang w:val="en-US" w:eastAsia="zh-CN"/>
          <w14:ligatures w14:val="none"/>
        </w:rPr>
      </w:pPr>
      <w:r>
        <w:rPr>
          <w:rFonts w:hint="eastAsia" w:ascii="仿宋" w:hAnsi="仿宋" w:eastAsia="仿宋" w:cs="Times New Roman"/>
          <w:b w:val="0"/>
          <w:sz w:val="24"/>
          <w:szCs w:val="18"/>
          <w:lang w:val="en-US" w:eastAsia="zh-CN"/>
          <w14:ligatures w14:val="none"/>
        </w:rPr>
        <w:t>定期跟踪服务可包括巡检、运行状态回访、问题统计、版本维护建议、培训补强和服务记录归档，具体频次、方式和报告格式需人工确认。</w:t>
      </w: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Helvetica">
    <w:altName w:val="Arial"/>
    <w:panose1 w:val="020B0604020202020204"/>
    <w:charset w:val="00"/>
    <w:family w:val="swiss"/>
    <w:pitch w:val="default"/>
    <w:sig w:usb0="00000000" w:usb1="00000000" w:usb2="00000009" w:usb3="00000000" w:csb0="000001FF" w:csb1="00000000"/>
  </w:font>
  <w:font w:name="Microsoft JhengHei UI">
    <w:panose1 w:val="020B0604030504040204"/>
    <w:charset w:val="88"/>
    <w:family w:val="swiss"/>
    <w:pitch w:val="default"/>
    <w:sig w:usb0="000002A7" w:usb1="28CF4400" w:usb2="00000016" w:usb3="00000000" w:csb0="00100009"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dobe 宋体 Std L">
    <w:panose1 w:val="02020300000000000000"/>
    <w:charset w:val="86"/>
    <w:family w:val="roman"/>
    <w:pitch w:val="default"/>
    <w:sig w:usb0="00000001" w:usb1="0A0F1810" w:usb2="00000016" w:usb3="00000000" w:csb0="00060007"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F9C3B">
    <w:pPr>
      <w:pStyle w:val="17"/>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4389D5">
                          <w:pPr>
                            <w:pStyle w:val="1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324389D5">
                    <w:pPr>
                      <w:pStyle w:val="17"/>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5EC89">
    <w:pPr>
      <w:pStyle w:val="17"/>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F38CD7">
                          <w:pPr>
                            <w:pStyle w:val="17"/>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27F38CD7">
                    <w:pPr>
                      <w:pStyle w:val="17"/>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934965">
    <w:pPr>
      <w:pStyle w:val="17"/>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8C3E0C">
                          <w:pPr>
                            <w:pStyle w:val="17"/>
                          </w:pPr>
                          <w:r>
                            <w:t xml:space="preserve">第 </w:t>
                          </w:r>
                          <w:r>
                            <w:fldChar w:fldCharType="begin"/>
                          </w:r>
                          <w:r>
                            <w:instrText xml:space="preserve"> PAGE  \* MERGEFORMAT </w:instrText>
                          </w:r>
                          <w:r>
                            <w:fldChar w:fldCharType="separate"/>
                          </w:r>
                          <w:r>
                            <w:t>4</w:t>
                          </w:r>
                          <w:r>
                            <w:fldChar w:fldCharType="end"/>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478C3E0C">
                    <w:pPr>
                      <w:pStyle w:val="17"/>
                    </w:pPr>
                    <w:r>
                      <w:t xml:space="preserve">第 </w:t>
                    </w:r>
                    <w:r>
                      <w:fldChar w:fldCharType="begin"/>
                    </w:r>
                    <w:r>
                      <w:instrText xml:space="preserve"> PAGE  \* MERGEFORMAT </w:instrText>
                    </w:r>
                    <w:r>
                      <w:fldChar w:fldCharType="separate"/>
                    </w:r>
                    <w:r>
                      <w:t>4</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21F02A">
    <w:pPr>
      <w:pStyle w:val="18"/>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E71A1E"/>
    <w:multiLevelType w:val="singleLevel"/>
    <w:tmpl w:val="A1E71A1E"/>
    <w:lvl w:ilvl="0" w:tentative="0">
      <w:start w:val="1"/>
      <w:numFmt w:val="decimal"/>
      <w:lvlText w:val="%1."/>
      <w:lvlJc w:val="left"/>
      <w:pPr>
        <w:tabs>
          <w:tab w:val="left" w:pos="420"/>
        </w:tabs>
        <w:ind w:left="845" w:hanging="425"/>
      </w:pPr>
      <w:rPr>
        <w:rFonts w:hint="default"/>
      </w:rPr>
    </w:lvl>
  </w:abstractNum>
  <w:abstractNum w:abstractNumId="1">
    <w:nsid w:val="A56C1EE8"/>
    <w:multiLevelType w:val="singleLevel"/>
    <w:tmpl w:val="A56C1EE8"/>
    <w:lvl w:ilvl="0" w:tentative="0">
      <w:start w:val="1"/>
      <w:numFmt w:val="decimal"/>
      <w:suff w:val="nothing"/>
      <w:lvlText w:val="%1."/>
      <w:lvlJc w:val="left"/>
      <w:pPr>
        <w:ind w:left="454" w:leftChars="0" w:hanging="454" w:firstLineChars="0"/>
      </w:pPr>
      <w:rPr>
        <w:rFonts w:hint="default"/>
      </w:rPr>
    </w:lvl>
  </w:abstractNum>
  <w:abstractNum w:abstractNumId="2">
    <w:nsid w:val="B7823A04"/>
    <w:multiLevelType w:val="singleLevel"/>
    <w:tmpl w:val="B7823A04"/>
    <w:lvl w:ilvl="0" w:tentative="0">
      <w:start w:val="1"/>
      <w:numFmt w:val="decimal"/>
      <w:lvlText w:val="%1."/>
      <w:lvlJc w:val="left"/>
      <w:pPr>
        <w:tabs>
          <w:tab w:val="left" w:pos="420"/>
        </w:tabs>
        <w:ind w:left="845" w:hanging="425"/>
      </w:pPr>
      <w:rPr>
        <w:rFonts w:hint="default"/>
      </w:rPr>
    </w:lvl>
  </w:abstractNum>
  <w:abstractNum w:abstractNumId="3">
    <w:nsid w:val="124CC255"/>
    <w:multiLevelType w:val="singleLevel"/>
    <w:tmpl w:val="124CC255"/>
    <w:lvl w:ilvl="0" w:tentative="0">
      <w:start w:val="1"/>
      <w:numFmt w:val="decimal"/>
      <w:suff w:val="nothing"/>
      <w:lvlText w:val="（%1）"/>
      <w:lvlJc w:val="left"/>
    </w:lvl>
  </w:abstractNum>
  <w:abstractNum w:abstractNumId="4">
    <w:nsid w:val="1B6A587E"/>
    <w:multiLevelType w:val="multilevel"/>
    <w:tmpl w:val="1B6A587E"/>
    <w:lvl w:ilvl="0" w:tentative="0">
      <w:start w:val="1"/>
      <w:numFmt w:val="none"/>
      <w:pStyle w:val="33"/>
      <w:lvlText w:val="%1（规范性附录）"/>
      <w:lvlJc w:val="left"/>
      <w:pPr>
        <w:tabs>
          <w:tab w:val="left" w:pos="2027"/>
        </w:tabs>
        <w:ind w:left="0" w:firstLine="227"/>
      </w:pPr>
      <w:rPr>
        <w:rFonts w:hint="default" w:ascii="Times New Roman" w:hAnsi="Times New Roman" w:eastAsia="黑体"/>
        <w:b w:val="0"/>
        <w:i w:val="0"/>
        <w:sz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1F0707B9"/>
    <w:multiLevelType w:val="multilevel"/>
    <w:tmpl w:val="1F0707B9"/>
    <w:lvl w:ilvl="0" w:tentative="0">
      <w:start w:val="1"/>
      <w:numFmt w:val="decimal"/>
      <w:lvlText w:val="图%1"/>
      <w:lvlJc w:val="left"/>
      <w:pPr>
        <w:ind w:left="4020" w:hanging="420"/>
      </w:pPr>
      <w:rPr>
        <w:rFonts w:hint="default" w:ascii="黑体" w:hAnsi="黑体" w:eastAsia="黑体"/>
        <w:b w:val="0"/>
        <w:bCs w:val="0"/>
        <w:sz w:val="24"/>
        <w:szCs w:val="24"/>
      </w:rPr>
    </w:lvl>
    <w:lvl w:ilvl="1" w:tentative="0">
      <w:start w:val="1"/>
      <w:numFmt w:val="lowerLetter"/>
      <w:lvlText w:val="%2)"/>
      <w:lvlJc w:val="left"/>
      <w:pPr>
        <w:ind w:left="3780" w:hanging="420"/>
      </w:pPr>
    </w:lvl>
    <w:lvl w:ilvl="2" w:tentative="0">
      <w:start w:val="1"/>
      <w:numFmt w:val="lowerRoman"/>
      <w:lvlText w:val="%3."/>
      <w:lvlJc w:val="right"/>
      <w:pPr>
        <w:ind w:left="4200" w:hanging="420"/>
      </w:pPr>
    </w:lvl>
    <w:lvl w:ilvl="3" w:tentative="0">
      <w:start w:val="1"/>
      <w:numFmt w:val="decimal"/>
      <w:lvlText w:val="%4."/>
      <w:lvlJc w:val="left"/>
      <w:pPr>
        <w:ind w:left="4620" w:hanging="420"/>
      </w:pPr>
    </w:lvl>
    <w:lvl w:ilvl="4" w:tentative="0">
      <w:start w:val="1"/>
      <w:numFmt w:val="lowerLetter"/>
      <w:lvlText w:val="%5)"/>
      <w:lvlJc w:val="left"/>
      <w:pPr>
        <w:ind w:left="5040" w:hanging="420"/>
      </w:pPr>
    </w:lvl>
    <w:lvl w:ilvl="5" w:tentative="0">
      <w:start w:val="1"/>
      <w:numFmt w:val="lowerRoman"/>
      <w:lvlText w:val="%6."/>
      <w:lvlJc w:val="right"/>
      <w:pPr>
        <w:ind w:left="5460" w:hanging="420"/>
      </w:pPr>
    </w:lvl>
    <w:lvl w:ilvl="6" w:tentative="0">
      <w:start w:val="1"/>
      <w:numFmt w:val="decimal"/>
      <w:lvlText w:val="%7."/>
      <w:lvlJc w:val="left"/>
      <w:pPr>
        <w:ind w:left="5880" w:hanging="420"/>
      </w:pPr>
    </w:lvl>
    <w:lvl w:ilvl="7" w:tentative="0">
      <w:start w:val="1"/>
      <w:numFmt w:val="lowerLetter"/>
      <w:lvlText w:val="%8)"/>
      <w:lvlJc w:val="left"/>
      <w:pPr>
        <w:ind w:left="6300" w:hanging="420"/>
      </w:pPr>
    </w:lvl>
    <w:lvl w:ilvl="8" w:tentative="0">
      <w:start w:val="1"/>
      <w:numFmt w:val="lowerRoman"/>
      <w:lvlText w:val="%9."/>
      <w:lvlJc w:val="right"/>
      <w:pPr>
        <w:ind w:left="6720" w:hanging="420"/>
      </w:pPr>
    </w:lvl>
  </w:abstractNum>
  <w:abstractNum w:abstractNumId="6">
    <w:nsid w:val="23537A1C"/>
    <w:multiLevelType w:val="multilevel"/>
    <w:tmpl w:val="23537A1C"/>
    <w:lvl w:ilvl="0" w:tentative="0">
      <w:start w:val="1"/>
      <w:numFmt w:val="upperLetter"/>
      <w:pStyle w:val="79"/>
      <w:suff w:val="nothing"/>
      <w:lvlText w:val="附 录 %1"/>
      <w:lvlJc w:val="left"/>
      <w:pPr>
        <w:ind w:left="0" w:firstLine="0"/>
      </w:pPr>
      <w:rPr>
        <w:rFonts w:hint="eastAsia" w:ascii="黑体" w:hAnsi="Times New Roman" w:eastAsia="黑体"/>
        <w:b w:val="0"/>
        <w:i w:val="0"/>
        <w:sz w:val="24"/>
        <w:szCs w:val="24"/>
      </w:rPr>
    </w:lvl>
    <w:lvl w:ilvl="1" w:tentative="0">
      <w:start w:val="1"/>
      <w:numFmt w:val="decimal"/>
      <w:pStyle w:val="80"/>
      <w:suff w:val="nothing"/>
      <w:lvlText w:val="%1.%2　"/>
      <w:lvlJc w:val="left"/>
      <w:pPr>
        <w:ind w:left="3261" w:firstLine="0"/>
      </w:pPr>
      <w:rPr>
        <w:rFonts w:hint="eastAsia" w:ascii="黑体" w:hAnsi="Times New Roman" w:eastAsia="黑体"/>
        <w:b w:val="0"/>
        <w:i w:val="0"/>
        <w:snapToGrid/>
        <w:spacing w:val="0"/>
        <w:w w:val="100"/>
        <w:kern w:val="21"/>
        <w:sz w:val="24"/>
        <w:szCs w:val="24"/>
      </w:rPr>
    </w:lvl>
    <w:lvl w:ilvl="2" w:tentative="0">
      <w:start w:val="1"/>
      <w:numFmt w:val="decimal"/>
      <w:pStyle w:val="78"/>
      <w:suff w:val="nothing"/>
      <w:lvlText w:val="%1.%2.%3　"/>
      <w:lvlJc w:val="left"/>
      <w:pPr>
        <w:ind w:left="0" w:firstLine="0"/>
      </w:pPr>
      <w:rPr>
        <w:rFonts w:hint="eastAsia" w:ascii="黑体" w:hAnsi="Times New Roman" w:eastAsia="黑体"/>
        <w:b w:val="0"/>
        <w:i w:val="0"/>
        <w:sz w:val="21"/>
      </w:rPr>
    </w:lvl>
    <w:lvl w:ilvl="3" w:tentative="0">
      <w:start w:val="1"/>
      <w:numFmt w:val="decimal"/>
      <w:pStyle w:val="81"/>
      <w:suff w:val="nothing"/>
      <w:lvlText w:val="%1.%2.%3.%4　"/>
      <w:lvlJc w:val="left"/>
      <w:pPr>
        <w:ind w:left="0" w:firstLine="0"/>
      </w:pPr>
      <w:rPr>
        <w:rFonts w:hint="eastAsia" w:ascii="黑体" w:hAnsi="Times New Roman" w:eastAsia="黑体"/>
        <w:b w:val="0"/>
        <w:i w:val="0"/>
        <w:sz w:val="21"/>
      </w:rPr>
    </w:lvl>
    <w:lvl w:ilvl="4" w:tentative="0">
      <w:start w:val="1"/>
      <w:numFmt w:val="decimal"/>
      <w:pStyle w:val="82"/>
      <w:suff w:val="nothing"/>
      <w:lvlText w:val="%1.%2.%3.%4.%5　"/>
      <w:lvlJc w:val="left"/>
      <w:pPr>
        <w:ind w:left="0" w:firstLine="0"/>
      </w:pPr>
      <w:rPr>
        <w:rFonts w:hint="eastAsia" w:ascii="黑体" w:hAnsi="Times New Roman" w:eastAsia="黑体"/>
        <w:b w:val="0"/>
        <w:i w:val="0"/>
        <w:sz w:val="21"/>
      </w:rPr>
    </w:lvl>
    <w:lvl w:ilvl="5" w:tentative="0">
      <w:start w:val="1"/>
      <w:numFmt w:val="decimal"/>
      <w:pStyle w:val="83"/>
      <w:suff w:val="nothing"/>
      <w:lvlText w:val="%1.%2.%3.%4.%5.%6　"/>
      <w:lvlJc w:val="left"/>
      <w:pPr>
        <w:ind w:left="0" w:firstLine="0"/>
      </w:pPr>
      <w:rPr>
        <w:rFonts w:hint="eastAsia" w:ascii="黑体" w:hAnsi="Times New Roman" w:eastAsia="黑体"/>
        <w:b w:val="0"/>
        <w:i w:val="0"/>
        <w:sz w:val="21"/>
      </w:rPr>
    </w:lvl>
    <w:lvl w:ilvl="6" w:tentative="0">
      <w:start w:val="1"/>
      <w:numFmt w:val="decimal"/>
      <w:pStyle w:val="84"/>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7">
    <w:nsid w:val="496E4D7B"/>
    <w:multiLevelType w:val="multilevel"/>
    <w:tmpl w:val="496E4D7B"/>
    <w:lvl w:ilvl="0" w:tentative="0">
      <w:start w:val="1"/>
      <w:numFmt w:val="none"/>
      <w:pStyle w:val="58"/>
      <w:lvlText w:val="%1注"/>
      <w:lvlJc w:val="left"/>
      <w:pPr>
        <w:tabs>
          <w:tab w:val="left" w:pos="1021"/>
        </w:tabs>
        <w:ind w:left="1021" w:hanging="601"/>
      </w:pPr>
      <w:rPr>
        <w:rFonts w:hint="eastAsia" w:ascii="宋体" w:hAnsi="Times New Roman" w:eastAsia="宋体"/>
        <w:b w:val="0"/>
        <w:i w:val="0"/>
        <w:sz w:val="21"/>
      </w:rPr>
    </w:lvl>
    <w:lvl w:ilvl="1" w:tentative="0">
      <w:start w:val="1"/>
      <w:numFmt w:val="lowerLetter"/>
      <w:lvlText w:val="%2)"/>
      <w:lvlJc w:val="left"/>
      <w:pPr>
        <w:tabs>
          <w:tab w:val="left" w:pos="780"/>
        </w:tabs>
        <w:ind w:left="780" w:hanging="360"/>
      </w:pPr>
      <w:rPr>
        <w:rFonts w:hint="eastAsia"/>
      </w:rPr>
    </w:lvl>
    <w:lvl w:ilvl="2" w:tentative="0">
      <w:start w:val="1"/>
      <w:numFmt w:val="decimal"/>
      <w:lvlText w:val="%3)"/>
      <w:lvlJc w:val="left"/>
      <w:pPr>
        <w:tabs>
          <w:tab w:val="left" w:pos="1200"/>
        </w:tabs>
        <w:ind w:left="1200" w:hanging="360"/>
      </w:pPr>
      <w:rPr>
        <w:rFonts w:hint="eastAsia"/>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52737981"/>
    <w:multiLevelType w:val="singleLevel"/>
    <w:tmpl w:val="52737981"/>
    <w:lvl w:ilvl="0" w:tentative="0">
      <w:start w:val="1"/>
      <w:numFmt w:val="decimal"/>
      <w:lvlText w:val="(%1)"/>
      <w:lvlJc w:val="left"/>
      <w:pPr>
        <w:tabs>
          <w:tab w:val="left" w:pos="420"/>
        </w:tabs>
        <w:ind w:left="845" w:hanging="425"/>
      </w:pPr>
      <w:rPr>
        <w:rFonts w:hint="default"/>
      </w:rPr>
    </w:lvl>
  </w:abstractNum>
  <w:abstractNum w:abstractNumId="9">
    <w:nsid w:val="557C2AF5"/>
    <w:multiLevelType w:val="multilevel"/>
    <w:tmpl w:val="557C2AF5"/>
    <w:lvl w:ilvl="0" w:tentative="0">
      <w:start w:val="1"/>
      <w:numFmt w:val="decimal"/>
      <w:pStyle w:val="56"/>
      <w:suff w:val="nothing"/>
      <w:lvlText w:val="图%1　"/>
      <w:lvlJc w:val="left"/>
      <w:pPr>
        <w:ind w:left="0" w:firstLine="0"/>
      </w:pPr>
      <w:rPr>
        <w:rFonts w:hint="eastAsia" w:ascii="黑体" w:hAnsi="Times New Roman" w:eastAsia="黑体"/>
        <w:b w:val="0"/>
        <w:i w:val="0"/>
        <w:sz w:val="21"/>
      </w:rPr>
    </w:lvl>
    <w:lvl w:ilvl="1" w:tentative="0">
      <w:start w:val="1"/>
      <w:numFmt w:val="decimal"/>
      <w:suff w:val="nothing"/>
      <w:lvlText w:val="%1%2　"/>
      <w:lvlJc w:val="left"/>
      <w:pPr>
        <w:ind w:left="0" w:firstLine="0"/>
      </w:pPr>
      <w:rPr>
        <w:rFonts w:hint="default" w:ascii="Times New Roman" w:hAnsi="Times New Roman" w:eastAsia="黑体"/>
        <w:b w:val="0"/>
        <w:i w:val="0"/>
        <w:sz w:val="21"/>
      </w:rPr>
    </w:lvl>
    <w:lvl w:ilvl="2" w:tentative="0">
      <w:start w:val="1"/>
      <w:numFmt w:val="decimal"/>
      <w:suff w:val="nothing"/>
      <w:lvlText w:val="%1%2.%3　"/>
      <w:lvlJc w:val="left"/>
      <w:pPr>
        <w:ind w:left="0" w:firstLine="0"/>
      </w:pPr>
      <w:rPr>
        <w:rFonts w:hint="default" w:ascii="Times New Roman" w:hAnsi="Times New Roman" w:eastAsia="黑体"/>
        <w:b w:val="0"/>
        <w:i w:val="0"/>
        <w:sz w:val="21"/>
      </w:rPr>
    </w:lvl>
    <w:lvl w:ilvl="3" w:tentative="0">
      <w:start w:val="1"/>
      <w:numFmt w:val="decimal"/>
      <w:suff w:val="nothing"/>
      <w:lvlText w:val="%1%2.%3.%4　"/>
      <w:lvlJc w:val="left"/>
      <w:pPr>
        <w:ind w:left="0" w:firstLine="0"/>
      </w:pPr>
      <w:rPr>
        <w:rFonts w:hint="default" w:ascii="Times New Roman" w:hAnsi="Times New Roman" w:eastAsia="黑体"/>
        <w:b w:val="0"/>
        <w:i w:val="0"/>
        <w:sz w:val="21"/>
      </w:rPr>
    </w:lvl>
    <w:lvl w:ilvl="4" w:tentative="0">
      <w:start w:val="1"/>
      <w:numFmt w:val="decimal"/>
      <w:suff w:val="nothing"/>
      <w:lvlText w:val="%1%2.%3.%4.%5　"/>
      <w:lvlJc w:val="left"/>
      <w:pPr>
        <w:ind w:left="0" w:firstLine="0"/>
      </w:pPr>
      <w:rPr>
        <w:rFonts w:hint="default" w:ascii="Times New Roman" w:hAnsi="Times New Roman" w:eastAsia="黑体"/>
        <w:b w:val="0"/>
        <w:i w:val="0"/>
        <w:sz w:val="21"/>
      </w:rPr>
    </w:lvl>
    <w:lvl w:ilvl="5" w:tentative="0">
      <w:start w:val="1"/>
      <w:numFmt w:val="decimal"/>
      <w:suff w:val="nothing"/>
      <w:lvlText w:val="%1%2.%3.%4.%5.%6　"/>
      <w:lvlJc w:val="left"/>
      <w:pPr>
        <w:ind w:left="0" w:firstLine="0"/>
      </w:pPr>
      <w:rPr>
        <w:rFonts w:hint="default" w:ascii="Times New Roman" w:hAnsi="Times New Roman" w:eastAsia="黑体"/>
        <w:b w:val="0"/>
        <w:i w:val="0"/>
        <w:sz w:val="21"/>
      </w:rPr>
    </w:lvl>
    <w:lvl w:ilvl="6" w:tentative="0">
      <w:start w:val="1"/>
      <w:numFmt w:val="decimal"/>
      <w:suff w:val="nothing"/>
      <w:lvlText w:val="%1%2.%3.%4.%5.%6.%7　"/>
      <w:lvlJc w:val="left"/>
      <w:pPr>
        <w:ind w:left="0" w:firstLine="0"/>
      </w:pPr>
      <w:rPr>
        <w:rFonts w:hint="default" w:ascii="Times New Roman" w:hAnsi="Times New Roman"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10">
    <w:nsid w:val="59DDB0AE"/>
    <w:multiLevelType w:val="singleLevel"/>
    <w:tmpl w:val="59DDB0AE"/>
    <w:lvl w:ilvl="0" w:tentative="0">
      <w:start w:val="1"/>
      <w:numFmt w:val="decimal"/>
      <w:lvlText w:val="表%1."/>
      <w:lvlJc w:val="left"/>
      <w:pPr>
        <w:tabs>
          <w:tab w:val="left" w:pos="420"/>
        </w:tabs>
        <w:ind w:left="425" w:leftChars="0" w:hanging="425" w:firstLineChars="0"/>
      </w:pPr>
      <w:rPr>
        <w:rFonts w:hint="default"/>
      </w:rPr>
    </w:lvl>
  </w:abstractNum>
  <w:abstractNum w:abstractNumId="11">
    <w:nsid w:val="5D9C66AD"/>
    <w:multiLevelType w:val="multilevel"/>
    <w:tmpl w:val="5D9C66AD"/>
    <w:lvl w:ilvl="0" w:tentative="0">
      <w:start w:val="1"/>
      <w:numFmt w:val="none"/>
      <w:pStyle w:val="35"/>
      <w:lvlText w:val="（资料性附录）"/>
      <w:lvlJc w:val="left"/>
      <w:pPr>
        <w:tabs>
          <w:tab w:val="left" w:pos="2027"/>
        </w:tabs>
        <w:ind w:left="0" w:firstLine="227"/>
      </w:pPr>
      <w:rPr>
        <w:rFonts w:hint="default" w:ascii="Times New Roman" w:hAnsi="Times New Roman" w:eastAsia="黑体"/>
        <w:b w:val="0"/>
        <w:i w:val="0"/>
        <w:sz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2">
    <w:nsid w:val="605607F0"/>
    <w:multiLevelType w:val="multilevel"/>
    <w:tmpl w:val="605607F0"/>
    <w:lvl w:ilvl="0" w:tentative="0">
      <w:start w:val="1"/>
      <w:numFmt w:val="decimal"/>
      <w:lvlText w:val="%1"/>
      <w:lvlJc w:val="left"/>
      <w:pPr>
        <w:ind w:left="-560" w:hanging="440"/>
      </w:pPr>
      <w:rPr>
        <w:rFonts w:hint="default" w:ascii="Times New Roman" w:hAnsi="Times New Roman" w:eastAsia="Adobe 宋体 Std L"/>
        <w:sz w:val="28"/>
      </w:rPr>
    </w:lvl>
    <w:lvl w:ilvl="1" w:tentative="0">
      <w:start w:val="1"/>
      <w:numFmt w:val="lowerLetter"/>
      <w:lvlText w:val="%2)"/>
      <w:lvlJc w:val="left"/>
      <w:pPr>
        <w:ind w:left="-120" w:hanging="440"/>
      </w:pPr>
    </w:lvl>
    <w:lvl w:ilvl="2" w:tentative="0">
      <w:start w:val="1"/>
      <w:numFmt w:val="lowerRoman"/>
      <w:lvlText w:val="%3."/>
      <w:lvlJc w:val="right"/>
      <w:pPr>
        <w:ind w:left="320" w:hanging="440"/>
      </w:pPr>
    </w:lvl>
    <w:lvl w:ilvl="3" w:tentative="0">
      <w:start w:val="1"/>
      <w:numFmt w:val="decimal"/>
      <w:lvlText w:val="%4."/>
      <w:lvlJc w:val="left"/>
      <w:pPr>
        <w:ind w:left="760" w:hanging="440"/>
      </w:pPr>
    </w:lvl>
    <w:lvl w:ilvl="4" w:tentative="0">
      <w:start w:val="1"/>
      <w:numFmt w:val="lowerLetter"/>
      <w:lvlText w:val="%5)"/>
      <w:lvlJc w:val="left"/>
      <w:pPr>
        <w:ind w:left="1200" w:hanging="440"/>
      </w:pPr>
    </w:lvl>
    <w:lvl w:ilvl="5" w:tentative="0">
      <w:start w:val="1"/>
      <w:numFmt w:val="lowerRoman"/>
      <w:lvlText w:val="%6."/>
      <w:lvlJc w:val="right"/>
      <w:pPr>
        <w:ind w:left="1640" w:hanging="440"/>
      </w:pPr>
    </w:lvl>
    <w:lvl w:ilvl="6" w:tentative="0">
      <w:start w:val="1"/>
      <w:numFmt w:val="decimal"/>
      <w:lvlText w:val="%7."/>
      <w:lvlJc w:val="left"/>
      <w:pPr>
        <w:ind w:left="2080" w:hanging="440"/>
      </w:pPr>
    </w:lvl>
    <w:lvl w:ilvl="7" w:tentative="0">
      <w:start w:val="1"/>
      <w:numFmt w:val="lowerLetter"/>
      <w:lvlText w:val="%8)"/>
      <w:lvlJc w:val="left"/>
      <w:pPr>
        <w:ind w:left="2520" w:hanging="440"/>
      </w:pPr>
    </w:lvl>
    <w:lvl w:ilvl="8" w:tentative="0">
      <w:start w:val="1"/>
      <w:numFmt w:val="lowerRoman"/>
      <w:lvlText w:val="%9."/>
      <w:lvlJc w:val="right"/>
      <w:pPr>
        <w:ind w:left="2960" w:hanging="440"/>
      </w:pPr>
    </w:lvl>
  </w:abstractNum>
  <w:abstractNum w:abstractNumId="13">
    <w:nsid w:val="626A555D"/>
    <w:multiLevelType w:val="multilevel"/>
    <w:tmpl w:val="626A555D"/>
    <w:lvl w:ilvl="0" w:tentative="0">
      <w:start w:val="1"/>
      <w:numFmt w:val="none"/>
      <w:pStyle w:val="49"/>
      <w:lvlText w:val="%1目        次"/>
      <w:lvlJc w:val="left"/>
      <w:pPr>
        <w:tabs>
          <w:tab w:val="left" w:pos="1667"/>
        </w:tabs>
        <w:ind w:left="0" w:firstLine="227"/>
      </w:pPr>
      <w:rPr>
        <w:rFonts w:hint="default" w:ascii="Times New Roman" w:hAnsi="Times New Roman" w:eastAsia="黑体"/>
        <w:b w:val="0"/>
        <w:i w:val="0"/>
        <w:sz w:val="32"/>
      </w:rPr>
    </w:lvl>
    <w:lvl w:ilvl="1" w:tentative="0">
      <w:start w:val="1"/>
      <w:numFmt w:val="lowerLetter"/>
      <w:lvlText w:val="%2)"/>
      <w:lvlJc w:val="left"/>
      <w:pPr>
        <w:tabs>
          <w:tab w:val="left" w:pos="780"/>
        </w:tabs>
        <w:ind w:left="780" w:hanging="360"/>
      </w:pPr>
      <w:rPr>
        <w:rFonts w:hint="eastAsia"/>
      </w:rPr>
    </w:lvl>
    <w:lvl w:ilvl="2" w:tentative="0">
      <w:start w:val="1"/>
      <w:numFmt w:val="decimal"/>
      <w:lvlText w:val="%3)"/>
      <w:lvlJc w:val="left"/>
      <w:pPr>
        <w:tabs>
          <w:tab w:val="left" w:pos="1200"/>
        </w:tabs>
        <w:ind w:left="1200" w:hanging="360"/>
      </w:pPr>
      <w:rPr>
        <w:rFonts w:hint="eastAsia"/>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4">
    <w:nsid w:val="646260FA"/>
    <w:multiLevelType w:val="multilevel"/>
    <w:tmpl w:val="646260FA"/>
    <w:lvl w:ilvl="0" w:tentative="0">
      <w:start w:val="1"/>
      <w:numFmt w:val="decimal"/>
      <w:pStyle w:val="55"/>
      <w:suff w:val="nothing"/>
      <w:lvlText w:val="表%1　"/>
      <w:lvlJc w:val="left"/>
      <w:pPr>
        <w:ind w:left="0" w:firstLine="0"/>
      </w:pPr>
      <w:rPr>
        <w:rFonts w:hint="eastAsia" w:ascii="黑体" w:hAnsi="Times New Roman" w:eastAsia="黑体"/>
        <w:b w:val="0"/>
        <w:i w:val="0"/>
        <w:sz w:val="21"/>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418"/>
        </w:tabs>
        <w:ind w:left="1418" w:hanging="567"/>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5">
    <w:nsid w:val="649A69AA"/>
    <w:multiLevelType w:val="multilevel"/>
    <w:tmpl w:val="649A69AA"/>
    <w:lvl w:ilvl="0" w:tentative="0">
      <w:start w:val="1"/>
      <w:numFmt w:val="decimal"/>
      <w:lvlText w:val="%1."/>
      <w:lvlJc w:val="left"/>
      <w:pPr>
        <w:ind w:left="432" w:hanging="432"/>
      </w:pPr>
      <w:rPr>
        <w:rFonts w:hint="default" w:ascii="黑体" w:hAnsi="黑体" w:eastAsia="黑体" w:cs="黑体"/>
        <w:sz w:val="30"/>
        <w:szCs w:val="30"/>
      </w:rPr>
    </w:lvl>
    <w:lvl w:ilvl="1" w:tentative="0">
      <w:start w:val="1"/>
      <w:numFmt w:val="decimal"/>
      <w:lvlText w:val="%1.%2."/>
      <w:lvlJc w:val="left"/>
      <w:pPr>
        <w:ind w:left="575" w:hanging="575"/>
      </w:pPr>
      <w:rPr>
        <w:rFonts w:hint="default" w:ascii="黑体" w:hAnsi="黑体" w:eastAsia="黑体" w:cs="黑体"/>
      </w:rPr>
    </w:lvl>
    <w:lvl w:ilvl="2" w:tentative="0">
      <w:start w:val="1"/>
      <w:numFmt w:val="decimal"/>
      <w:lvlText w:val="%1.%2.%3."/>
      <w:lvlJc w:val="left"/>
      <w:pPr>
        <w:ind w:left="720" w:hanging="720"/>
      </w:pPr>
      <w:rPr>
        <w:rFonts w:hint="default" w:ascii="黑体" w:hAnsi="黑体" w:eastAsia="黑体" w:cs="黑体"/>
      </w:rPr>
    </w:lvl>
    <w:lvl w:ilvl="3" w:tentative="0">
      <w:start w:val="1"/>
      <w:numFmt w:val="decimal"/>
      <w:lvlText w:val="%1.%2.%3.%4."/>
      <w:lvlJc w:val="left"/>
      <w:pPr>
        <w:ind w:left="0" w:firstLine="0"/>
      </w:pPr>
      <w:rPr>
        <w:rFonts w:hint="default" w:ascii="黑体" w:hAnsi="黑体" w:eastAsia="黑体" w:cs="黑体"/>
        <w:b w:val="0"/>
        <w:bCs w:val="0"/>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1" w:hanging="1151"/>
      </w:pPr>
      <w:rPr>
        <w:rFonts w:hint="default"/>
      </w:rPr>
    </w:lvl>
    <w:lvl w:ilvl="6" w:tentative="0">
      <w:start w:val="1"/>
      <w:numFmt w:val="decimal"/>
      <w:lvlText w:val="%1.%2.%3.%4.%5.%6.%7."/>
      <w:lvlJc w:val="left"/>
      <w:pPr>
        <w:ind w:left="1296" w:hanging="1296"/>
      </w:pPr>
      <w:rPr>
        <w:rFonts w:hint="default" w:ascii="黑体" w:hAnsi="黑体" w:eastAsia="黑体" w:cs="黑体"/>
        <w:b w:val="0"/>
        <w:bCs w:val="0"/>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3" w:hanging="1583"/>
      </w:pPr>
      <w:rPr>
        <w:rFonts w:hint="default"/>
      </w:rPr>
    </w:lvl>
  </w:abstractNum>
  <w:abstractNum w:abstractNumId="16">
    <w:nsid w:val="657D3FBC"/>
    <w:multiLevelType w:val="multilevel"/>
    <w:tmpl w:val="657D3FBC"/>
    <w:lvl w:ilvl="0" w:tentative="0">
      <w:start w:val="1"/>
      <w:numFmt w:val="upperLetter"/>
      <w:pStyle w:val="36"/>
      <w:suff w:val="nothing"/>
      <w:lvlText w:val="附　录　%1"/>
      <w:lvlJc w:val="left"/>
      <w:pPr>
        <w:ind w:left="0" w:firstLine="0"/>
      </w:pPr>
      <w:rPr>
        <w:rFonts w:hint="eastAsia" w:ascii="黑体" w:hAnsi="Times New Roman" w:eastAsia="黑体"/>
        <w:b w:val="0"/>
        <w:i w:val="0"/>
        <w:sz w:val="24"/>
      </w:rPr>
    </w:lvl>
    <w:lvl w:ilvl="1" w:tentative="0">
      <w:start w:val="1"/>
      <w:numFmt w:val="decimal"/>
      <w:pStyle w:val="38"/>
      <w:suff w:val="nothing"/>
      <w:lvlText w:val="%1.%2　"/>
      <w:lvlJc w:val="left"/>
      <w:pPr>
        <w:ind w:left="0" w:firstLine="0"/>
      </w:pPr>
      <w:rPr>
        <w:rFonts w:hint="default" w:ascii="Times New Roman" w:hAnsi="Times New Roman" w:eastAsia="黑体"/>
        <w:b w:val="0"/>
        <w:i w:val="0"/>
        <w:snapToGrid/>
        <w:spacing w:val="0"/>
        <w:w w:val="100"/>
        <w:kern w:val="21"/>
        <w:sz w:val="24"/>
      </w:rPr>
    </w:lvl>
    <w:lvl w:ilvl="2" w:tentative="0">
      <w:start w:val="1"/>
      <w:numFmt w:val="decimal"/>
      <w:pStyle w:val="39"/>
      <w:suff w:val="nothing"/>
      <w:lvlText w:val="%1.%2.%3　"/>
      <w:lvlJc w:val="left"/>
      <w:pPr>
        <w:ind w:left="0" w:firstLine="0"/>
      </w:pPr>
      <w:rPr>
        <w:rFonts w:hint="default" w:ascii="Times New Roman" w:hAnsi="Times New Roman" w:eastAsia="黑体"/>
        <w:b w:val="0"/>
        <w:i w:val="0"/>
        <w:sz w:val="24"/>
      </w:rPr>
    </w:lvl>
    <w:lvl w:ilvl="3" w:tentative="0">
      <w:start w:val="1"/>
      <w:numFmt w:val="decimal"/>
      <w:pStyle w:val="40"/>
      <w:suff w:val="nothing"/>
      <w:lvlText w:val="%1.%2.%3.%4　"/>
      <w:lvlJc w:val="left"/>
      <w:pPr>
        <w:ind w:left="0" w:firstLine="0"/>
      </w:pPr>
      <w:rPr>
        <w:rFonts w:hint="default" w:ascii="Times New Roman" w:hAnsi="Times New Roman" w:eastAsia="黑体"/>
        <w:b w:val="0"/>
        <w:i w:val="0"/>
        <w:sz w:val="24"/>
      </w:rPr>
    </w:lvl>
    <w:lvl w:ilvl="4" w:tentative="0">
      <w:start w:val="1"/>
      <w:numFmt w:val="decimal"/>
      <w:pStyle w:val="41"/>
      <w:suff w:val="nothing"/>
      <w:lvlText w:val="%1.%2.%3.%4.%5　"/>
      <w:lvlJc w:val="left"/>
      <w:pPr>
        <w:ind w:left="0" w:firstLine="0"/>
      </w:pPr>
      <w:rPr>
        <w:rFonts w:hint="default" w:ascii="Times New Roman" w:hAnsi="Times New Roman" w:eastAsia="黑体"/>
        <w:b w:val="0"/>
        <w:i w:val="0"/>
        <w:sz w:val="24"/>
      </w:rPr>
    </w:lvl>
    <w:lvl w:ilvl="5" w:tentative="0">
      <w:start w:val="1"/>
      <w:numFmt w:val="decimal"/>
      <w:pStyle w:val="42"/>
      <w:suff w:val="nothing"/>
      <w:lvlText w:val="%1.%2.%3.%4.%5.%6　"/>
      <w:lvlJc w:val="left"/>
      <w:pPr>
        <w:ind w:left="0" w:firstLine="0"/>
      </w:pPr>
      <w:rPr>
        <w:rFonts w:hint="default" w:ascii="Times New Roman" w:hAnsi="Times New Roman" w:eastAsia="黑体"/>
        <w:b w:val="0"/>
        <w:i w:val="0"/>
        <w:sz w:val="24"/>
      </w:rPr>
    </w:lvl>
    <w:lvl w:ilvl="6" w:tentative="0">
      <w:start w:val="1"/>
      <w:numFmt w:val="decimal"/>
      <w:pStyle w:val="44"/>
      <w:suff w:val="nothing"/>
      <w:lvlText w:val="%1.%2.%3.%4.%5.%6.%7　"/>
      <w:lvlJc w:val="left"/>
      <w:pPr>
        <w:ind w:left="0" w:firstLine="0"/>
      </w:pPr>
      <w:rPr>
        <w:rFonts w:hint="default" w:ascii="Times New Roman" w:hAnsi="Times New Roman" w:eastAsia="黑体"/>
        <w:b w:val="0"/>
        <w:i w:val="0"/>
        <w:sz w:val="24"/>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7">
    <w:nsid w:val="6CEA2025"/>
    <w:multiLevelType w:val="multilevel"/>
    <w:tmpl w:val="6CEA2025"/>
    <w:lvl w:ilvl="0" w:tentative="0">
      <w:start w:val="1"/>
      <w:numFmt w:val="none"/>
      <w:suff w:val="nothing"/>
      <w:lvlText w:val="%1"/>
      <w:lvlJc w:val="left"/>
      <w:pPr>
        <w:ind w:left="0" w:firstLine="0"/>
      </w:pPr>
      <w:rPr>
        <w:rFonts w:hint="default" w:ascii="Times New Roman" w:hAnsi="Times New Roman"/>
        <w:b/>
        <w:i w:val="0"/>
        <w:sz w:val="21"/>
      </w:rPr>
    </w:lvl>
    <w:lvl w:ilvl="1" w:tentative="0">
      <w:start w:val="1"/>
      <w:numFmt w:val="decimal"/>
      <w:pStyle w:val="46"/>
      <w:suff w:val="nothing"/>
      <w:lvlText w:val="%1%2　"/>
      <w:lvlJc w:val="left"/>
      <w:pPr>
        <w:ind w:left="0" w:firstLine="0"/>
      </w:pPr>
      <w:rPr>
        <w:rFonts w:hint="default" w:ascii="Times New Roman" w:hAnsi="Times New Roman" w:eastAsia="黑体"/>
        <w:b w:val="0"/>
        <w:i w:val="0"/>
        <w:sz w:val="24"/>
      </w:rPr>
    </w:lvl>
    <w:lvl w:ilvl="2" w:tentative="0">
      <w:start w:val="1"/>
      <w:numFmt w:val="decimal"/>
      <w:pStyle w:val="47"/>
      <w:suff w:val="nothing"/>
      <w:lvlText w:val="%1%2.%3　"/>
      <w:lvlJc w:val="left"/>
      <w:pPr>
        <w:ind w:left="0" w:firstLine="0"/>
      </w:pPr>
      <w:rPr>
        <w:rFonts w:hint="default" w:ascii="Times New Roman" w:hAnsi="Times New Roman" w:eastAsia="黑体"/>
        <w:b w:val="0"/>
        <w:i w:val="0"/>
        <w:sz w:val="24"/>
      </w:rPr>
    </w:lvl>
    <w:lvl w:ilvl="3" w:tentative="0">
      <w:start w:val="1"/>
      <w:numFmt w:val="decimal"/>
      <w:pStyle w:val="48"/>
      <w:suff w:val="nothing"/>
      <w:lvlText w:val="%1%2.%3.%4　"/>
      <w:lvlJc w:val="left"/>
      <w:pPr>
        <w:ind w:left="0" w:firstLine="0"/>
      </w:pPr>
      <w:rPr>
        <w:rFonts w:hint="default" w:ascii="Times New Roman" w:hAnsi="Times New Roman" w:eastAsia="黑体"/>
        <w:b w:val="0"/>
        <w:i w:val="0"/>
        <w:sz w:val="24"/>
      </w:rPr>
    </w:lvl>
    <w:lvl w:ilvl="4" w:tentative="0">
      <w:start w:val="1"/>
      <w:numFmt w:val="decimal"/>
      <w:pStyle w:val="50"/>
      <w:suff w:val="nothing"/>
      <w:lvlText w:val="%1%2.%3.%4.%5　"/>
      <w:lvlJc w:val="left"/>
      <w:pPr>
        <w:ind w:left="0" w:firstLine="0"/>
      </w:pPr>
      <w:rPr>
        <w:rFonts w:hint="default" w:ascii="Times New Roman" w:hAnsi="Times New Roman" w:eastAsia="黑体"/>
        <w:b w:val="0"/>
        <w:i w:val="0"/>
        <w:sz w:val="24"/>
      </w:rPr>
    </w:lvl>
    <w:lvl w:ilvl="5" w:tentative="0">
      <w:start w:val="1"/>
      <w:numFmt w:val="decimal"/>
      <w:pStyle w:val="52"/>
      <w:suff w:val="nothing"/>
      <w:lvlText w:val="%1%2.%3.%4.%5.%6　"/>
      <w:lvlJc w:val="left"/>
      <w:pPr>
        <w:ind w:left="0" w:firstLine="0"/>
      </w:pPr>
      <w:rPr>
        <w:rFonts w:hint="default" w:ascii="Times New Roman" w:hAnsi="Times New Roman" w:eastAsia="黑体"/>
        <w:b w:val="0"/>
        <w:i w:val="0"/>
        <w:sz w:val="24"/>
      </w:rPr>
    </w:lvl>
    <w:lvl w:ilvl="6" w:tentative="0">
      <w:start w:val="1"/>
      <w:numFmt w:val="decimal"/>
      <w:pStyle w:val="53"/>
      <w:suff w:val="nothing"/>
      <w:lvlText w:val="%1%2.%3.%4.%5.%6.%7　"/>
      <w:lvlJc w:val="left"/>
      <w:pPr>
        <w:ind w:left="0" w:firstLine="0"/>
      </w:pPr>
      <w:rPr>
        <w:rFonts w:hint="default" w:ascii="Times New Roman" w:hAnsi="Times New Roman" w:eastAsia="黑体"/>
        <w:b w:val="0"/>
        <w:i w:val="0"/>
        <w:sz w:val="24"/>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18">
    <w:nsid w:val="6DBF04F4"/>
    <w:multiLevelType w:val="multilevel"/>
    <w:tmpl w:val="6DBF04F4"/>
    <w:lvl w:ilvl="0" w:tentative="0">
      <w:start w:val="1"/>
      <w:numFmt w:val="none"/>
      <w:pStyle w:val="57"/>
      <w:lvlText w:val="%1注："/>
      <w:lvlJc w:val="left"/>
      <w:pPr>
        <w:tabs>
          <w:tab w:val="left" w:pos="1140"/>
        </w:tabs>
        <w:ind w:left="840" w:hanging="420"/>
      </w:pPr>
      <w:rPr>
        <w:rFonts w:hint="eastAsia" w:ascii="宋体" w:hAnsi="Times New Roman" w:eastAsia="宋体"/>
        <w:b w:val="0"/>
        <w:i w:val="0"/>
        <w:sz w:val="21"/>
      </w:rPr>
    </w:lvl>
    <w:lvl w:ilvl="1" w:tentative="0">
      <w:start w:val="1"/>
      <w:numFmt w:val="lowerLetter"/>
      <w:lvlText w:val="%2)"/>
      <w:lvlJc w:val="left"/>
      <w:pPr>
        <w:tabs>
          <w:tab w:val="left" w:pos="900"/>
        </w:tabs>
        <w:ind w:left="900" w:hanging="480"/>
      </w:pPr>
      <w:rPr>
        <w:rFonts w:hint="eastAsia"/>
      </w:rPr>
    </w:lvl>
    <w:lvl w:ilvl="2" w:tentative="0">
      <w:start w:val="1"/>
      <w:numFmt w:val="decimal"/>
      <w:lvlText w:val="%3)"/>
      <w:lvlJc w:val="left"/>
      <w:pPr>
        <w:tabs>
          <w:tab w:val="left" w:pos="1200"/>
        </w:tabs>
        <w:ind w:left="1200" w:hanging="360"/>
      </w:pPr>
      <w:rPr>
        <w:rFonts w:hint="eastAsia" w:hAnsi="Times New Roman"/>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9">
    <w:nsid w:val="7D9871CD"/>
    <w:multiLevelType w:val="singleLevel"/>
    <w:tmpl w:val="7D9871CD"/>
    <w:lvl w:ilvl="0" w:tentative="0">
      <w:start w:val="1"/>
      <w:numFmt w:val="decimal"/>
      <w:suff w:val="nothing"/>
      <w:lvlText w:val="%1."/>
      <w:lvlJc w:val="left"/>
      <w:pPr>
        <w:ind w:left="454" w:leftChars="0" w:hanging="454" w:firstLineChars="0"/>
      </w:pPr>
      <w:rPr>
        <w:rFonts w:hint="default"/>
      </w:rPr>
    </w:lvl>
  </w:abstractNum>
  <w:num w:numId="1">
    <w:abstractNumId w:val="4"/>
  </w:num>
  <w:num w:numId="2">
    <w:abstractNumId w:val="11"/>
  </w:num>
  <w:num w:numId="3">
    <w:abstractNumId w:val="16"/>
  </w:num>
  <w:num w:numId="4">
    <w:abstractNumId w:val="17"/>
  </w:num>
  <w:num w:numId="5">
    <w:abstractNumId w:val="13"/>
  </w:num>
  <w:num w:numId="6">
    <w:abstractNumId w:val="14"/>
  </w:num>
  <w:num w:numId="7">
    <w:abstractNumId w:val="9"/>
  </w:num>
  <w:num w:numId="8">
    <w:abstractNumId w:val="18"/>
  </w:num>
  <w:num w:numId="9">
    <w:abstractNumId w:val="7"/>
  </w:num>
  <w:num w:numId="10">
    <w:abstractNumId w:val="6"/>
  </w:num>
  <w:num w:numId="11">
    <w:abstractNumId w:val="15"/>
  </w:num>
  <w:num w:numId="12">
    <w:abstractNumId w:val="10"/>
  </w:num>
  <w:num w:numId="13">
    <w:abstractNumId w:val="12"/>
  </w:num>
  <w:num w:numId="14">
    <w:abstractNumId w:val="5"/>
  </w:num>
  <w:num w:numId="15">
    <w:abstractNumId w:val="1"/>
  </w:num>
  <w:num w:numId="16">
    <w:abstractNumId w:val="0"/>
  </w:num>
  <w:num w:numId="17">
    <w:abstractNumId w:val="3"/>
  </w:num>
  <w:num w:numId="18">
    <w:abstractNumId w:val="8"/>
  </w:num>
  <w:num w:numId="19">
    <w:abstractNumId w:val="19"/>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5"/>
  <w:drawingGridHorizontalSpacing w:val="120"/>
  <w:drawingGridVerticalSpacing w:val="163"/>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FmZDFhZDlmODM1ZDQ5NDFkNzBiOGQxZWQ0ZDAwZGYifQ=="/>
    <w:docVar w:name="KSO_WPS_MARK_KEY" w:val="5afb7e02-1123-4b76-aef5-3cb8e502d283"/>
  </w:docVars>
  <w:rsids>
    <w:rsidRoot w:val="00546F81"/>
    <w:rsid w:val="00001793"/>
    <w:rsid w:val="00003298"/>
    <w:rsid w:val="00032DCD"/>
    <w:rsid w:val="00037744"/>
    <w:rsid w:val="00037953"/>
    <w:rsid w:val="00071EB5"/>
    <w:rsid w:val="00072C34"/>
    <w:rsid w:val="00080EC7"/>
    <w:rsid w:val="000B16C9"/>
    <w:rsid w:val="000B67A4"/>
    <w:rsid w:val="000C2A4D"/>
    <w:rsid w:val="000E3C5B"/>
    <w:rsid w:val="000F76D9"/>
    <w:rsid w:val="00103960"/>
    <w:rsid w:val="00114645"/>
    <w:rsid w:val="00120F88"/>
    <w:rsid w:val="00166A63"/>
    <w:rsid w:val="00167843"/>
    <w:rsid w:val="0017208E"/>
    <w:rsid w:val="00173822"/>
    <w:rsid w:val="001761F8"/>
    <w:rsid w:val="0018274C"/>
    <w:rsid w:val="001B1FDD"/>
    <w:rsid w:val="001B766E"/>
    <w:rsid w:val="001C3605"/>
    <w:rsid w:val="001D294C"/>
    <w:rsid w:val="001E6BEE"/>
    <w:rsid w:val="0020033F"/>
    <w:rsid w:val="00203D51"/>
    <w:rsid w:val="00210F6F"/>
    <w:rsid w:val="00211995"/>
    <w:rsid w:val="00233407"/>
    <w:rsid w:val="00260F4A"/>
    <w:rsid w:val="00264BF1"/>
    <w:rsid w:val="0029625D"/>
    <w:rsid w:val="002A3469"/>
    <w:rsid w:val="002F2F0B"/>
    <w:rsid w:val="00306348"/>
    <w:rsid w:val="00335C70"/>
    <w:rsid w:val="003C5FC7"/>
    <w:rsid w:val="003D2FB1"/>
    <w:rsid w:val="003D7580"/>
    <w:rsid w:val="003F08F0"/>
    <w:rsid w:val="003F50B8"/>
    <w:rsid w:val="00406099"/>
    <w:rsid w:val="004277C9"/>
    <w:rsid w:val="00435BD8"/>
    <w:rsid w:val="004A1545"/>
    <w:rsid w:val="004B333F"/>
    <w:rsid w:val="004C45DB"/>
    <w:rsid w:val="004F4DCE"/>
    <w:rsid w:val="005017D1"/>
    <w:rsid w:val="00507ADD"/>
    <w:rsid w:val="00532493"/>
    <w:rsid w:val="0053257E"/>
    <w:rsid w:val="00533C79"/>
    <w:rsid w:val="005347F3"/>
    <w:rsid w:val="00546F81"/>
    <w:rsid w:val="0055557B"/>
    <w:rsid w:val="005874AF"/>
    <w:rsid w:val="005B119C"/>
    <w:rsid w:val="005B4BF6"/>
    <w:rsid w:val="005C69F4"/>
    <w:rsid w:val="005D5A9A"/>
    <w:rsid w:val="005E2A0B"/>
    <w:rsid w:val="00604636"/>
    <w:rsid w:val="006358AE"/>
    <w:rsid w:val="006478BB"/>
    <w:rsid w:val="00665814"/>
    <w:rsid w:val="00677068"/>
    <w:rsid w:val="006B14DF"/>
    <w:rsid w:val="006C0B7E"/>
    <w:rsid w:val="006D2EED"/>
    <w:rsid w:val="006E6381"/>
    <w:rsid w:val="006F63C6"/>
    <w:rsid w:val="00733364"/>
    <w:rsid w:val="00754401"/>
    <w:rsid w:val="00756D86"/>
    <w:rsid w:val="007A04E6"/>
    <w:rsid w:val="007A2A36"/>
    <w:rsid w:val="007A70BD"/>
    <w:rsid w:val="007B0DC4"/>
    <w:rsid w:val="007B3B9D"/>
    <w:rsid w:val="007B4621"/>
    <w:rsid w:val="007D25F0"/>
    <w:rsid w:val="007E241B"/>
    <w:rsid w:val="00800D01"/>
    <w:rsid w:val="0080292F"/>
    <w:rsid w:val="00810CF4"/>
    <w:rsid w:val="008172FF"/>
    <w:rsid w:val="00830C77"/>
    <w:rsid w:val="00835831"/>
    <w:rsid w:val="00860758"/>
    <w:rsid w:val="00862E02"/>
    <w:rsid w:val="0086430A"/>
    <w:rsid w:val="008A24D5"/>
    <w:rsid w:val="008B3AD6"/>
    <w:rsid w:val="008C76C3"/>
    <w:rsid w:val="008D1A02"/>
    <w:rsid w:val="008D2A79"/>
    <w:rsid w:val="009018D1"/>
    <w:rsid w:val="00911BD9"/>
    <w:rsid w:val="00920750"/>
    <w:rsid w:val="00926DF2"/>
    <w:rsid w:val="00972FAA"/>
    <w:rsid w:val="009844E8"/>
    <w:rsid w:val="009C12A2"/>
    <w:rsid w:val="009C507E"/>
    <w:rsid w:val="009C623C"/>
    <w:rsid w:val="009D1573"/>
    <w:rsid w:val="00A0503F"/>
    <w:rsid w:val="00A05772"/>
    <w:rsid w:val="00A16F7C"/>
    <w:rsid w:val="00A20FC7"/>
    <w:rsid w:val="00A306AB"/>
    <w:rsid w:val="00A553BE"/>
    <w:rsid w:val="00A9616A"/>
    <w:rsid w:val="00AF389B"/>
    <w:rsid w:val="00B318F3"/>
    <w:rsid w:val="00B332D5"/>
    <w:rsid w:val="00B52F57"/>
    <w:rsid w:val="00B64F24"/>
    <w:rsid w:val="00B91737"/>
    <w:rsid w:val="00BA50D3"/>
    <w:rsid w:val="00BB6E09"/>
    <w:rsid w:val="00BD246F"/>
    <w:rsid w:val="00BD402D"/>
    <w:rsid w:val="00BE4D6B"/>
    <w:rsid w:val="00BF2DE3"/>
    <w:rsid w:val="00C02C3B"/>
    <w:rsid w:val="00C05017"/>
    <w:rsid w:val="00C06A8C"/>
    <w:rsid w:val="00C103D6"/>
    <w:rsid w:val="00C16BE5"/>
    <w:rsid w:val="00C27328"/>
    <w:rsid w:val="00C36E3A"/>
    <w:rsid w:val="00CC6068"/>
    <w:rsid w:val="00CE7D2E"/>
    <w:rsid w:val="00D155C1"/>
    <w:rsid w:val="00D263A5"/>
    <w:rsid w:val="00D34A4B"/>
    <w:rsid w:val="00D3535D"/>
    <w:rsid w:val="00D45537"/>
    <w:rsid w:val="00D51E25"/>
    <w:rsid w:val="00D66EEF"/>
    <w:rsid w:val="00D9109B"/>
    <w:rsid w:val="00DB0198"/>
    <w:rsid w:val="00DB02AD"/>
    <w:rsid w:val="00DD0800"/>
    <w:rsid w:val="00DE1241"/>
    <w:rsid w:val="00DE5789"/>
    <w:rsid w:val="00DF55BB"/>
    <w:rsid w:val="00E02AAB"/>
    <w:rsid w:val="00E02C9C"/>
    <w:rsid w:val="00E16F84"/>
    <w:rsid w:val="00E17418"/>
    <w:rsid w:val="00E30113"/>
    <w:rsid w:val="00E80430"/>
    <w:rsid w:val="00E85E09"/>
    <w:rsid w:val="00EA640D"/>
    <w:rsid w:val="00ED59D6"/>
    <w:rsid w:val="00EE55A9"/>
    <w:rsid w:val="00F019B3"/>
    <w:rsid w:val="00F0341E"/>
    <w:rsid w:val="00F07FEC"/>
    <w:rsid w:val="00F77A0F"/>
    <w:rsid w:val="00F90130"/>
    <w:rsid w:val="00F90B36"/>
    <w:rsid w:val="00F9667D"/>
    <w:rsid w:val="00FB3CC7"/>
    <w:rsid w:val="00FD1D7F"/>
    <w:rsid w:val="00FE41A7"/>
    <w:rsid w:val="01023310"/>
    <w:rsid w:val="01033847"/>
    <w:rsid w:val="01213882"/>
    <w:rsid w:val="0157752C"/>
    <w:rsid w:val="01A27004"/>
    <w:rsid w:val="01D60B10"/>
    <w:rsid w:val="01E1612F"/>
    <w:rsid w:val="02181129"/>
    <w:rsid w:val="022A2346"/>
    <w:rsid w:val="025E0FB3"/>
    <w:rsid w:val="028E13EB"/>
    <w:rsid w:val="02FB17F2"/>
    <w:rsid w:val="031418F0"/>
    <w:rsid w:val="031E7531"/>
    <w:rsid w:val="032D650E"/>
    <w:rsid w:val="033E7944"/>
    <w:rsid w:val="034A75DD"/>
    <w:rsid w:val="036068E4"/>
    <w:rsid w:val="036723DA"/>
    <w:rsid w:val="03A8028B"/>
    <w:rsid w:val="03D41080"/>
    <w:rsid w:val="03D97BA9"/>
    <w:rsid w:val="03E2554B"/>
    <w:rsid w:val="03F4527E"/>
    <w:rsid w:val="03F90AE6"/>
    <w:rsid w:val="04060313"/>
    <w:rsid w:val="045647A9"/>
    <w:rsid w:val="04877EA0"/>
    <w:rsid w:val="04904FA7"/>
    <w:rsid w:val="04DC643E"/>
    <w:rsid w:val="04EB042F"/>
    <w:rsid w:val="0520422F"/>
    <w:rsid w:val="0568505A"/>
    <w:rsid w:val="056D353A"/>
    <w:rsid w:val="05957D83"/>
    <w:rsid w:val="05AA4306"/>
    <w:rsid w:val="05F6352F"/>
    <w:rsid w:val="05FE4F99"/>
    <w:rsid w:val="06604E4C"/>
    <w:rsid w:val="067B7677"/>
    <w:rsid w:val="06885F66"/>
    <w:rsid w:val="06A12659"/>
    <w:rsid w:val="06CF74E9"/>
    <w:rsid w:val="06DB44D3"/>
    <w:rsid w:val="06ED665E"/>
    <w:rsid w:val="06F87B17"/>
    <w:rsid w:val="074C3EE5"/>
    <w:rsid w:val="074D53D1"/>
    <w:rsid w:val="074E6802"/>
    <w:rsid w:val="077A3CEC"/>
    <w:rsid w:val="07944DAE"/>
    <w:rsid w:val="079B25E0"/>
    <w:rsid w:val="079C1EB4"/>
    <w:rsid w:val="07A80859"/>
    <w:rsid w:val="07C771E3"/>
    <w:rsid w:val="07DC0503"/>
    <w:rsid w:val="07E34C8C"/>
    <w:rsid w:val="080041F1"/>
    <w:rsid w:val="080812F8"/>
    <w:rsid w:val="08145EEF"/>
    <w:rsid w:val="0870581B"/>
    <w:rsid w:val="089B216C"/>
    <w:rsid w:val="08A803A3"/>
    <w:rsid w:val="08B27E28"/>
    <w:rsid w:val="08FA0F06"/>
    <w:rsid w:val="0922463B"/>
    <w:rsid w:val="09336848"/>
    <w:rsid w:val="09510A7C"/>
    <w:rsid w:val="096B5FE2"/>
    <w:rsid w:val="09756A0F"/>
    <w:rsid w:val="09784F73"/>
    <w:rsid w:val="099A01B0"/>
    <w:rsid w:val="099E0166"/>
    <w:rsid w:val="09AD2999"/>
    <w:rsid w:val="09DE524A"/>
    <w:rsid w:val="09E81497"/>
    <w:rsid w:val="09F558AC"/>
    <w:rsid w:val="0A083831"/>
    <w:rsid w:val="0A1026E6"/>
    <w:rsid w:val="0A3C34DB"/>
    <w:rsid w:val="0A6004CD"/>
    <w:rsid w:val="0A8703EC"/>
    <w:rsid w:val="0AA43D15"/>
    <w:rsid w:val="0AC10861"/>
    <w:rsid w:val="0AD93B39"/>
    <w:rsid w:val="0AED7401"/>
    <w:rsid w:val="0B297F03"/>
    <w:rsid w:val="0B302E03"/>
    <w:rsid w:val="0B36617C"/>
    <w:rsid w:val="0BA47589"/>
    <w:rsid w:val="0BDC4F75"/>
    <w:rsid w:val="0BEF4CA9"/>
    <w:rsid w:val="0C564D28"/>
    <w:rsid w:val="0C581959"/>
    <w:rsid w:val="0C801DA5"/>
    <w:rsid w:val="0C860EDE"/>
    <w:rsid w:val="0C9475FE"/>
    <w:rsid w:val="0C9F5C8B"/>
    <w:rsid w:val="0CE73BD2"/>
    <w:rsid w:val="0CF940F5"/>
    <w:rsid w:val="0D0C188A"/>
    <w:rsid w:val="0D15073F"/>
    <w:rsid w:val="0D5C636E"/>
    <w:rsid w:val="0D754064"/>
    <w:rsid w:val="0DC87888"/>
    <w:rsid w:val="0DE95727"/>
    <w:rsid w:val="0E3B74D8"/>
    <w:rsid w:val="0E5C416B"/>
    <w:rsid w:val="0E80608C"/>
    <w:rsid w:val="0E87741A"/>
    <w:rsid w:val="0EA07760"/>
    <w:rsid w:val="0EA33B28"/>
    <w:rsid w:val="0ED81BDB"/>
    <w:rsid w:val="0EE21728"/>
    <w:rsid w:val="0EE26D46"/>
    <w:rsid w:val="0EEC1973"/>
    <w:rsid w:val="0EF932E8"/>
    <w:rsid w:val="0F28330D"/>
    <w:rsid w:val="0F344E27"/>
    <w:rsid w:val="0F657D11"/>
    <w:rsid w:val="0F6674E2"/>
    <w:rsid w:val="0F9D2C6D"/>
    <w:rsid w:val="0FB06082"/>
    <w:rsid w:val="0FCF450B"/>
    <w:rsid w:val="0FDA17CC"/>
    <w:rsid w:val="10070C9A"/>
    <w:rsid w:val="106D43EE"/>
    <w:rsid w:val="10763A0F"/>
    <w:rsid w:val="10C5247C"/>
    <w:rsid w:val="10E365C2"/>
    <w:rsid w:val="10E71AF0"/>
    <w:rsid w:val="11004E70"/>
    <w:rsid w:val="110E019C"/>
    <w:rsid w:val="110E66A8"/>
    <w:rsid w:val="11103844"/>
    <w:rsid w:val="1111121D"/>
    <w:rsid w:val="1111746F"/>
    <w:rsid w:val="116003F7"/>
    <w:rsid w:val="116F452D"/>
    <w:rsid w:val="11A304BB"/>
    <w:rsid w:val="11A618BA"/>
    <w:rsid w:val="11A87DDD"/>
    <w:rsid w:val="11D04C6B"/>
    <w:rsid w:val="11E62E0D"/>
    <w:rsid w:val="11F94257"/>
    <w:rsid w:val="123C676E"/>
    <w:rsid w:val="125A4E46"/>
    <w:rsid w:val="12661A3D"/>
    <w:rsid w:val="126857B5"/>
    <w:rsid w:val="12A64154"/>
    <w:rsid w:val="12A66E32"/>
    <w:rsid w:val="12FD60C7"/>
    <w:rsid w:val="13070B2A"/>
    <w:rsid w:val="130F1585"/>
    <w:rsid w:val="13174AE5"/>
    <w:rsid w:val="135E5C67"/>
    <w:rsid w:val="137F1FEA"/>
    <w:rsid w:val="1384121B"/>
    <w:rsid w:val="13904FC3"/>
    <w:rsid w:val="13CA7DB6"/>
    <w:rsid w:val="13EB3FA7"/>
    <w:rsid w:val="14043C07"/>
    <w:rsid w:val="141B23B3"/>
    <w:rsid w:val="14264FE0"/>
    <w:rsid w:val="14515840"/>
    <w:rsid w:val="145370A3"/>
    <w:rsid w:val="148F7029"/>
    <w:rsid w:val="14C05D17"/>
    <w:rsid w:val="14F71EF4"/>
    <w:rsid w:val="153B4ABB"/>
    <w:rsid w:val="15406575"/>
    <w:rsid w:val="154A73F4"/>
    <w:rsid w:val="15533CBB"/>
    <w:rsid w:val="158741A4"/>
    <w:rsid w:val="15B25B34"/>
    <w:rsid w:val="16302145"/>
    <w:rsid w:val="163C3141"/>
    <w:rsid w:val="1656041C"/>
    <w:rsid w:val="16602DB3"/>
    <w:rsid w:val="16782682"/>
    <w:rsid w:val="16AA5FFE"/>
    <w:rsid w:val="16BE3BF5"/>
    <w:rsid w:val="16D50C74"/>
    <w:rsid w:val="16D94D1B"/>
    <w:rsid w:val="16E64C47"/>
    <w:rsid w:val="16E80C72"/>
    <w:rsid w:val="16EC0753"/>
    <w:rsid w:val="16ED4212"/>
    <w:rsid w:val="17034063"/>
    <w:rsid w:val="170B4961"/>
    <w:rsid w:val="176C69FB"/>
    <w:rsid w:val="17837C4C"/>
    <w:rsid w:val="17B62B1E"/>
    <w:rsid w:val="18025D64"/>
    <w:rsid w:val="182E7059"/>
    <w:rsid w:val="182F0FA4"/>
    <w:rsid w:val="183879D7"/>
    <w:rsid w:val="184441C2"/>
    <w:rsid w:val="185D31E1"/>
    <w:rsid w:val="186D58D3"/>
    <w:rsid w:val="18820242"/>
    <w:rsid w:val="18852AFD"/>
    <w:rsid w:val="18866933"/>
    <w:rsid w:val="18874C17"/>
    <w:rsid w:val="18A230A3"/>
    <w:rsid w:val="18C64FE3"/>
    <w:rsid w:val="18DA0A8E"/>
    <w:rsid w:val="18F04BE9"/>
    <w:rsid w:val="18FC25AD"/>
    <w:rsid w:val="19290C12"/>
    <w:rsid w:val="19305081"/>
    <w:rsid w:val="194640B7"/>
    <w:rsid w:val="195A572B"/>
    <w:rsid w:val="199C7AF2"/>
    <w:rsid w:val="19BB50C1"/>
    <w:rsid w:val="1A004525"/>
    <w:rsid w:val="1A0D719B"/>
    <w:rsid w:val="1A1B4EBB"/>
    <w:rsid w:val="1A357095"/>
    <w:rsid w:val="1A400553"/>
    <w:rsid w:val="1A4C6F24"/>
    <w:rsid w:val="1A580C7C"/>
    <w:rsid w:val="1A9B7FF4"/>
    <w:rsid w:val="1A9C0424"/>
    <w:rsid w:val="1ACE1000"/>
    <w:rsid w:val="1AFF658A"/>
    <w:rsid w:val="1B1E7A45"/>
    <w:rsid w:val="1B2B3823"/>
    <w:rsid w:val="1B2D76A8"/>
    <w:rsid w:val="1B387FEB"/>
    <w:rsid w:val="1B505038"/>
    <w:rsid w:val="1B59213E"/>
    <w:rsid w:val="1B6137C1"/>
    <w:rsid w:val="1B965141"/>
    <w:rsid w:val="1BB40FCB"/>
    <w:rsid w:val="1BB83759"/>
    <w:rsid w:val="1BD417C5"/>
    <w:rsid w:val="1BDF4F7C"/>
    <w:rsid w:val="1C346708"/>
    <w:rsid w:val="1C965029"/>
    <w:rsid w:val="1C9A152A"/>
    <w:rsid w:val="1C9D269B"/>
    <w:rsid w:val="1CE51334"/>
    <w:rsid w:val="1CEE4B08"/>
    <w:rsid w:val="1D3953C8"/>
    <w:rsid w:val="1D502A2B"/>
    <w:rsid w:val="1D575568"/>
    <w:rsid w:val="1D577E6B"/>
    <w:rsid w:val="1D62418B"/>
    <w:rsid w:val="1DA07BBB"/>
    <w:rsid w:val="1DA71D7C"/>
    <w:rsid w:val="1DC5538F"/>
    <w:rsid w:val="1E3649B9"/>
    <w:rsid w:val="1E37122A"/>
    <w:rsid w:val="1E636E30"/>
    <w:rsid w:val="1E65296A"/>
    <w:rsid w:val="1E6E4153"/>
    <w:rsid w:val="1E8A260F"/>
    <w:rsid w:val="1ED62145"/>
    <w:rsid w:val="1F290257"/>
    <w:rsid w:val="1F2C36C6"/>
    <w:rsid w:val="1F3E1D77"/>
    <w:rsid w:val="1F460C2C"/>
    <w:rsid w:val="1F494278"/>
    <w:rsid w:val="1F6B68E4"/>
    <w:rsid w:val="1F707A57"/>
    <w:rsid w:val="1F811C64"/>
    <w:rsid w:val="1F94289C"/>
    <w:rsid w:val="1F953961"/>
    <w:rsid w:val="1FA63478"/>
    <w:rsid w:val="1FAF7DA6"/>
    <w:rsid w:val="1FB1452B"/>
    <w:rsid w:val="1FB9254F"/>
    <w:rsid w:val="1FE12702"/>
    <w:rsid w:val="20174376"/>
    <w:rsid w:val="2046271A"/>
    <w:rsid w:val="206275ED"/>
    <w:rsid w:val="20682F3F"/>
    <w:rsid w:val="206B48C0"/>
    <w:rsid w:val="20A238F5"/>
    <w:rsid w:val="20B422E7"/>
    <w:rsid w:val="20B65FAF"/>
    <w:rsid w:val="20E9256B"/>
    <w:rsid w:val="20F36B91"/>
    <w:rsid w:val="21A93F72"/>
    <w:rsid w:val="21AB121A"/>
    <w:rsid w:val="21D00C81"/>
    <w:rsid w:val="21DE339D"/>
    <w:rsid w:val="223E3E3C"/>
    <w:rsid w:val="22636C97"/>
    <w:rsid w:val="227C3179"/>
    <w:rsid w:val="22806203"/>
    <w:rsid w:val="22B07008"/>
    <w:rsid w:val="22CC4070"/>
    <w:rsid w:val="22E5250A"/>
    <w:rsid w:val="22F41A48"/>
    <w:rsid w:val="22F664C5"/>
    <w:rsid w:val="23081F32"/>
    <w:rsid w:val="230F75A5"/>
    <w:rsid w:val="23490CEA"/>
    <w:rsid w:val="23617D9C"/>
    <w:rsid w:val="237813DD"/>
    <w:rsid w:val="237A53B2"/>
    <w:rsid w:val="238E2BA1"/>
    <w:rsid w:val="23D42CAA"/>
    <w:rsid w:val="23FE7D27"/>
    <w:rsid w:val="23FF38FA"/>
    <w:rsid w:val="24013373"/>
    <w:rsid w:val="246062EC"/>
    <w:rsid w:val="246851A0"/>
    <w:rsid w:val="247A4785"/>
    <w:rsid w:val="2483022C"/>
    <w:rsid w:val="248C5C1A"/>
    <w:rsid w:val="24BC54EC"/>
    <w:rsid w:val="24C77784"/>
    <w:rsid w:val="24E22CD8"/>
    <w:rsid w:val="250D3B55"/>
    <w:rsid w:val="25333A00"/>
    <w:rsid w:val="253D6635"/>
    <w:rsid w:val="25A8619C"/>
    <w:rsid w:val="25E82A3D"/>
    <w:rsid w:val="25F72072"/>
    <w:rsid w:val="26582759"/>
    <w:rsid w:val="26A64EF3"/>
    <w:rsid w:val="26AB7F7D"/>
    <w:rsid w:val="26BE19EF"/>
    <w:rsid w:val="26D01CBB"/>
    <w:rsid w:val="26D85659"/>
    <w:rsid w:val="27003DB6"/>
    <w:rsid w:val="272655FA"/>
    <w:rsid w:val="274A1985"/>
    <w:rsid w:val="275D4004"/>
    <w:rsid w:val="27653C19"/>
    <w:rsid w:val="276D4E9A"/>
    <w:rsid w:val="277708DD"/>
    <w:rsid w:val="277D595C"/>
    <w:rsid w:val="277E10A1"/>
    <w:rsid w:val="278A3680"/>
    <w:rsid w:val="279273FF"/>
    <w:rsid w:val="279908E2"/>
    <w:rsid w:val="27A73D70"/>
    <w:rsid w:val="27C6290A"/>
    <w:rsid w:val="27E70AD2"/>
    <w:rsid w:val="28257A21"/>
    <w:rsid w:val="284377A3"/>
    <w:rsid w:val="284E5433"/>
    <w:rsid w:val="284F6DA3"/>
    <w:rsid w:val="285A2FA5"/>
    <w:rsid w:val="287A1946"/>
    <w:rsid w:val="289E5635"/>
    <w:rsid w:val="28C055AB"/>
    <w:rsid w:val="28C17575"/>
    <w:rsid w:val="291678C1"/>
    <w:rsid w:val="294C5091"/>
    <w:rsid w:val="295C6030"/>
    <w:rsid w:val="2970449A"/>
    <w:rsid w:val="29B01665"/>
    <w:rsid w:val="29BB2216"/>
    <w:rsid w:val="29DA269C"/>
    <w:rsid w:val="2A157B78"/>
    <w:rsid w:val="2A2A3F16"/>
    <w:rsid w:val="2A9A0F50"/>
    <w:rsid w:val="2AA46FDB"/>
    <w:rsid w:val="2ABF1892"/>
    <w:rsid w:val="2AC06A12"/>
    <w:rsid w:val="2AD96DF8"/>
    <w:rsid w:val="2B2E6A55"/>
    <w:rsid w:val="2B400C25"/>
    <w:rsid w:val="2B453E0A"/>
    <w:rsid w:val="2B6F7DDE"/>
    <w:rsid w:val="2B7E52A9"/>
    <w:rsid w:val="2BA240D0"/>
    <w:rsid w:val="2BC730F4"/>
    <w:rsid w:val="2BD72ABA"/>
    <w:rsid w:val="2C293467"/>
    <w:rsid w:val="2C385DA0"/>
    <w:rsid w:val="2C3A38C6"/>
    <w:rsid w:val="2C7A3CC3"/>
    <w:rsid w:val="2C8148F3"/>
    <w:rsid w:val="2C8B4122"/>
    <w:rsid w:val="2CA57FC0"/>
    <w:rsid w:val="2CD07712"/>
    <w:rsid w:val="2CE53E34"/>
    <w:rsid w:val="2CF00521"/>
    <w:rsid w:val="2CF03F85"/>
    <w:rsid w:val="2CF75313"/>
    <w:rsid w:val="2D0A65BA"/>
    <w:rsid w:val="2D1C34D1"/>
    <w:rsid w:val="2D346567"/>
    <w:rsid w:val="2D361C05"/>
    <w:rsid w:val="2D4D7629"/>
    <w:rsid w:val="2D564730"/>
    <w:rsid w:val="2D846A74"/>
    <w:rsid w:val="2D855015"/>
    <w:rsid w:val="2D956139"/>
    <w:rsid w:val="2DA34463"/>
    <w:rsid w:val="2DB15E0A"/>
    <w:rsid w:val="2E13617D"/>
    <w:rsid w:val="2E1A31F7"/>
    <w:rsid w:val="2E3E1D40"/>
    <w:rsid w:val="2E5F7614"/>
    <w:rsid w:val="2E8B21B7"/>
    <w:rsid w:val="2E8E4582"/>
    <w:rsid w:val="2EBA0CEE"/>
    <w:rsid w:val="2ED53227"/>
    <w:rsid w:val="2F00243A"/>
    <w:rsid w:val="2F0F78B1"/>
    <w:rsid w:val="2F181F01"/>
    <w:rsid w:val="2F2C5DF5"/>
    <w:rsid w:val="2F9C6646"/>
    <w:rsid w:val="2FA15A0A"/>
    <w:rsid w:val="2FA63021"/>
    <w:rsid w:val="2FB4573E"/>
    <w:rsid w:val="2FE75B13"/>
    <w:rsid w:val="2FEB5CCB"/>
    <w:rsid w:val="30074904"/>
    <w:rsid w:val="30085898"/>
    <w:rsid w:val="30112B90"/>
    <w:rsid w:val="30240B15"/>
    <w:rsid w:val="30297EDA"/>
    <w:rsid w:val="309D4DDC"/>
    <w:rsid w:val="30D16B78"/>
    <w:rsid w:val="30D50061"/>
    <w:rsid w:val="31125662"/>
    <w:rsid w:val="311A7408"/>
    <w:rsid w:val="313308E4"/>
    <w:rsid w:val="31476A7C"/>
    <w:rsid w:val="31570A76"/>
    <w:rsid w:val="31B5579D"/>
    <w:rsid w:val="31DE2F46"/>
    <w:rsid w:val="31E22A36"/>
    <w:rsid w:val="31F476C7"/>
    <w:rsid w:val="32055404"/>
    <w:rsid w:val="3216623C"/>
    <w:rsid w:val="32236BAB"/>
    <w:rsid w:val="32317519"/>
    <w:rsid w:val="325F4087"/>
    <w:rsid w:val="326267EA"/>
    <w:rsid w:val="326276D3"/>
    <w:rsid w:val="326613C0"/>
    <w:rsid w:val="328B2AC5"/>
    <w:rsid w:val="32AC3044"/>
    <w:rsid w:val="32D620CC"/>
    <w:rsid w:val="32E35A7C"/>
    <w:rsid w:val="33042C8D"/>
    <w:rsid w:val="337B347B"/>
    <w:rsid w:val="33A93035"/>
    <w:rsid w:val="33AD2BD0"/>
    <w:rsid w:val="33E81E5A"/>
    <w:rsid w:val="33E82F8C"/>
    <w:rsid w:val="340F73E6"/>
    <w:rsid w:val="344572AC"/>
    <w:rsid w:val="344F1ED9"/>
    <w:rsid w:val="34733E19"/>
    <w:rsid w:val="347436ED"/>
    <w:rsid w:val="34963664"/>
    <w:rsid w:val="34C277A8"/>
    <w:rsid w:val="34E86283"/>
    <w:rsid w:val="34F64CD5"/>
    <w:rsid w:val="35317E76"/>
    <w:rsid w:val="35335357"/>
    <w:rsid w:val="35645510"/>
    <w:rsid w:val="35700359"/>
    <w:rsid w:val="357D65D2"/>
    <w:rsid w:val="35847960"/>
    <w:rsid w:val="359D0A43"/>
    <w:rsid w:val="359E1369"/>
    <w:rsid w:val="35EB373D"/>
    <w:rsid w:val="35F20D6E"/>
    <w:rsid w:val="35F8131D"/>
    <w:rsid w:val="35FE0132"/>
    <w:rsid w:val="36025013"/>
    <w:rsid w:val="3608793E"/>
    <w:rsid w:val="363C4A50"/>
    <w:rsid w:val="36D16BD5"/>
    <w:rsid w:val="36EC570D"/>
    <w:rsid w:val="370A2647"/>
    <w:rsid w:val="372F0C12"/>
    <w:rsid w:val="373B2F8E"/>
    <w:rsid w:val="373F73EB"/>
    <w:rsid w:val="37AC66B8"/>
    <w:rsid w:val="37BA7C61"/>
    <w:rsid w:val="37BC5AD7"/>
    <w:rsid w:val="37C130EE"/>
    <w:rsid w:val="37C91FA2"/>
    <w:rsid w:val="37FF59C4"/>
    <w:rsid w:val="38127B00"/>
    <w:rsid w:val="3834566E"/>
    <w:rsid w:val="383513E6"/>
    <w:rsid w:val="38436BD5"/>
    <w:rsid w:val="38442ADA"/>
    <w:rsid w:val="384562BB"/>
    <w:rsid w:val="38851743"/>
    <w:rsid w:val="38961E84"/>
    <w:rsid w:val="38D330D8"/>
    <w:rsid w:val="38DB3D3B"/>
    <w:rsid w:val="38FD4BCC"/>
    <w:rsid w:val="39072D82"/>
    <w:rsid w:val="391060DB"/>
    <w:rsid w:val="393503D0"/>
    <w:rsid w:val="39513FFD"/>
    <w:rsid w:val="39665CFB"/>
    <w:rsid w:val="39810D86"/>
    <w:rsid w:val="39893797"/>
    <w:rsid w:val="399A59A4"/>
    <w:rsid w:val="39A0476E"/>
    <w:rsid w:val="39EF3F42"/>
    <w:rsid w:val="3A257964"/>
    <w:rsid w:val="3A3F02FA"/>
    <w:rsid w:val="3A6F5083"/>
    <w:rsid w:val="3A8829E6"/>
    <w:rsid w:val="3AA74337"/>
    <w:rsid w:val="3AB26D1E"/>
    <w:rsid w:val="3AC151B3"/>
    <w:rsid w:val="3ADA7676"/>
    <w:rsid w:val="3B2E0A9A"/>
    <w:rsid w:val="3B3C64C9"/>
    <w:rsid w:val="3B570928"/>
    <w:rsid w:val="3B6B3A9C"/>
    <w:rsid w:val="3B74580B"/>
    <w:rsid w:val="3B8701AA"/>
    <w:rsid w:val="3B8B5895"/>
    <w:rsid w:val="3B8F5459"/>
    <w:rsid w:val="3B9414DE"/>
    <w:rsid w:val="3BFC63E1"/>
    <w:rsid w:val="3C027831"/>
    <w:rsid w:val="3C574020"/>
    <w:rsid w:val="3C65673D"/>
    <w:rsid w:val="3C746980"/>
    <w:rsid w:val="3CAA4150"/>
    <w:rsid w:val="3CBC24F3"/>
    <w:rsid w:val="3CC01BC6"/>
    <w:rsid w:val="3CD13DD3"/>
    <w:rsid w:val="3CD66EB7"/>
    <w:rsid w:val="3CD8036F"/>
    <w:rsid w:val="3D08531B"/>
    <w:rsid w:val="3D26465F"/>
    <w:rsid w:val="3D3A7C13"/>
    <w:rsid w:val="3D653900"/>
    <w:rsid w:val="3D78424E"/>
    <w:rsid w:val="3DD84CED"/>
    <w:rsid w:val="3DED534A"/>
    <w:rsid w:val="3DFA080A"/>
    <w:rsid w:val="3E0C3B6F"/>
    <w:rsid w:val="3E1201FF"/>
    <w:rsid w:val="3E206037"/>
    <w:rsid w:val="3E864749"/>
    <w:rsid w:val="3EC276C5"/>
    <w:rsid w:val="3F381DA7"/>
    <w:rsid w:val="3FF102E8"/>
    <w:rsid w:val="40284251"/>
    <w:rsid w:val="402B68F2"/>
    <w:rsid w:val="409C2C48"/>
    <w:rsid w:val="40D07EFD"/>
    <w:rsid w:val="4105404B"/>
    <w:rsid w:val="4107344E"/>
    <w:rsid w:val="41436921"/>
    <w:rsid w:val="417279A1"/>
    <w:rsid w:val="418E4165"/>
    <w:rsid w:val="4191768D"/>
    <w:rsid w:val="41A41AB6"/>
    <w:rsid w:val="41B415CD"/>
    <w:rsid w:val="41BE244C"/>
    <w:rsid w:val="41BE2D52"/>
    <w:rsid w:val="41EB029C"/>
    <w:rsid w:val="41FD2F74"/>
    <w:rsid w:val="41FF212D"/>
    <w:rsid w:val="421502BE"/>
    <w:rsid w:val="42154762"/>
    <w:rsid w:val="4253528A"/>
    <w:rsid w:val="42660B19"/>
    <w:rsid w:val="428570D9"/>
    <w:rsid w:val="429C278D"/>
    <w:rsid w:val="42A10093"/>
    <w:rsid w:val="42D44984"/>
    <w:rsid w:val="42DD6902"/>
    <w:rsid w:val="42FC76D0"/>
    <w:rsid w:val="43042B94"/>
    <w:rsid w:val="43100201"/>
    <w:rsid w:val="432E4C25"/>
    <w:rsid w:val="43397F84"/>
    <w:rsid w:val="437E6337"/>
    <w:rsid w:val="43931DE2"/>
    <w:rsid w:val="43A86F10"/>
    <w:rsid w:val="43C53F65"/>
    <w:rsid w:val="43F5270B"/>
    <w:rsid w:val="440E18CD"/>
    <w:rsid w:val="444132A5"/>
    <w:rsid w:val="445B0426"/>
    <w:rsid w:val="44615A3C"/>
    <w:rsid w:val="446C369C"/>
    <w:rsid w:val="447B4624"/>
    <w:rsid w:val="447F4DC4"/>
    <w:rsid w:val="44934983"/>
    <w:rsid w:val="44AB315B"/>
    <w:rsid w:val="44B26298"/>
    <w:rsid w:val="44B85878"/>
    <w:rsid w:val="44D206E8"/>
    <w:rsid w:val="44DA4A5B"/>
    <w:rsid w:val="44DC3315"/>
    <w:rsid w:val="45314A96"/>
    <w:rsid w:val="453C302D"/>
    <w:rsid w:val="4545799C"/>
    <w:rsid w:val="45905269"/>
    <w:rsid w:val="45C5006E"/>
    <w:rsid w:val="461E55A5"/>
    <w:rsid w:val="46365BB9"/>
    <w:rsid w:val="465B295F"/>
    <w:rsid w:val="46AA5484"/>
    <w:rsid w:val="46BA7E57"/>
    <w:rsid w:val="46D0453B"/>
    <w:rsid w:val="46D06EA9"/>
    <w:rsid w:val="46E44703"/>
    <w:rsid w:val="47013507"/>
    <w:rsid w:val="471A732B"/>
    <w:rsid w:val="475D765F"/>
    <w:rsid w:val="47A438E8"/>
    <w:rsid w:val="47B574D9"/>
    <w:rsid w:val="480C3F11"/>
    <w:rsid w:val="4829059F"/>
    <w:rsid w:val="484B7F43"/>
    <w:rsid w:val="48765774"/>
    <w:rsid w:val="48A77123"/>
    <w:rsid w:val="48EB1D78"/>
    <w:rsid w:val="490E5A67"/>
    <w:rsid w:val="49181DB0"/>
    <w:rsid w:val="493D00FA"/>
    <w:rsid w:val="49995297"/>
    <w:rsid w:val="499B6275"/>
    <w:rsid w:val="49A5461D"/>
    <w:rsid w:val="49E862B8"/>
    <w:rsid w:val="49EF7C48"/>
    <w:rsid w:val="4A016FDB"/>
    <w:rsid w:val="4A070E34"/>
    <w:rsid w:val="4A1E6A1C"/>
    <w:rsid w:val="4A2F59CC"/>
    <w:rsid w:val="4A3E003D"/>
    <w:rsid w:val="4A5026A8"/>
    <w:rsid w:val="4A8A55C1"/>
    <w:rsid w:val="4A8E0642"/>
    <w:rsid w:val="4AA62A44"/>
    <w:rsid w:val="4AB326BF"/>
    <w:rsid w:val="4ACB00B3"/>
    <w:rsid w:val="4AE922E8"/>
    <w:rsid w:val="4AF84AEE"/>
    <w:rsid w:val="4B052C2B"/>
    <w:rsid w:val="4B1A6945"/>
    <w:rsid w:val="4B372080"/>
    <w:rsid w:val="4B5A25D8"/>
    <w:rsid w:val="4B7101FD"/>
    <w:rsid w:val="4BD44D46"/>
    <w:rsid w:val="4BDD550A"/>
    <w:rsid w:val="4BF21670"/>
    <w:rsid w:val="4BF4363A"/>
    <w:rsid w:val="4C190244"/>
    <w:rsid w:val="4C213D03"/>
    <w:rsid w:val="4C40062D"/>
    <w:rsid w:val="4C413CCD"/>
    <w:rsid w:val="4C6D6562"/>
    <w:rsid w:val="4C8B215F"/>
    <w:rsid w:val="4C8F361F"/>
    <w:rsid w:val="4CA7245A"/>
    <w:rsid w:val="4CE2670E"/>
    <w:rsid w:val="4CF82CB6"/>
    <w:rsid w:val="4D0353D3"/>
    <w:rsid w:val="4D0E7075"/>
    <w:rsid w:val="4D1F0151"/>
    <w:rsid w:val="4D247160"/>
    <w:rsid w:val="4D34553A"/>
    <w:rsid w:val="4DA07254"/>
    <w:rsid w:val="4DB0533F"/>
    <w:rsid w:val="4DB72B71"/>
    <w:rsid w:val="4DEC157A"/>
    <w:rsid w:val="4DEF350C"/>
    <w:rsid w:val="4E282A42"/>
    <w:rsid w:val="4E46299E"/>
    <w:rsid w:val="4E796078"/>
    <w:rsid w:val="4EDB463D"/>
    <w:rsid w:val="4EF851EF"/>
    <w:rsid w:val="4F035942"/>
    <w:rsid w:val="4F0470B7"/>
    <w:rsid w:val="4F146605"/>
    <w:rsid w:val="4F1518F4"/>
    <w:rsid w:val="4F6D1CB2"/>
    <w:rsid w:val="4F90146C"/>
    <w:rsid w:val="4FB329D5"/>
    <w:rsid w:val="4FB54E8E"/>
    <w:rsid w:val="50083210"/>
    <w:rsid w:val="50175B49"/>
    <w:rsid w:val="502618E8"/>
    <w:rsid w:val="504E3788"/>
    <w:rsid w:val="506B19F1"/>
    <w:rsid w:val="50CB269F"/>
    <w:rsid w:val="50FB4B23"/>
    <w:rsid w:val="511300BE"/>
    <w:rsid w:val="51204589"/>
    <w:rsid w:val="513149E8"/>
    <w:rsid w:val="51383FC9"/>
    <w:rsid w:val="514C61B1"/>
    <w:rsid w:val="51581F75"/>
    <w:rsid w:val="516C3C72"/>
    <w:rsid w:val="517B5C63"/>
    <w:rsid w:val="5189520E"/>
    <w:rsid w:val="518A5EA7"/>
    <w:rsid w:val="518C7E71"/>
    <w:rsid w:val="51B42304"/>
    <w:rsid w:val="51EE67C4"/>
    <w:rsid w:val="521917B4"/>
    <w:rsid w:val="52410C5B"/>
    <w:rsid w:val="529E1CF4"/>
    <w:rsid w:val="52A31916"/>
    <w:rsid w:val="52C7288B"/>
    <w:rsid w:val="53095D77"/>
    <w:rsid w:val="53135C11"/>
    <w:rsid w:val="53147B08"/>
    <w:rsid w:val="533261D8"/>
    <w:rsid w:val="53535297"/>
    <w:rsid w:val="53B271C1"/>
    <w:rsid w:val="54372316"/>
    <w:rsid w:val="543C792C"/>
    <w:rsid w:val="544019EF"/>
    <w:rsid w:val="544E3E87"/>
    <w:rsid w:val="5452714F"/>
    <w:rsid w:val="54880DC3"/>
    <w:rsid w:val="549B52D9"/>
    <w:rsid w:val="549C6366"/>
    <w:rsid w:val="54CF07A0"/>
    <w:rsid w:val="54D77655"/>
    <w:rsid w:val="55085A60"/>
    <w:rsid w:val="551B5793"/>
    <w:rsid w:val="55674D18"/>
    <w:rsid w:val="556D6F2D"/>
    <w:rsid w:val="55766AF5"/>
    <w:rsid w:val="558A2919"/>
    <w:rsid w:val="55936085"/>
    <w:rsid w:val="55AC288F"/>
    <w:rsid w:val="55D83684"/>
    <w:rsid w:val="55F34962"/>
    <w:rsid w:val="56204B57"/>
    <w:rsid w:val="56315AD6"/>
    <w:rsid w:val="564A7EB5"/>
    <w:rsid w:val="56566B51"/>
    <w:rsid w:val="56925F29"/>
    <w:rsid w:val="56A456E3"/>
    <w:rsid w:val="56D61BF7"/>
    <w:rsid w:val="56DB78D0"/>
    <w:rsid w:val="56DC71A4"/>
    <w:rsid w:val="570D3802"/>
    <w:rsid w:val="571704F1"/>
    <w:rsid w:val="571E097E"/>
    <w:rsid w:val="571E706C"/>
    <w:rsid w:val="575651A9"/>
    <w:rsid w:val="57877110"/>
    <w:rsid w:val="57AE6D93"/>
    <w:rsid w:val="57BA1481"/>
    <w:rsid w:val="57DB56AE"/>
    <w:rsid w:val="580E5A6B"/>
    <w:rsid w:val="58190752"/>
    <w:rsid w:val="58443253"/>
    <w:rsid w:val="58515970"/>
    <w:rsid w:val="58670CF0"/>
    <w:rsid w:val="5870229A"/>
    <w:rsid w:val="588B70D4"/>
    <w:rsid w:val="5896478A"/>
    <w:rsid w:val="58A071D2"/>
    <w:rsid w:val="58DA5965"/>
    <w:rsid w:val="58DA7713"/>
    <w:rsid w:val="58FC3B2E"/>
    <w:rsid w:val="590A624B"/>
    <w:rsid w:val="59224BD1"/>
    <w:rsid w:val="594F3C5E"/>
    <w:rsid w:val="59743505"/>
    <w:rsid w:val="59E230A4"/>
    <w:rsid w:val="59E4196E"/>
    <w:rsid w:val="59E44CEE"/>
    <w:rsid w:val="59FD5DAF"/>
    <w:rsid w:val="5A4667C0"/>
    <w:rsid w:val="5A6A4AC7"/>
    <w:rsid w:val="5A785436"/>
    <w:rsid w:val="5A873BE9"/>
    <w:rsid w:val="5A8B6F17"/>
    <w:rsid w:val="5AD84631"/>
    <w:rsid w:val="5AFA409D"/>
    <w:rsid w:val="5B0E7B48"/>
    <w:rsid w:val="5B2168CC"/>
    <w:rsid w:val="5B36311C"/>
    <w:rsid w:val="5BA02E96"/>
    <w:rsid w:val="5BA069F2"/>
    <w:rsid w:val="5BB029AE"/>
    <w:rsid w:val="5BCF72D8"/>
    <w:rsid w:val="5BE17BA0"/>
    <w:rsid w:val="5BE56AFB"/>
    <w:rsid w:val="5BF768E4"/>
    <w:rsid w:val="5BFD3E45"/>
    <w:rsid w:val="5C136600"/>
    <w:rsid w:val="5C546332"/>
    <w:rsid w:val="5C8956D8"/>
    <w:rsid w:val="5CCA3227"/>
    <w:rsid w:val="5CF1327E"/>
    <w:rsid w:val="5CF15028"/>
    <w:rsid w:val="5D140E71"/>
    <w:rsid w:val="5D431D2B"/>
    <w:rsid w:val="5D722610"/>
    <w:rsid w:val="5D7E0027"/>
    <w:rsid w:val="5D99795B"/>
    <w:rsid w:val="5DB509BE"/>
    <w:rsid w:val="5DBE5340"/>
    <w:rsid w:val="5DEA73A2"/>
    <w:rsid w:val="5DFC6192"/>
    <w:rsid w:val="5E2558D5"/>
    <w:rsid w:val="5E6F4DEB"/>
    <w:rsid w:val="5EA902B4"/>
    <w:rsid w:val="5EBD3A80"/>
    <w:rsid w:val="5EDF5A84"/>
    <w:rsid w:val="5F015114"/>
    <w:rsid w:val="5F9A7BFD"/>
    <w:rsid w:val="5F9E00F6"/>
    <w:rsid w:val="5FC30F01"/>
    <w:rsid w:val="603D6F06"/>
    <w:rsid w:val="6054424F"/>
    <w:rsid w:val="605B55DE"/>
    <w:rsid w:val="60951ECC"/>
    <w:rsid w:val="609B59DA"/>
    <w:rsid w:val="60BC04C4"/>
    <w:rsid w:val="60D4713E"/>
    <w:rsid w:val="60EC42E8"/>
    <w:rsid w:val="60FD0443"/>
    <w:rsid w:val="6106379C"/>
    <w:rsid w:val="612B3202"/>
    <w:rsid w:val="613C71BD"/>
    <w:rsid w:val="6142054C"/>
    <w:rsid w:val="61741211"/>
    <w:rsid w:val="6183303E"/>
    <w:rsid w:val="61B03707"/>
    <w:rsid w:val="61E0440F"/>
    <w:rsid w:val="61ED6709"/>
    <w:rsid w:val="61EF6513"/>
    <w:rsid w:val="61FE2209"/>
    <w:rsid w:val="62154E77"/>
    <w:rsid w:val="62424538"/>
    <w:rsid w:val="62942311"/>
    <w:rsid w:val="62AE5245"/>
    <w:rsid w:val="62BC7B77"/>
    <w:rsid w:val="63054145"/>
    <w:rsid w:val="63133F4E"/>
    <w:rsid w:val="63AA3442"/>
    <w:rsid w:val="64093319"/>
    <w:rsid w:val="64144421"/>
    <w:rsid w:val="644741AF"/>
    <w:rsid w:val="64487C27"/>
    <w:rsid w:val="64754A6B"/>
    <w:rsid w:val="64B13A1E"/>
    <w:rsid w:val="64C05429"/>
    <w:rsid w:val="64D4595F"/>
    <w:rsid w:val="64D616D7"/>
    <w:rsid w:val="651138C0"/>
    <w:rsid w:val="65226A22"/>
    <w:rsid w:val="652B2113"/>
    <w:rsid w:val="654E74BF"/>
    <w:rsid w:val="65510D5D"/>
    <w:rsid w:val="65705687"/>
    <w:rsid w:val="6578278E"/>
    <w:rsid w:val="657D7CEA"/>
    <w:rsid w:val="65A03F69"/>
    <w:rsid w:val="65B80DDC"/>
    <w:rsid w:val="65FB00E6"/>
    <w:rsid w:val="660040A9"/>
    <w:rsid w:val="6602250D"/>
    <w:rsid w:val="661728A5"/>
    <w:rsid w:val="66611474"/>
    <w:rsid w:val="66A355E9"/>
    <w:rsid w:val="66C13CC1"/>
    <w:rsid w:val="66CB507A"/>
    <w:rsid w:val="66DB4D83"/>
    <w:rsid w:val="66E45D82"/>
    <w:rsid w:val="66F57D8A"/>
    <w:rsid w:val="66F83B86"/>
    <w:rsid w:val="670B429A"/>
    <w:rsid w:val="677421AE"/>
    <w:rsid w:val="67B423A2"/>
    <w:rsid w:val="67B51A77"/>
    <w:rsid w:val="67F87BB6"/>
    <w:rsid w:val="68305A29"/>
    <w:rsid w:val="6841155D"/>
    <w:rsid w:val="68574A04"/>
    <w:rsid w:val="686178A3"/>
    <w:rsid w:val="6870599E"/>
    <w:rsid w:val="687F7C3A"/>
    <w:rsid w:val="68831B76"/>
    <w:rsid w:val="688A09FF"/>
    <w:rsid w:val="68994EF5"/>
    <w:rsid w:val="68996CA3"/>
    <w:rsid w:val="68B95597"/>
    <w:rsid w:val="68C47A98"/>
    <w:rsid w:val="68FC491F"/>
    <w:rsid w:val="690F0E48"/>
    <w:rsid w:val="69210AA2"/>
    <w:rsid w:val="69386686"/>
    <w:rsid w:val="695E7EED"/>
    <w:rsid w:val="696234F6"/>
    <w:rsid w:val="69676EC6"/>
    <w:rsid w:val="69FD14B4"/>
    <w:rsid w:val="6A44150A"/>
    <w:rsid w:val="6A464C09"/>
    <w:rsid w:val="6A6340DD"/>
    <w:rsid w:val="6A7A48B2"/>
    <w:rsid w:val="6A8A705B"/>
    <w:rsid w:val="6AA858C3"/>
    <w:rsid w:val="6ACD532A"/>
    <w:rsid w:val="6AD93CCF"/>
    <w:rsid w:val="6B01685A"/>
    <w:rsid w:val="6B083FB4"/>
    <w:rsid w:val="6B182A49"/>
    <w:rsid w:val="6B421874"/>
    <w:rsid w:val="6B4636FB"/>
    <w:rsid w:val="6B673089"/>
    <w:rsid w:val="6B76151E"/>
    <w:rsid w:val="6B7C1223"/>
    <w:rsid w:val="6BA52DFB"/>
    <w:rsid w:val="6BB24B6D"/>
    <w:rsid w:val="6BCE135A"/>
    <w:rsid w:val="6BD821D8"/>
    <w:rsid w:val="6C1B5A77"/>
    <w:rsid w:val="6C33653A"/>
    <w:rsid w:val="6C493CA6"/>
    <w:rsid w:val="6C6B6BA9"/>
    <w:rsid w:val="6C9E6F7E"/>
    <w:rsid w:val="6CCB1C32"/>
    <w:rsid w:val="6CE508F4"/>
    <w:rsid w:val="6CEC7E0E"/>
    <w:rsid w:val="6D396CA7"/>
    <w:rsid w:val="6D423BE5"/>
    <w:rsid w:val="6D527D69"/>
    <w:rsid w:val="6DB70662"/>
    <w:rsid w:val="6DBB3A8B"/>
    <w:rsid w:val="6DC42DDC"/>
    <w:rsid w:val="6DFB21AE"/>
    <w:rsid w:val="6E244655"/>
    <w:rsid w:val="6E414065"/>
    <w:rsid w:val="6E903014"/>
    <w:rsid w:val="6ED50C51"/>
    <w:rsid w:val="6EE175F6"/>
    <w:rsid w:val="6EF70BC7"/>
    <w:rsid w:val="6EFE7B32"/>
    <w:rsid w:val="6F0230C8"/>
    <w:rsid w:val="6F0C7EFF"/>
    <w:rsid w:val="6F283DC3"/>
    <w:rsid w:val="6F611B12"/>
    <w:rsid w:val="6F6852B4"/>
    <w:rsid w:val="6F743FC6"/>
    <w:rsid w:val="6F7C6062"/>
    <w:rsid w:val="6F9344A7"/>
    <w:rsid w:val="6FC32A31"/>
    <w:rsid w:val="6FD068D1"/>
    <w:rsid w:val="6FE95B70"/>
    <w:rsid w:val="70157679"/>
    <w:rsid w:val="70247661"/>
    <w:rsid w:val="704C6CF1"/>
    <w:rsid w:val="708278EF"/>
    <w:rsid w:val="7084648B"/>
    <w:rsid w:val="70875F7B"/>
    <w:rsid w:val="709A3F0B"/>
    <w:rsid w:val="70A42689"/>
    <w:rsid w:val="70BB1864"/>
    <w:rsid w:val="70F74EAF"/>
    <w:rsid w:val="710B44B6"/>
    <w:rsid w:val="71175551"/>
    <w:rsid w:val="71213CDA"/>
    <w:rsid w:val="71245578"/>
    <w:rsid w:val="71515532"/>
    <w:rsid w:val="716704ED"/>
    <w:rsid w:val="717E112C"/>
    <w:rsid w:val="718C1A9B"/>
    <w:rsid w:val="71940C37"/>
    <w:rsid w:val="719B1CDE"/>
    <w:rsid w:val="71B40FF2"/>
    <w:rsid w:val="71D4093A"/>
    <w:rsid w:val="71E6178F"/>
    <w:rsid w:val="71FA0CB6"/>
    <w:rsid w:val="71FA51AB"/>
    <w:rsid w:val="72225F5B"/>
    <w:rsid w:val="723C1BCA"/>
    <w:rsid w:val="724063E2"/>
    <w:rsid w:val="725C32F5"/>
    <w:rsid w:val="72671BC0"/>
    <w:rsid w:val="72CE003A"/>
    <w:rsid w:val="73027B3B"/>
    <w:rsid w:val="7309711B"/>
    <w:rsid w:val="73440153"/>
    <w:rsid w:val="73D61710"/>
    <w:rsid w:val="740E2074"/>
    <w:rsid w:val="74277859"/>
    <w:rsid w:val="74357673"/>
    <w:rsid w:val="743957DE"/>
    <w:rsid w:val="744F185B"/>
    <w:rsid w:val="74AE04E1"/>
    <w:rsid w:val="74BF5767"/>
    <w:rsid w:val="74EB49E5"/>
    <w:rsid w:val="7536737D"/>
    <w:rsid w:val="75460881"/>
    <w:rsid w:val="75795EB8"/>
    <w:rsid w:val="759B3E2D"/>
    <w:rsid w:val="759E7FEF"/>
    <w:rsid w:val="75A02087"/>
    <w:rsid w:val="75B3511C"/>
    <w:rsid w:val="75E83018"/>
    <w:rsid w:val="75FB6152"/>
    <w:rsid w:val="76022E20"/>
    <w:rsid w:val="76081301"/>
    <w:rsid w:val="76254326"/>
    <w:rsid w:val="76257DC8"/>
    <w:rsid w:val="76876CD5"/>
    <w:rsid w:val="76E47C83"/>
    <w:rsid w:val="77145783"/>
    <w:rsid w:val="773521BD"/>
    <w:rsid w:val="776159C8"/>
    <w:rsid w:val="7763329E"/>
    <w:rsid w:val="77640DC4"/>
    <w:rsid w:val="77B7489D"/>
    <w:rsid w:val="77D077EB"/>
    <w:rsid w:val="77D94C7B"/>
    <w:rsid w:val="77E12630"/>
    <w:rsid w:val="77F5267D"/>
    <w:rsid w:val="77F55EC0"/>
    <w:rsid w:val="77F959B0"/>
    <w:rsid w:val="77FA7033"/>
    <w:rsid w:val="781B0B0C"/>
    <w:rsid w:val="78362761"/>
    <w:rsid w:val="783E1615"/>
    <w:rsid w:val="786170B2"/>
    <w:rsid w:val="78B47B29"/>
    <w:rsid w:val="790E7239"/>
    <w:rsid w:val="79395A45"/>
    <w:rsid w:val="79613FA2"/>
    <w:rsid w:val="7967609A"/>
    <w:rsid w:val="798017B9"/>
    <w:rsid w:val="79A17092"/>
    <w:rsid w:val="79EF706B"/>
    <w:rsid w:val="7A2B3E1B"/>
    <w:rsid w:val="7A85352B"/>
    <w:rsid w:val="7A8B5F65"/>
    <w:rsid w:val="7AC87C6E"/>
    <w:rsid w:val="7B0B2ED3"/>
    <w:rsid w:val="7B3138B1"/>
    <w:rsid w:val="7B345DBD"/>
    <w:rsid w:val="7B3C7253"/>
    <w:rsid w:val="7B453D8F"/>
    <w:rsid w:val="7B945AC1"/>
    <w:rsid w:val="7BA651DA"/>
    <w:rsid w:val="7BA961EF"/>
    <w:rsid w:val="7BC152F3"/>
    <w:rsid w:val="7BF87D2D"/>
    <w:rsid w:val="7BFD5343"/>
    <w:rsid w:val="7C057252"/>
    <w:rsid w:val="7C4116D4"/>
    <w:rsid w:val="7C7A6994"/>
    <w:rsid w:val="7CB67F5B"/>
    <w:rsid w:val="7CC26095"/>
    <w:rsid w:val="7CCE6EE1"/>
    <w:rsid w:val="7CEF259B"/>
    <w:rsid w:val="7D0278ED"/>
    <w:rsid w:val="7D6338E6"/>
    <w:rsid w:val="7D6E474B"/>
    <w:rsid w:val="7D781125"/>
    <w:rsid w:val="7D831878"/>
    <w:rsid w:val="7D9571CC"/>
    <w:rsid w:val="7DA0242A"/>
    <w:rsid w:val="7DB051E5"/>
    <w:rsid w:val="7DC4454C"/>
    <w:rsid w:val="7E060754"/>
    <w:rsid w:val="7E4513B9"/>
    <w:rsid w:val="7E461224"/>
    <w:rsid w:val="7E5E47BF"/>
    <w:rsid w:val="7E73396A"/>
    <w:rsid w:val="7E751308"/>
    <w:rsid w:val="7E7E2E05"/>
    <w:rsid w:val="7EA36676"/>
    <w:rsid w:val="7EC54522"/>
    <w:rsid w:val="7EDE145C"/>
    <w:rsid w:val="7EEC2135"/>
    <w:rsid w:val="7EF24F07"/>
    <w:rsid w:val="7F2D7CEE"/>
    <w:rsid w:val="7F565E49"/>
    <w:rsid w:val="7F6470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weight="5.5pt" color="#000000" linestyle="thickThin"/>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iPriority="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qFormat="1" w:uiPriority="0" w:semiHidden="0" w:name="Block Text"/>
    <w:lsdException w:qFormat="1" w:unhideWhenUsed="0" w:uiPriority="99" w:semiHidden="0" w:name="Hyperlink"/>
    <w:lsdException w:uiPriority="0" w:name="FollowedHyperlink"/>
    <w:lsdException w:qFormat="1" w:unhideWhenUsed="0" w:uiPriority="22"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lang w:val="en-US" w:eastAsia="zh-CN" w:bidi="ar-SA"/>
    </w:rPr>
  </w:style>
  <w:style w:type="paragraph" w:styleId="2">
    <w:name w:val="heading 1"/>
    <w:basedOn w:val="1"/>
    <w:next w:val="3"/>
    <w:autoRedefine/>
    <w:qFormat/>
    <w:uiPriority w:val="0"/>
    <w:pPr>
      <w:keepNext/>
      <w:keepLines/>
      <w:tabs>
        <w:tab w:val="left" w:pos="420"/>
      </w:tabs>
      <w:spacing w:before="150" w:beforeLines="150" w:line="360" w:lineRule="auto"/>
      <w:outlineLvl w:val="0"/>
    </w:pPr>
    <w:rPr>
      <w:rFonts w:ascii="黑体" w:eastAsia="黑体"/>
      <w:bCs/>
      <w:kern w:val="44"/>
      <w:szCs w:val="44"/>
    </w:rPr>
  </w:style>
  <w:style w:type="paragraph" w:styleId="4">
    <w:name w:val="heading 2"/>
    <w:basedOn w:val="1"/>
    <w:next w:val="1"/>
    <w:autoRedefine/>
    <w:qFormat/>
    <w:uiPriority w:val="0"/>
    <w:pPr>
      <w:keepNext/>
      <w:keepLines/>
      <w:tabs>
        <w:tab w:val="left" w:pos="616"/>
      </w:tabs>
      <w:spacing w:line="360" w:lineRule="auto"/>
      <w:outlineLvl w:val="1"/>
    </w:pPr>
    <w:rPr>
      <w:rFonts w:ascii="黑体" w:hAnsi="Arial" w:eastAsia="黑体"/>
      <w:bCs/>
      <w:szCs w:val="32"/>
    </w:rPr>
  </w:style>
  <w:style w:type="paragraph" w:styleId="5">
    <w:name w:val="heading 3"/>
    <w:basedOn w:val="1"/>
    <w:next w:val="1"/>
    <w:autoRedefine/>
    <w:qFormat/>
    <w:uiPriority w:val="0"/>
    <w:pPr>
      <w:keepNext/>
      <w:keepLines/>
      <w:tabs>
        <w:tab w:val="left" w:pos="840"/>
      </w:tabs>
      <w:spacing w:line="360" w:lineRule="auto"/>
      <w:outlineLvl w:val="2"/>
    </w:pPr>
    <w:rPr>
      <w:rFonts w:ascii="黑体" w:eastAsia="黑体"/>
      <w:bCs/>
      <w:szCs w:val="32"/>
    </w:rPr>
  </w:style>
  <w:style w:type="paragraph" w:styleId="6">
    <w:name w:val="heading 4"/>
    <w:basedOn w:val="1"/>
    <w:next w:val="3"/>
    <w:autoRedefine/>
    <w:qFormat/>
    <w:uiPriority w:val="0"/>
    <w:pPr>
      <w:keepNext/>
      <w:keepLines/>
      <w:tabs>
        <w:tab w:val="left" w:pos="1092"/>
      </w:tabs>
      <w:spacing w:line="360" w:lineRule="auto"/>
      <w:outlineLvl w:val="3"/>
    </w:pPr>
    <w:rPr>
      <w:rFonts w:ascii="黑体" w:hAnsi="Arial" w:eastAsia="黑体"/>
      <w:bCs/>
      <w:szCs w:val="28"/>
    </w:rPr>
  </w:style>
  <w:style w:type="paragraph" w:styleId="7">
    <w:name w:val="heading 5"/>
    <w:basedOn w:val="6"/>
    <w:next w:val="3"/>
    <w:autoRedefine/>
    <w:qFormat/>
    <w:uiPriority w:val="0"/>
    <w:pPr>
      <w:tabs>
        <w:tab w:val="left" w:pos="1344"/>
        <w:tab w:val="clear" w:pos="1092"/>
      </w:tabs>
      <w:outlineLvl w:val="4"/>
    </w:pPr>
    <w:rPr>
      <w:bCs w:val="0"/>
    </w:rPr>
  </w:style>
  <w:style w:type="character" w:default="1" w:styleId="27">
    <w:name w:val="Default Paragraph Font"/>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3">
    <w:name w:val="Normal Indent"/>
    <w:basedOn w:val="1"/>
    <w:link w:val="31"/>
    <w:autoRedefine/>
    <w:qFormat/>
    <w:uiPriority w:val="0"/>
    <w:pPr>
      <w:spacing w:line="360" w:lineRule="auto"/>
      <w:ind w:firstLine="200" w:firstLineChars="200"/>
    </w:pPr>
  </w:style>
  <w:style w:type="paragraph" w:styleId="8">
    <w:name w:val="toc 7"/>
    <w:basedOn w:val="1"/>
    <w:next w:val="1"/>
    <w:autoRedefine/>
    <w:semiHidden/>
    <w:qFormat/>
    <w:uiPriority w:val="0"/>
    <w:pPr>
      <w:spacing w:line="360" w:lineRule="auto"/>
      <w:ind w:left="2520" w:leftChars="1200"/>
    </w:pPr>
  </w:style>
  <w:style w:type="paragraph" w:styleId="9">
    <w:name w:val="caption"/>
    <w:basedOn w:val="1"/>
    <w:next w:val="3"/>
    <w:link w:val="73"/>
    <w:autoRedefine/>
    <w:qFormat/>
    <w:uiPriority w:val="0"/>
    <w:pPr>
      <w:spacing w:line="360" w:lineRule="auto"/>
      <w:jc w:val="center"/>
    </w:pPr>
    <w:rPr>
      <w:rFonts w:eastAsia="黑体" w:cs="Arial"/>
      <w:sz w:val="21"/>
    </w:rPr>
  </w:style>
  <w:style w:type="paragraph" w:styleId="10">
    <w:name w:val="Document Map"/>
    <w:basedOn w:val="1"/>
    <w:link w:val="60"/>
    <w:autoRedefine/>
    <w:qFormat/>
    <w:uiPriority w:val="0"/>
    <w:rPr>
      <w:rFonts w:ascii="宋体"/>
      <w:sz w:val="18"/>
      <w:szCs w:val="18"/>
    </w:rPr>
  </w:style>
  <w:style w:type="paragraph" w:styleId="11">
    <w:name w:val="annotation text"/>
    <w:basedOn w:val="1"/>
    <w:autoRedefine/>
    <w:semiHidden/>
    <w:unhideWhenUsed/>
    <w:qFormat/>
    <w:uiPriority w:val="0"/>
    <w:pPr>
      <w:jc w:val="left"/>
    </w:pPr>
  </w:style>
  <w:style w:type="paragraph" w:styleId="12">
    <w:name w:val="Body Text"/>
    <w:basedOn w:val="1"/>
    <w:autoRedefine/>
    <w:qFormat/>
    <w:uiPriority w:val="0"/>
    <w:pPr>
      <w:spacing w:line="360" w:lineRule="auto"/>
    </w:pPr>
    <w:rPr>
      <w:snapToGrid w:val="0"/>
    </w:rPr>
  </w:style>
  <w:style w:type="paragraph" w:styleId="13">
    <w:name w:val="Block Text"/>
    <w:basedOn w:val="1"/>
    <w:autoRedefine/>
    <w:unhideWhenUsed/>
    <w:qFormat/>
    <w:uiPriority w:val="0"/>
    <w:pPr>
      <w:spacing w:after="120"/>
      <w:ind w:left="1440" w:leftChars="700" w:right="1440" w:rightChars="700"/>
    </w:pPr>
    <w:rPr>
      <w:rFonts w:ascii="Calibri" w:hAnsi="Calibri"/>
      <w:sz w:val="21"/>
      <w:szCs w:val="24"/>
    </w:rPr>
  </w:style>
  <w:style w:type="paragraph" w:styleId="14">
    <w:name w:val="toc 5"/>
    <w:basedOn w:val="1"/>
    <w:next w:val="1"/>
    <w:autoRedefine/>
    <w:semiHidden/>
    <w:qFormat/>
    <w:uiPriority w:val="0"/>
    <w:pPr>
      <w:spacing w:line="360" w:lineRule="auto"/>
    </w:pPr>
  </w:style>
  <w:style w:type="paragraph" w:styleId="15">
    <w:name w:val="toc 3"/>
    <w:basedOn w:val="1"/>
    <w:next w:val="1"/>
    <w:autoRedefine/>
    <w:qFormat/>
    <w:uiPriority w:val="39"/>
    <w:pPr>
      <w:spacing w:line="360" w:lineRule="auto"/>
    </w:pPr>
  </w:style>
  <w:style w:type="paragraph" w:styleId="16">
    <w:name w:val="toc 8"/>
    <w:basedOn w:val="1"/>
    <w:next w:val="1"/>
    <w:autoRedefine/>
    <w:semiHidden/>
    <w:qFormat/>
    <w:uiPriority w:val="0"/>
    <w:pPr>
      <w:spacing w:line="360" w:lineRule="auto"/>
      <w:ind w:left="2940" w:leftChars="1400"/>
    </w:pPr>
  </w:style>
  <w:style w:type="paragraph" w:styleId="17">
    <w:name w:val="footer"/>
    <w:basedOn w:val="1"/>
    <w:autoRedefine/>
    <w:qFormat/>
    <w:uiPriority w:val="0"/>
    <w:pPr>
      <w:tabs>
        <w:tab w:val="center" w:pos="4153"/>
        <w:tab w:val="right" w:pos="8306"/>
      </w:tabs>
      <w:snapToGrid w:val="0"/>
      <w:jc w:val="left"/>
    </w:pPr>
    <w:rPr>
      <w:sz w:val="18"/>
    </w:rPr>
  </w:style>
  <w:style w:type="paragraph" w:styleId="18">
    <w:name w:val="header"/>
    <w:basedOn w:val="1"/>
    <w:link w:val="68"/>
    <w:autoRedefine/>
    <w:qFormat/>
    <w:uiPriority w:val="0"/>
    <w:pPr>
      <w:pBdr>
        <w:bottom w:val="single" w:color="auto" w:sz="6" w:space="1"/>
      </w:pBdr>
      <w:tabs>
        <w:tab w:val="center" w:pos="4153"/>
        <w:tab w:val="right" w:pos="8306"/>
      </w:tabs>
      <w:snapToGrid w:val="0"/>
      <w:jc w:val="center"/>
    </w:pPr>
    <w:rPr>
      <w:sz w:val="18"/>
    </w:rPr>
  </w:style>
  <w:style w:type="paragraph" w:styleId="19">
    <w:name w:val="toc 1"/>
    <w:basedOn w:val="1"/>
    <w:next w:val="1"/>
    <w:autoRedefine/>
    <w:qFormat/>
    <w:uiPriority w:val="39"/>
    <w:pPr>
      <w:tabs>
        <w:tab w:val="left" w:pos="709"/>
        <w:tab w:val="right" w:leader="dot" w:pos="9060"/>
      </w:tabs>
      <w:spacing w:line="360" w:lineRule="auto"/>
    </w:pPr>
  </w:style>
  <w:style w:type="paragraph" w:styleId="20">
    <w:name w:val="toc 4"/>
    <w:basedOn w:val="1"/>
    <w:next w:val="1"/>
    <w:autoRedefine/>
    <w:semiHidden/>
    <w:qFormat/>
    <w:uiPriority w:val="0"/>
    <w:pPr>
      <w:spacing w:line="360" w:lineRule="auto"/>
    </w:pPr>
  </w:style>
  <w:style w:type="paragraph" w:styleId="21">
    <w:name w:val="toc 6"/>
    <w:basedOn w:val="1"/>
    <w:next w:val="1"/>
    <w:autoRedefine/>
    <w:semiHidden/>
    <w:qFormat/>
    <w:uiPriority w:val="0"/>
    <w:pPr>
      <w:spacing w:line="360" w:lineRule="auto"/>
    </w:pPr>
  </w:style>
  <w:style w:type="paragraph" w:styleId="22">
    <w:name w:val="toc 2"/>
    <w:basedOn w:val="1"/>
    <w:next w:val="1"/>
    <w:autoRedefine/>
    <w:qFormat/>
    <w:uiPriority w:val="39"/>
    <w:pPr>
      <w:spacing w:line="360" w:lineRule="auto"/>
    </w:pPr>
  </w:style>
  <w:style w:type="paragraph" w:styleId="23">
    <w:name w:val="toc 9"/>
    <w:basedOn w:val="1"/>
    <w:next w:val="1"/>
    <w:autoRedefine/>
    <w:semiHidden/>
    <w:qFormat/>
    <w:uiPriority w:val="0"/>
    <w:pPr>
      <w:spacing w:line="360" w:lineRule="auto"/>
      <w:ind w:left="3360" w:leftChars="1600"/>
    </w:pPr>
  </w:style>
  <w:style w:type="paragraph" w:styleId="24">
    <w:name w:val="Normal (Web)"/>
    <w:basedOn w:val="1"/>
    <w:autoRedefine/>
    <w:semiHidden/>
    <w:unhideWhenUsed/>
    <w:qFormat/>
    <w:uiPriority w:val="0"/>
  </w:style>
  <w:style w:type="table" w:styleId="26">
    <w:name w:val="Table Grid"/>
    <w:basedOn w:val="25"/>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autoRedefine/>
    <w:qFormat/>
    <w:uiPriority w:val="99"/>
    <w:rPr>
      <w:color w:val="0000FF"/>
      <w:u w:val="single"/>
    </w:rPr>
  </w:style>
  <w:style w:type="character" w:styleId="30">
    <w:name w:val="annotation reference"/>
    <w:basedOn w:val="27"/>
    <w:semiHidden/>
    <w:unhideWhenUsed/>
    <w:qFormat/>
    <w:uiPriority w:val="0"/>
    <w:rPr>
      <w:sz w:val="21"/>
      <w:szCs w:val="21"/>
    </w:rPr>
  </w:style>
  <w:style w:type="character" w:customStyle="1" w:styleId="31">
    <w:name w:val="正文缩进 字符"/>
    <w:link w:val="3"/>
    <w:qFormat/>
    <w:locked/>
    <w:uiPriority w:val="0"/>
    <w:rPr>
      <w:kern w:val="2"/>
      <w:sz w:val="24"/>
    </w:rPr>
  </w:style>
  <w:style w:type="paragraph" w:customStyle="1" w:styleId="32">
    <w:name w:val="页面编号"/>
    <w:next w:val="1"/>
    <w:autoRedefine/>
    <w:qFormat/>
    <w:uiPriority w:val="0"/>
    <w:pPr>
      <w:framePr w:w="8635" w:hSpace="181" w:wrap="around" w:vAnchor="page" w:hAnchor="margin" w:xAlign="center" w:y="2921" w:anchorLock="1"/>
      <w:spacing w:before="240" w:after="240"/>
      <w:jc w:val="center"/>
    </w:pPr>
    <w:rPr>
      <w:rFonts w:ascii="黑体" w:hAnsi="Times New Roman" w:eastAsia="黑体" w:cs="Times New Roman"/>
      <w:spacing w:val="30"/>
      <w:sz w:val="44"/>
      <w:lang w:val="en-US" w:eastAsia="zh-CN" w:bidi="ar-SA"/>
    </w:rPr>
  </w:style>
  <w:style w:type="paragraph" w:customStyle="1" w:styleId="33">
    <w:name w:val="（规范性附录）"/>
    <w:next w:val="34"/>
    <w:autoRedefine/>
    <w:qFormat/>
    <w:uiPriority w:val="0"/>
    <w:pPr>
      <w:numPr>
        <w:ilvl w:val="0"/>
        <w:numId w:val="1"/>
      </w:numPr>
      <w:spacing w:line="360" w:lineRule="auto"/>
      <w:jc w:val="center"/>
      <w:outlineLvl w:val="0"/>
    </w:pPr>
    <w:rPr>
      <w:rFonts w:ascii="Times New Roman" w:hAnsi="Times New Roman" w:eastAsia="黑体" w:cs="Times New Roman"/>
      <w:sz w:val="24"/>
      <w:lang w:val="en-US" w:eastAsia="zh-CN" w:bidi="ar-SA"/>
    </w:rPr>
  </w:style>
  <w:style w:type="paragraph" w:customStyle="1" w:styleId="34">
    <w:name w:val="附录标题"/>
    <w:next w:val="3"/>
    <w:autoRedefine/>
    <w:qFormat/>
    <w:uiPriority w:val="0"/>
    <w:pPr>
      <w:spacing w:line="360" w:lineRule="auto"/>
      <w:jc w:val="center"/>
    </w:pPr>
    <w:rPr>
      <w:rFonts w:ascii="Times New Roman" w:hAnsi="Times New Roman" w:eastAsia="黑体" w:cs="Times New Roman"/>
      <w:sz w:val="24"/>
      <w:lang w:val="en-US" w:eastAsia="zh-CN" w:bidi="ar-SA"/>
    </w:rPr>
  </w:style>
  <w:style w:type="paragraph" w:customStyle="1" w:styleId="35">
    <w:name w:val="（资料性附录）"/>
    <w:next w:val="34"/>
    <w:autoRedefine/>
    <w:qFormat/>
    <w:uiPriority w:val="0"/>
    <w:pPr>
      <w:numPr>
        <w:ilvl w:val="0"/>
        <w:numId w:val="2"/>
      </w:numPr>
      <w:spacing w:line="360" w:lineRule="auto"/>
      <w:jc w:val="center"/>
      <w:outlineLvl w:val="0"/>
    </w:pPr>
    <w:rPr>
      <w:rFonts w:ascii="Times New Roman" w:hAnsi="Times New Roman" w:eastAsia="黑体" w:cs="Times New Roman"/>
      <w:sz w:val="24"/>
      <w:lang w:val="en-US" w:eastAsia="zh-CN" w:bidi="ar-SA"/>
    </w:rPr>
  </w:style>
  <w:style w:type="paragraph" w:customStyle="1" w:styleId="36">
    <w:name w:val="附录标识"/>
    <w:next w:val="34"/>
    <w:autoRedefine/>
    <w:qFormat/>
    <w:uiPriority w:val="0"/>
    <w:pPr>
      <w:numPr>
        <w:ilvl w:val="0"/>
        <w:numId w:val="3"/>
      </w:numPr>
      <w:shd w:val="clear" w:color="FFFFFF" w:fill="FFFFFF"/>
      <w:tabs>
        <w:tab w:val="left" w:pos="6405"/>
      </w:tabs>
      <w:spacing w:line="360" w:lineRule="auto"/>
      <w:jc w:val="center"/>
      <w:outlineLvl w:val="0"/>
    </w:pPr>
    <w:rPr>
      <w:rFonts w:ascii="Times New Roman" w:hAnsi="Times New Roman" w:eastAsia="黑体" w:cs="Times New Roman"/>
      <w:sz w:val="24"/>
      <w:lang w:val="en-US" w:eastAsia="zh-CN" w:bidi="ar-SA"/>
    </w:rPr>
  </w:style>
  <w:style w:type="paragraph" w:customStyle="1" w:styleId="37">
    <w:name w:val="附录表标题"/>
    <w:next w:val="3"/>
    <w:autoRedefine/>
    <w:qFormat/>
    <w:uiPriority w:val="0"/>
    <w:pPr>
      <w:spacing w:line="360" w:lineRule="auto"/>
      <w:jc w:val="center"/>
      <w:textAlignment w:val="baseline"/>
    </w:pPr>
    <w:rPr>
      <w:rFonts w:ascii="Times New Roman" w:hAnsi="Times New Roman" w:eastAsia="黑体" w:cs="Times New Roman"/>
      <w:kern w:val="21"/>
      <w:sz w:val="21"/>
      <w:lang w:val="en-US" w:eastAsia="zh-CN" w:bidi="ar-SA"/>
    </w:rPr>
  </w:style>
  <w:style w:type="paragraph" w:customStyle="1" w:styleId="38">
    <w:name w:val="附录章标题"/>
    <w:next w:val="3"/>
    <w:autoRedefine/>
    <w:qFormat/>
    <w:uiPriority w:val="0"/>
    <w:pPr>
      <w:numPr>
        <w:ilvl w:val="1"/>
        <w:numId w:val="3"/>
      </w:numPr>
      <w:wordWrap w:val="0"/>
      <w:overflowPunct w:val="0"/>
      <w:autoSpaceDE w:val="0"/>
      <w:spacing w:before="150" w:beforeLines="150" w:line="360" w:lineRule="auto"/>
      <w:jc w:val="both"/>
      <w:textAlignment w:val="baseline"/>
      <w:outlineLvl w:val="1"/>
    </w:pPr>
    <w:rPr>
      <w:rFonts w:ascii="Times New Roman" w:hAnsi="Times New Roman" w:eastAsia="黑体" w:cs="Times New Roman"/>
      <w:kern w:val="21"/>
      <w:sz w:val="24"/>
      <w:lang w:val="en-US" w:eastAsia="zh-CN" w:bidi="ar-SA"/>
    </w:rPr>
  </w:style>
  <w:style w:type="paragraph" w:customStyle="1" w:styleId="39">
    <w:name w:val="附录一级条标题"/>
    <w:basedOn w:val="38"/>
    <w:next w:val="3"/>
    <w:autoRedefine/>
    <w:qFormat/>
    <w:uiPriority w:val="0"/>
    <w:pPr>
      <w:numPr>
        <w:ilvl w:val="2"/>
      </w:numPr>
      <w:autoSpaceDN w:val="0"/>
      <w:spacing w:before="0" w:beforeLines="0"/>
      <w:outlineLvl w:val="2"/>
    </w:pPr>
  </w:style>
  <w:style w:type="paragraph" w:customStyle="1" w:styleId="40">
    <w:name w:val="附录二级条标题"/>
    <w:basedOn w:val="39"/>
    <w:next w:val="3"/>
    <w:autoRedefine/>
    <w:qFormat/>
    <w:uiPriority w:val="0"/>
    <w:pPr>
      <w:numPr>
        <w:ilvl w:val="3"/>
      </w:numPr>
      <w:outlineLvl w:val="3"/>
    </w:pPr>
  </w:style>
  <w:style w:type="paragraph" w:customStyle="1" w:styleId="41">
    <w:name w:val="附录三级条标题"/>
    <w:basedOn w:val="40"/>
    <w:next w:val="3"/>
    <w:autoRedefine/>
    <w:qFormat/>
    <w:uiPriority w:val="0"/>
    <w:pPr>
      <w:numPr>
        <w:ilvl w:val="4"/>
      </w:numPr>
      <w:outlineLvl w:val="4"/>
    </w:pPr>
  </w:style>
  <w:style w:type="paragraph" w:customStyle="1" w:styleId="42">
    <w:name w:val="附录四级条标题"/>
    <w:basedOn w:val="41"/>
    <w:next w:val="3"/>
    <w:autoRedefine/>
    <w:qFormat/>
    <w:uiPriority w:val="0"/>
    <w:pPr>
      <w:numPr>
        <w:ilvl w:val="5"/>
      </w:numPr>
      <w:outlineLvl w:val="5"/>
    </w:pPr>
  </w:style>
  <w:style w:type="paragraph" w:customStyle="1" w:styleId="43">
    <w:name w:val="附录图标题"/>
    <w:next w:val="3"/>
    <w:autoRedefine/>
    <w:qFormat/>
    <w:uiPriority w:val="0"/>
    <w:pPr>
      <w:spacing w:line="360" w:lineRule="auto"/>
      <w:jc w:val="center"/>
    </w:pPr>
    <w:rPr>
      <w:rFonts w:ascii="Times New Roman" w:hAnsi="Times New Roman" w:eastAsia="黑体" w:cs="Times New Roman"/>
      <w:sz w:val="21"/>
      <w:lang w:val="en-US" w:eastAsia="zh-CN" w:bidi="ar-SA"/>
    </w:rPr>
  </w:style>
  <w:style w:type="paragraph" w:customStyle="1" w:styleId="44">
    <w:name w:val="附录五级条标题"/>
    <w:basedOn w:val="42"/>
    <w:next w:val="3"/>
    <w:autoRedefine/>
    <w:qFormat/>
    <w:uiPriority w:val="0"/>
    <w:pPr>
      <w:numPr>
        <w:ilvl w:val="6"/>
      </w:numPr>
      <w:outlineLvl w:val="6"/>
    </w:pPr>
  </w:style>
  <w:style w:type="paragraph" w:customStyle="1" w:styleId="45">
    <w:name w:val="图、表标题"/>
    <w:next w:val="3"/>
    <w:autoRedefine/>
    <w:qFormat/>
    <w:uiPriority w:val="0"/>
    <w:pPr>
      <w:spacing w:line="360" w:lineRule="auto"/>
      <w:jc w:val="center"/>
    </w:pPr>
    <w:rPr>
      <w:rFonts w:ascii="Times New Roman" w:hAnsi="Times New Roman" w:eastAsia="黑体" w:cs="Times New Roman"/>
      <w:sz w:val="21"/>
      <w:lang w:val="en-US" w:eastAsia="zh-CN" w:bidi="ar-SA"/>
    </w:rPr>
  </w:style>
  <w:style w:type="paragraph" w:customStyle="1" w:styleId="46">
    <w:name w:val="章标题"/>
    <w:basedOn w:val="1"/>
    <w:next w:val="3"/>
    <w:autoRedefine/>
    <w:qFormat/>
    <w:uiPriority w:val="0"/>
    <w:pPr>
      <w:numPr>
        <w:ilvl w:val="1"/>
        <w:numId w:val="4"/>
      </w:numPr>
      <w:spacing w:before="150" w:beforeLines="150" w:line="360" w:lineRule="auto"/>
      <w:outlineLvl w:val="1"/>
    </w:pPr>
    <w:rPr>
      <w:rFonts w:eastAsia="黑体"/>
    </w:rPr>
  </w:style>
  <w:style w:type="paragraph" w:customStyle="1" w:styleId="47">
    <w:name w:val="一级条标题"/>
    <w:basedOn w:val="46"/>
    <w:next w:val="3"/>
    <w:autoRedefine/>
    <w:qFormat/>
    <w:uiPriority w:val="0"/>
    <w:pPr>
      <w:numPr>
        <w:ilvl w:val="2"/>
      </w:numPr>
      <w:spacing w:before="0" w:beforeLines="0"/>
      <w:outlineLvl w:val="2"/>
    </w:pPr>
  </w:style>
  <w:style w:type="paragraph" w:customStyle="1" w:styleId="48">
    <w:name w:val="二级条标题"/>
    <w:basedOn w:val="47"/>
    <w:next w:val="3"/>
    <w:autoRedefine/>
    <w:qFormat/>
    <w:uiPriority w:val="0"/>
    <w:pPr>
      <w:numPr>
        <w:ilvl w:val="3"/>
      </w:numPr>
      <w:outlineLvl w:val="3"/>
    </w:pPr>
  </w:style>
  <w:style w:type="paragraph" w:customStyle="1" w:styleId="49">
    <w:name w:val="目次"/>
    <w:next w:val="12"/>
    <w:autoRedefine/>
    <w:qFormat/>
    <w:uiPriority w:val="0"/>
    <w:pPr>
      <w:numPr>
        <w:ilvl w:val="0"/>
        <w:numId w:val="5"/>
      </w:numPr>
      <w:spacing w:after="150" w:afterLines="150" w:line="360" w:lineRule="auto"/>
      <w:jc w:val="center"/>
    </w:pPr>
    <w:rPr>
      <w:rFonts w:ascii="Times New Roman" w:hAnsi="Times New Roman" w:eastAsia="黑体" w:cs="Times New Roman"/>
      <w:sz w:val="32"/>
      <w:lang w:val="en-US" w:eastAsia="zh-CN" w:bidi="ar-SA"/>
    </w:rPr>
  </w:style>
  <w:style w:type="paragraph" w:customStyle="1" w:styleId="50">
    <w:name w:val="三级条标题"/>
    <w:basedOn w:val="48"/>
    <w:next w:val="3"/>
    <w:autoRedefine/>
    <w:qFormat/>
    <w:uiPriority w:val="0"/>
    <w:pPr>
      <w:numPr>
        <w:ilvl w:val="4"/>
      </w:numPr>
      <w:outlineLvl w:val="4"/>
    </w:pPr>
  </w:style>
  <w:style w:type="paragraph" w:customStyle="1" w:styleId="51">
    <w:name w:val="数字编号列项（二级）"/>
    <w:autoRedefine/>
    <w:qFormat/>
    <w:uiPriority w:val="0"/>
    <w:pPr>
      <w:spacing w:line="360" w:lineRule="auto"/>
      <w:ind w:left="1600" w:leftChars="400" w:hanging="480" w:hangingChars="200"/>
      <w:jc w:val="both"/>
    </w:pPr>
    <w:rPr>
      <w:rFonts w:ascii="宋体" w:hAnsi="Times New Roman" w:eastAsia="宋体" w:cs="Times New Roman"/>
      <w:sz w:val="24"/>
      <w:lang w:val="en-US" w:eastAsia="zh-CN" w:bidi="ar-SA"/>
    </w:rPr>
  </w:style>
  <w:style w:type="paragraph" w:customStyle="1" w:styleId="52">
    <w:name w:val="四级条标题"/>
    <w:basedOn w:val="50"/>
    <w:next w:val="3"/>
    <w:autoRedefine/>
    <w:qFormat/>
    <w:uiPriority w:val="0"/>
    <w:pPr>
      <w:numPr>
        <w:ilvl w:val="5"/>
      </w:numPr>
      <w:outlineLvl w:val="5"/>
    </w:pPr>
  </w:style>
  <w:style w:type="paragraph" w:customStyle="1" w:styleId="53">
    <w:name w:val="五级条标题"/>
    <w:basedOn w:val="52"/>
    <w:next w:val="3"/>
    <w:autoRedefine/>
    <w:qFormat/>
    <w:uiPriority w:val="0"/>
    <w:pPr>
      <w:numPr>
        <w:ilvl w:val="6"/>
      </w:numPr>
      <w:outlineLvl w:val="6"/>
    </w:pPr>
  </w:style>
  <w:style w:type="paragraph" w:customStyle="1" w:styleId="54">
    <w:name w:val="正文标题"/>
    <w:next w:val="3"/>
    <w:autoRedefine/>
    <w:qFormat/>
    <w:uiPriority w:val="0"/>
    <w:pPr>
      <w:spacing w:line="360" w:lineRule="auto"/>
      <w:jc w:val="center"/>
    </w:pPr>
    <w:rPr>
      <w:rFonts w:ascii="Times New Roman" w:hAnsi="Times New Roman" w:eastAsia="黑体" w:cs="Times New Roman"/>
      <w:sz w:val="24"/>
      <w:lang w:val="en-US" w:eastAsia="zh-CN" w:bidi="ar-SA"/>
    </w:rPr>
  </w:style>
  <w:style w:type="paragraph" w:customStyle="1" w:styleId="55">
    <w:name w:val="正文表标题"/>
    <w:next w:val="3"/>
    <w:autoRedefine/>
    <w:qFormat/>
    <w:uiPriority w:val="0"/>
    <w:pPr>
      <w:numPr>
        <w:ilvl w:val="0"/>
        <w:numId w:val="6"/>
      </w:numPr>
      <w:spacing w:line="360" w:lineRule="auto"/>
      <w:jc w:val="center"/>
    </w:pPr>
    <w:rPr>
      <w:rFonts w:ascii="Times New Roman" w:hAnsi="Times New Roman" w:eastAsia="黑体" w:cs="Times New Roman"/>
      <w:sz w:val="21"/>
      <w:lang w:val="en-US" w:eastAsia="zh-CN" w:bidi="ar-SA"/>
    </w:rPr>
  </w:style>
  <w:style w:type="paragraph" w:customStyle="1" w:styleId="56">
    <w:name w:val="正文图标题"/>
    <w:next w:val="3"/>
    <w:autoRedefine/>
    <w:qFormat/>
    <w:uiPriority w:val="0"/>
    <w:pPr>
      <w:numPr>
        <w:ilvl w:val="0"/>
        <w:numId w:val="7"/>
      </w:numPr>
      <w:spacing w:line="360" w:lineRule="auto"/>
      <w:jc w:val="center"/>
    </w:pPr>
    <w:rPr>
      <w:rFonts w:ascii="Times New Roman" w:hAnsi="Times New Roman" w:eastAsia="黑体" w:cs="Times New Roman"/>
      <w:sz w:val="21"/>
      <w:lang w:val="en-US" w:eastAsia="zh-CN" w:bidi="ar-SA"/>
    </w:rPr>
  </w:style>
  <w:style w:type="paragraph" w:customStyle="1" w:styleId="57">
    <w:name w:val="注："/>
    <w:next w:val="3"/>
    <w:autoRedefine/>
    <w:qFormat/>
    <w:uiPriority w:val="0"/>
    <w:pPr>
      <w:widowControl w:val="0"/>
      <w:numPr>
        <w:ilvl w:val="0"/>
        <w:numId w:val="8"/>
      </w:numPr>
      <w:tabs>
        <w:tab w:val="left" w:pos="1008"/>
        <w:tab w:val="left" w:pos="1230"/>
        <w:tab w:val="clear" w:pos="1140"/>
      </w:tabs>
      <w:autoSpaceDE w:val="0"/>
      <w:autoSpaceDN w:val="0"/>
      <w:spacing w:line="360" w:lineRule="auto"/>
      <w:ind w:left="1020" w:hanging="510"/>
      <w:jc w:val="both"/>
    </w:pPr>
    <w:rPr>
      <w:rFonts w:ascii="宋体" w:hAnsi="Times New Roman" w:eastAsia="宋体" w:cs="Times New Roman"/>
      <w:sz w:val="21"/>
      <w:lang w:val="en-US" w:eastAsia="zh-CN" w:bidi="ar-SA"/>
    </w:rPr>
  </w:style>
  <w:style w:type="paragraph" w:customStyle="1" w:styleId="58">
    <w:name w:val="注×："/>
    <w:autoRedefine/>
    <w:qFormat/>
    <w:uiPriority w:val="0"/>
    <w:pPr>
      <w:widowControl w:val="0"/>
      <w:numPr>
        <w:ilvl w:val="0"/>
        <w:numId w:val="9"/>
      </w:numPr>
      <w:tabs>
        <w:tab w:val="left" w:pos="120"/>
        <w:tab w:val="clear" w:pos="1021"/>
      </w:tabs>
      <w:autoSpaceDE w:val="0"/>
      <w:autoSpaceDN w:val="0"/>
      <w:spacing w:line="360" w:lineRule="auto"/>
      <w:ind w:left="1190" w:hanging="680"/>
      <w:jc w:val="both"/>
    </w:pPr>
    <w:rPr>
      <w:rFonts w:ascii="宋体" w:hAnsi="Times New Roman" w:eastAsia="宋体" w:cs="Times New Roman"/>
      <w:sz w:val="21"/>
      <w:lang w:val="en-US" w:eastAsia="zh-CN" w:bidi="ar-SA"/>
    </w:rPr>
  </w:style>
  <w:style w:type="paragraph" w:customStyle="1" w:styleId="59">
    <w:name w:val="字母编号列项（一级）"/>
    <w:basedOn w:val="3"/>
    <w:autoRedefine/>
    <w:qFormat/>
    <w:uiPriority w:val="0"/>
    <w:pPr>
      <w:ind w:left="400" w:leftChars="200" w:hanging="200" w:hangingChars="200"/>
    </w:pPr>
  </w:style>
  <w:style w:type="character" w:customStyle="1" w:styleId="60">
    <w:name w:val="文档结构图 字符"/>
    <w:basedOn w:val="27"/>
    <w:link w:val="10"/>
    <w:autoRedefine/>
    <w:qFormat/>
    <w:uiPriority w:val="0"/>
    <w:rPr>
      <w:rFonts w:ascii="宋体"/>
      <w:kern w:val="2"/>
      <w:sz w:val="18"/>
      <w:szCs w:val="18"/>
    </w:rPr>
  </w:style>
  <w:style w:type="paragraph" w:styleId="61">
    <w:name w:val="List Paragraph"/>
    <w:basedOn w:val="1"/>
    <w:link w:val="75"/>
    <w:autoRedefine/>
    <w:qFormat/>
    <w:uiPriority w:val="34"/>
    <w:pPr>
      <w:ind w:firstLine="420" w:firstLineChars="200"/>
    </w:pPr>
    <w:rPr>
      <w:rFonts w:asciiTheme="minorHAnsi" w:hAnsiTheme="minorHAnsi" w:eastAsiaTheme="minorEastAsia" w:cstheme="minorBidi"/>
      <w:sz w:val="21"/>
      <w:szCs w:val="22"/>
    </w:rPr>
  </w:style>
  <w:style w:type="paragraph" w:customStyle="1" w:styleId="62">
    <w:name w:val="文件正文"/>
    <w:link w:val="63"/>
    <w:autoRedefine/>
    <w:qFormat/>
    <w:uiPriority w:val="0"/>
    <w:pPr>
      <w:spacing w:line="440" w:lineRule="exact"/>
      <w:jc w:val="both"/>
    </w:pPr>
    <w:rPr>
      <w:rFonts w:ascii="Times New Roman" w:hAnsi="Times New Roman" w:eastAsia="宋体" w:cs="Times New Roman"/>
      <w:sz w:val="28"/>
      <w:lang w:val="en-US" w:eastAsia="zh-CN" w:bidi="ar-SA"/>
    </w:rPr>
  </w:style>
  <w:style w:type="character" w:customStyle="1" w:styleId="63">
    <w:name w:val="文件正文 Char"/>
    <w:link w:val="62"/>
    <w:autoRedefine/>
    <w:qFormat/>
    <w:uiPriority w:val="0"/>
    <w:rPr>
      <w:sz w:val="28"/>
    </w:rPr>
  </w:style>
  <w:style w:type="paragraph" w:customStyle="1" w:styleId="64">
    <w:name w:val="TOC 标题1"/>
    <w:basedOn w:val="2"/>
    <w:next w:val="1"/>
    <w:autoRedefine/>
    <w:unhideWhenUsed/>
    <w:qFormat/>
    <w:uiPriority w:val="39"/>
    <w:pPr>
      <w:widowControl/>
      <w:tabs>
        <w:tab w:val="clear" w:pos="420"/>
      </w:tabs>
      <w:spacing w:before="240" w:beforeLines="0" w:line="259" w:lineRule="auto"/>
      <w:jc w:val="left"/>
      <w:outlineLvl w:val="9"/>
    </w:pPr>
    <w:rPr>
      <w:rFonts w:asciiTheme="majorHAnsi" w:hAnsiTheme="majorHAnsi" w:eastAsiaTheme="majorEastAsia" w:cstheme="majorBidi"/>
      <w:bCs w:val="0"/>
      <w:color w:val="376092" w:themeColor="accent1" w:themeShade="BF"/>
      <w:kern w:val="0"/>
      <w:sz w:val="32"/>
      <w:szCs w:val="32"/>
    </w:rPr>
  </w:style>
  <w:style w:type="paragraph" w:customStyle="1" w:styleId="65">
    <w:name w:val="首页表格"/>
    <w:autoRedefine/>
    <w:qFormat/>
    <w:uiPriority w:val="0"/>
    <w:pPr>
      <w:framePr w:w="4440" w:hSpace="181" w:wrap="notBeside" w:vAnchor="page" w:hAnchor="margin" w:x="-7" w:y="9022" w:anchorLock="1"/>
      <w:jc w:val="right"/>
    </w:pPr>
    <w:rPr>
      <w:rFonts w:ascii="Times New Roman" w:hAnsi="Times New Roman" w:eastAsia="宋体" w:cs="Times New Roman"/>
      <w:b/>
      <w:sz w:val="32"/>
      <w:lang w:val="en-US" w:eastAsia="zh-CN" w:bidi="ar-SA"/>
    </w:rPr>
  </w:style>
  <w:style w:type="paragraph" w:customStyle="1" w:styleId="66">
    <w:name w:val="页面代号"/>
    <w:next w:val="1"/>
    <w:autoRedefine/>
    <w:qFormat/>
    <w:uiPriority w:val="0"/>
    <w:pPr>
      <w:framePr w:w="8635" w:hSpace="181" w:wrap="around" w:vAnchor="page" w:hAnchor="margin" w:xAlign="center" w:y="2921" w:anchorLock="1"/>
      <w:spacing w:before="240" w:after="120"/>
      <w:jc w:val="center"/>
    </w:pPr>
    <w:rPr>
      <w:rFonts w:ascii="黑体" w:hAnsi="Times New Roman" w:eastAsia="黑体" w:cs="Times New Roman"/>
      <w:caps/>
      <w:spacing w:val="30"/>
      <w:sz w:val="44"/>
      <w:lang w:val="en-US" w:eastAsia="zh-CN" w:bidi="ar-SA"/>
    </w:rPr>
  </w:style>
  <w:style w:type="paragraph" w:customStyle="1" w:styleId="67">
    <w:name w:val="页面标题"/>
    <w:autoRedefine/>
    <w:qFormat/>
    <w:uiPriority w:val="0"/>
    <w:pPr>
      <w:framePr w:w="8635" w:hSpace="181" w:wrap="around" w:vAnchor="page" w:hAnchor="margin" w:xAlign="center" w:y="2921" w:anchorLock="1"/>
      <w:spacing w:before="120"/>
      <w:jc w:val="center"/>
    </w:pPr>
    <w:rPr>
      <w:rFonts w:ascii="黑体" w:hAnsi="Times New Roman" w:eastAsia="黑体" w:cs="Times New Roman"/>
      <w:spacing w:val="20"/>
      <w:sz w:val="44"/>
      <w:lang w:val="en-US" w:eastAsia="zh-CN" w:bidi="ar-SA"/>
    </w:rPr>
  </w:style>
  <w:style w:type="character" w:customStyle="1" w:styleId="68">
    <w:name w:val="页眉 字符"/>
    <w:basedOn w:val="27"/>
    <w:link w:val="18"/>
    <w:autoRedefine/>
    <w:qFormat/>
    <w:uiPriority w:val="0"/>
    <w:rPr>
      <w:kern w:val="2"/>
      <w:sz w:val="18"/>
    </w:rPr>
  </w:style>
  <w:style w:type="paragraph" w:customStyle="1" w:styleId="69">
    <w:name w:val="页面小字"/>
    <w:autoRedefine/>
    <w:qFormat/>
    <w:uiPriority w:val="0"/>
    <w:pPr>
      <w:spacing w:line="240" w:lineRule="atLeast"/>
      <w:jc w:val="center"/>
    </w:pPr>
    <w:rPr>
      <w:rFonts w:ascii="Times New Roman" w:hAnsi="Times New Roman" w:eastAsia="宋体" w:cs="Times New Roman"/>
      <w:sz w:val="21"/>
      <w:lang w:val="en-US" w:eastAsia="zh-CN" w:bidi="ar-SA"/>
    </w:rPr>
  </w:style>
  <w:style w:type="paragraph" w:customStyle="1" w:styleId="70">
    <w:name w:val="null3"/>
    <w:hidden/>
    <w:qFormat/>
    <w:uiPriority w:val="0"/>
    <w:rPr>
      <w:rFonts w:hint="eastAsia" w:asciiTheme="minorHAnsi" w:hAnsiTheme="minorHAnsi" w:eastAsiaTheme="minorEastAsia" w:cstheme="minorBidi"/>
      <w:lang w:val="en-US" w:eastAsia="zh-Hans" w:bidi="ar-SA"/>
      <w14:ligatures w14:val="standardContextual"/>
    </w:rPr>
  </w:style>
  <w:style w:type="table" w:customStyle="1" w:styleId="71">
    <w:name w:val="网格型1"/>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2">
    <w:name w:val="idp-ltr-html-li"/>
    <w:basedOn w:val="1"/>
    <w:qFormat/>
    <w:uiPriority w:val="0"/>
    <w:pPr>
      <w:widowControl/>
      <w:spacing w:before="100" w:beforeAutospacing="1" w:after="100" w:afterAutospacing="1"/>
      <w:jc w:val="left"/>
    </w:pPr>
    <w:rPr>
      <w:rFonts w:ascii="宋体" w:hAnsi="宋体" w:cs="宋体"/>
      <w:kern w:val="0"/>
      <w:szCs w:val="24"/>
    </w:rPr>
  </w:style>
  <w:style w:type="character" w:customStyle="1" w:styleId="73">
    <w:name w:val="题注 字符"/>
    <w:link w:val="9"/>
    <w:qFormat/>
    <w:uiPriority w:val="35"/>
    <w:rPr>
      <w:rFonts w:eastAsia="黑体" w:cs="Arial"/>
      <w:kern w:val="2"/>
      <w:sz w:val="21"/>
    </w:rPr>
  </w:style>
  <w:style w:type="paragraph" w:customStyle="1" w:styleId="74">
    <w:name w:val="方案正文"/>
    <w:basedOn w:val="1"/>
    <w:qFormat/>
    <w:uiPriority w:val="0"/>
    <w:pPr>
      <w:spacing w:line="360" w:lineRule="auto"/>
      <w:ind w:firstLine="200" w:firstLineChars="200"/>
      <w:jc w:val="left"/>
    </w:pPr>
    <w:rPr>
      <w:rFonts w:hAnsiTheme="minorHAnsi" w:cstheme="minorBidi"/>
      <w:szCs w:val="24"/>
    </w:rPr>
  </w:style>
  <w:style w:type="character" w:customStyle="1" w:styleId="75">
    <w:name w:val="列表段落 字符"/>
    <w:basedOn w:val="27"/>
    <w:link w:val="61"/>
    <w:qFormat/>
    <w:locked/>
    <w:uiPriority w:val="34"/>
    <w:rPr>
      <w:rFonts w:asciiTheme="minorHAnsi" w:hAnsiTheme="minorHAnsi" w:eastAsiaTheme="minorEastAsia" w:cstheme="minorBidi"/>
      <w:kern w:val="2"/>
      <w:sz w:val="21"/>
      <w:szCs w:val="22"/>
    </w:rPr>
  </w:style>
  <w:style w:type="paragraph" w:customStyle="1" w:styleId="76">
    <w:name w:val="报告正文"/>
    <w:basedOn w:val="1"/>
    <w:link w:val="77"/>
    <w:qFormat/>
    <w:uiPriority w:val="0"/>
    <w:pPr>
      <w:adjustRightInd w:val="0"/>
      <w:snapToGrid w:val="0"/>
      <w:spacing w:line="360" w:lineRule="auto"/>
      <w:ind w:firstLine="200" w:firstLineChars="200"/>
    </w:pPr>
    <w:rPr>
      <w:rFonts w:eastAsia="仿宋_GB2312"/>
      <w:bCs/>
      <w:szCs w:val="28"/>
    </w:rPr>
  </w:style>
  <w:style w:type="character" w:customStyle="1" w:styleId="77">
    <w:name w:val="报告正文 Char"/>
    <w:link w:val="76"/>
    <w:qFormat/>
    <w:uiPriority w:val="0"/>
    <w:rPr>
      <w:rFonts w:eastAsia="仿宋_GB2312"/>
      <w:bCs/>
      <w:kern w:val="2"/>
      <w:sz w:val="24"/>
      <w:szCs w:val="28"/>
    </w:rPr>
  </w:style>
  <w:style w:type="paragraph" w:customStyle="1" w:styleId="78">
    <w:name w:val="附录1级"/>
    <w:basedOn w:val="1"/>
    <w:qFormat/>
    <w:uiPriority w:val="0"/>
    <w:pPr>
      <w:numPr>
        <w:ilvl w:val="2"/>
        <w:numId w:val="10"/>
      </w:numPr>
      <w:spacing w:line="360" w:lineRule="auto"/>
      <w:ind w:left="-51" w:firstLine="200" w:firstLineChars="200"/>
    </w:pPr>
    <w:rPr>
      <w:rFonts w:ascii="黑体" w:hAnsi="黑体" w:eastAsia="黑体"/>
      <w:spacing w:val="2"/>
      <w:kern w:val="21"/>
      <w:szCs w:val="22"/>
    </w:rPr>
  </w:style>
  <w:style w:type="paragraph" w:customStyle="1" w:styleId="79">
    <w:name w:val="标准文件_附录标识"/>
    <w:basedOn w:val="1"/>
    <w:qFormat/>
    <w:uiPriority w:val="0"/>
    <w:pPr>
      <w:numPr>
        <w:ilvl w:val="0"/>
        <w:numId w:val="10"/>
      </w:numPr>
      <w:spacing w:line="360" w:lineRule="auto"/>
      <w:ind w:firstLine="200" w:firstLineChars="200"/>
    </w:pPr>
    <w:rPr>
      <w:rFonts w:ascii="Calibri" w:hAnsi="Calibri"/>
      <w:szCs w:val="22"/>
    </w:rPr>
  </w:style>
  <w:style w:type="paragraph" w:customStyle="1" w:styleId="80">
    <w:name w:val="标准文件_附录章标题"/>
    <w:basedOn w:val="1"/>
    <w:qFormat/>
    <w:uiPriority w:val="0"/>
    <w:pPr>
      <w:numPr>
        <w:ilvl w:val="1"/>
        <w:numId w:val="10"/>
      </w:numPr>
      <w:spacing w:line="360" w:lineRule="auto"/>
      <w:ind w:left="0" w:firstLine="200" w:firstLineChars="200"/>
    </w:pPr>
    <w:rPr>
      <w:rFonts w:ascii="Calibri" w:hAnsi="Calibri"/>
      <w:szCs w:val="22"/>
    </w:rPr>
  </w:style>
  <w:style w:type="paragraph" w:customStyle="1" w:styleId="81">
    <w:name w:val="标准文件_附录二级条标题"/>
    <w:basedOn w:val="1"/>
    <w:qFormat/>
    <w:uiPriority w:val="0"/>
    <w:pPr>
      <w:numPr>
        <w:ilvl w:val="3"/>
        <w:numId w:val="10"/>
      </w:numPr>
      <w:spacing w:line="360" w:lineRule="auto"/>
      <w:ind w:firstLine="200" w:firstLineChars="200"/>
    </w:pPr>
    <w:rPr>
      <w:rFonts w:ascii="Calibri" w:hAnsi="Calibri"/>
      <w:szCs w:val="22"/>
    </w:rPr>
  </w:style>
  <w:style w:type="paragraph" w:customStyle="1" w:styleId="82">
    <w:name w:val="标准文件_附录三级条标题"/>
    <w:basedOn w:val="1"/>
    <w:qFormat/>
    <w:uiPriority w:val="0"/>
    <w:pPr>
      <w:numPr>
        <w:ilvl w:val="4"/>
        <w:numId w:val="10"/>
      </w:numPr>
      <w:spacing w:line="360" w:lineRule="auto"/>
      <w:ind w:firstLine="200" w:firstLineChars="200"/>
    </w:pPr>
    <w:rPr>
      <w:rFonts w:ascii="Calibri" w:hAnsi="Calibri"/>
      <w:szCs w:val="22"/>
    </w:rPr>
  </w:style>
  <w:style w:type="paragraph" w:customStyle="1" w:styleId="83">
    <w:name w:val="标准文件_附录四级条标题"/>
    <w:basedOn w:val="1"/>
    <w:qFormat/>
    <w:uiPriority w:val="0"/>
    <w:pPr>
      <w:numPr>
        <w:ilvl w:val="5"/>
        <w:numId w:val="10"/>
      </w:numPr>
      <w:spacing w:line="360" w:lineRule="auto"/>
      <w:ind w:firstLine="200" w:firstLineChars="200"/>
    </w:pPr>
    <w:rPr>
      <w:rFonts w:ascii="Calibri" w:hAnsi="Calibri"/>
      <w:szCs w:val="22"/>
    </w:rPr>
  </w:style>
  <w:style w:type="paragraph" w:customStyle="1" w:styleId="84">
    <w:name w:val="标准文件_附录五级条标题"/>
    <w:basedOn w:val="1"/>
    <w:qFormat/>
    <w:uiPriority w:val="0"/>
    <w:pPr>
      <w:numPr>
        <w:ilvl w:val="6"/>
        <w:numId w:val="10"/>
      </w:numPr>
      <w:spacing w:line="360" w:lineRule="auto"/>
      <w:ind w:firstLine="200" w:firstLineChars="200"/>
    </w:pPr>
    <w:rPr>
      <w:rFonts w:ascii="Calibri" w:hAnsi="Calibri"/>
      <w:szCs w:val="22"/>
    </w:rPr>
  </w:style>
  <w:style w:type="character" w:customStyle="1" w:styleId="85">
    <w:name w:val="Unresolved Mention"/>
    <w:basedOn w:val="27"/>
    <w:semiHidden/>
    <w:unhideWhenUsed/>
    <w:qFormat/>
    <w:uiPriority w:val="99"/>
    <w:rPr>
      <w:color w:val="605E5C"/>
      <w:shd w:val="clear" w:color="auto" w:fill="E1DFDD"/>
    </w:rPr>
  </w:style>
  <w:style w:type="paragraph" w:customStyle="1" w:styleId="86">
    <w:name w:val="缩进正文"/>
    <w:basedOn w:val="1"/>
    <w:qFormat/>
    <w:uiPriority w:val="0"/>
    <w:pPr>
      <w:spacing w:after="2" w:line="360" w:lineRule="auto"/>
      <w:ind w:firstLine="720" w:firstLineChars="200"/>
    </w:pPr>
    <w:rPr>
      <w:rFonts w:hint="eastAsia" w:eastAsia="宋体"/>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z810806\Desktop\&#25991;&#20214;&#27169;&#26495;\YS1030300\YS1030\&#35797;&#39564;&#22823;&#32434;.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1ECC95-A73D-4007-B430-4644A961786E}">
  <ds:schemaRefs/>
</ds:datastoreItem>
</file>

<file path=docProps/app.xml><?xml version="1.0" encoding="utf-8"?>
<Properties xmlns="http://schemas.openxmlformats.org/officeDocument/2006/extended-properties" xmlns:vt="http://schemas.openxmlformats.org/officeDocument/2006/docPropsVTypes">
  <Template>试验大纲.dot</Template>
  <Company>aisino</Company>
  <Pages>23</Pages>
  <Words>11020</Words>
  <Characters>12222</Characters>
  <Lines>1340</Lines>
  <Paragraphs>377</Paragraphs>
  <TotalTime>0</TotalTime>
  <ScaleCrop>false</ScaleCrop>
  <LinksUpToDate>false</LinksUpToDate>
  <CharactersWithSpaces>12285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2020-12-08T06:01:00Z</dcterms:created>
  <dc:creator>yz810806</dc:creator>
  <cp:lastModifiedBy>ZzGallagher5</cp:lastModifiedBy>
  <cp:lastPrinted>2001-08-17T07:07:00Z</cp:lastPrinted>
  <dcterms:modified xsi:type="dcterms:W3CDTF">2026-05-29T09:20:38Z</dcterms:modified>
  <dc:title>编     号</dc:title>
  <cp:revision>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CC6D1B0B84CA47E7B918AED955BEBFF1_13</vt:lpwstr>
  </property>
  <property fmtid="{D5CDD505-2E9C-101B-9397-08002B2CF9AE}" pid="4" name="KSOTemplateDocerSaveRecord">
    <vt:lpwstr>eyJoZGlkIjoiZjVmZTk4YzdjZTllMmUzMzhiMzhiOTMwNDA4ZmY0MGYiLCJ1c2VySWQiOiI2Mzc2OTk4MDMifQ==</vt:lpwstr>
  </property>
</Properties>
</file>