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spacing w:lineRule="auto" w:line="240" w:before="240" w:after="12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bCs/>
          <w:lang w:val="ru-RU"/>
        </w:rPr>
        <w:t>Министерство образования и науки Российской Федерации</w:t>
      </w:r>
    </w:p>
    <w:p>
      <w:pPr>
        <w:pStyle w:val="Style16"/>
        <w:spacing w:lineRule="auto" w:line="2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Федеральное государственное автономное образовательное учреждение </w:t>
        <w:br/>
        <w:t>высшего образования</w:t>
      </w:r>
    </w:p>
    <w:p>
      <w:pPr>
        <w:pStyle w:val="Style16"/>
        <w:spacing w:lineRule="auto" w:line="2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«Уральский федеральный университет имени первого Президента России Б.Н. Ельцина»</w:t>
      </w:r>
    </w:p>
    <w:p>
      <w:pPr>
        <w:pStyle w:val="Style16"/>
        <w:spacing w:lineRule="auto" w:line="2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Институт радиоэлектроники и информационных технологий - РТФ</w:t>
      </w:r>
    </w:p>
    <w:p>
      <w:pPr>
        <w:pStyle w:val="Style16"/>
        <w:spacing w:lineRule="auto" w:line="24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Департамент радиоэлектроники и связи</w:t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/>
      </w:pPr>
      <w:r>
        <w:rPr/>
      </w:r>
    </w:p>
    <w:p>
      <w:pPr>
        <w:pStyle w:val="Style16"/>
        <w:jc w:val="both"/>
        <w:rPr>
          <w:rFonts w:ascii="Times New Roman;serif" w:hAnsi="Times New Roman;serif"/>
          <w:b/>
          <w:lang w:val="en-US"/>
        </w:rPr>
      </w:pPr>
      <w:r>
        <w:rPr>
          <w:rFonts w:ascii="Times New Roman;serif" w:hAnsi="Times New Roman;serif"/>
          <w:b/>
          <w:lang w:val="en-US"/>
        </w:rPr>
      </w:r>
    </w:p>
    <w:p>
      <w:pPr>
        <w:pStyle w:val="1"/>
        <w:spacing w:before="240" w:after="120"/>
        <w:jc w:val="center"/>
        <w:rPr>
          <w:sz w:val="48"/>
          <w:szCs w:val="48"/>
        </w:rPr>
      </w:pPr>
      <w:r>
        <w:rPr>
          <w:rFonts w:ascii="Times New Roman" w:hAnsi="Times New Roman"/>
          <w:b/>
          <w:bCs/>
          <w:sz w:val="48"/>
          <w:szCs w:val="48"/>
        </w:rPr>
        <w:t xml:space="preserve">Методические указания к </w:t>
      </w:r>
    </w:p>
    <w:p>
      <w:pPr>
        <w:pStyle w:val="1"/>
        <w:ind w:left="0" w:right="533" w:hanging="0"/>
        <w:jc w:val="center"/>
        <w:rPr>
          <w:rFonts w:ascii="Times New Roman;serif" w:hAnsi="Times New Roman;serif"/>
          <w:b/>
          <w:sz w:val="48"/>
          <w:szCs w:val="48"/>
          <w:lang w:val="en-US"/>
        </w:rPr>
      </w:pPr>
      <w:r>
        <w:rPr>
          <w:rFonts w:ascii="Times New Roman" w:hAnsi="Times New Roman"/>
          <w:b/>
          <w:bCs/>
          <w:sz w:val="48"/>
          <w:szCs w:val="48"/>
          <w:highlight w:val="yellow"/>
          <w:lang w:val="en-US"/>
        </w:rPr>
        <w:t>ПРОГРАМНЕЙМ</w:t>
      </w:r>
    </w:p>
    <w:p>
      <w:pPr>
        <w:pStyle w:val="Style16"/>
        <w:jc w:val="center"/>
        <w:rPr>
          <w:rFonts w:ascii="Times New Roman;serif" w:hAnsi="Times New Roman;serif"/>
          <w:lang w:val="ru-RU"/>
        </w:rPr>
      </w:pPr>
      <w:r>
        <w:rPr>
          <w:rFonts w:ascii="Times New Roman;serif" w:hAnsi="Times New Roman;serif"/>
          <w:lang w:val="ru-RU"/>
        </w:rPr>
      </w:r>
    </w:p>
    <w:p>
      <w:pPr>
        <w:pStyle w:val="Style16"/>
        <w:jc w:val="center"/>
        <w:rPr>
          <w:rFonts w:ascii="Times New Roman;serif" w:hAnsi="Times New Roman;serif"/>
          <w:lang w:val="ru-RU"/>
        </w:rPr>
      </w:pPr>
      <w:r>
        <w:rPr>
          <w:rFonts w:ascii="Times New Roman;serif" w:hAnsi="Times New Roman;serif"/>
          <w:lang w:val="ru-RU"/>
        </w:rPr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/>
      </w:pPr>
      <w:r>
        <w:rPr/>
      </w:r>
    </w:p>
    <w:p>
      <w:pPr>
        <w:pStyle w:val="Style16"/>
        <w:spacing w:lineRule="auto" w:line="360"/>
        <w:jc w:val="both"/>
        <w:rPr>
          <w:rFonts w:ascii="Times New Roman;serif" w:hAnsi="Times New Roman;serif"/>
          <w:lang w:val="ru-RU"/>
        </w:rPr>
      </w:pPr>
      <w:r>
        <w:rPr>
          <w:rFonts w:ascii="Times New Roman;serif" w:hAnsi="Times New Roman;serif"/>
          <w:lang w:val="ru-RU"/>
        </w:rPr>
      </w:r>
    </w:p>
    <w:p>
      <w:pPr>
        <w:pStyle w:val="Style16"/>
        <w:spacing w:lineRule="auto" w:line="360"/>
        <w:jc w:val="right"/>
        <w:rPr>
          <w:sz w:val="28"/>
          <w:szCs w:val="28"/>
        </w:rPr>
      </w:pPr>
      <w:r>
        <w:rPr>
          <w:rFonts w:ascii="Times New Roman;serif" w:hAnsi="Times New Roman;serif"/>
          <w:sz w:val="28"/>
          <w:szCs w:val="28"/>
          <w:lang w:val="ru-RU"/>
        </w:rPr>
        <w:t xml:space="preserve"> </w:t>
      </w:r>
      <w:r>
        <w:rPr>
          <w:rFonts w:ascii="Times New Roman;serif" w:hAnsi="Times New Roman;serif"/>
          <w:sz w:val="28"/>
          <w:szCs w:val="28"/>
          <w:lang w:val="ru-RU"/>
        </w:rPr>
        <w:t>Зайков Александр</w:t>
      </w:r>
    </w:p>
    <w:p>
      <w:pPr>
        <w:pStyle w:val="Style16"/>
        <w:spacing w:lineRule="auto" w:line="360"/>
        <w:jc w:val="right"/>
        <w:rPr>
          <w:sz w:val="28"/>
          <w:szCs w:val="28"/>
        </w:rPr>
      </w:pPr>
      <w:r>
        <w:rPr>
          <w:rFonts w:ascii="Times New Roman;serif" w:hAnsi="Times New Roman;serif"/>
          <w:sz w:val="28"/>
          <w:szCs w:val="28"/>
          <w:lang w:val="ru-RU"/>
        </w:rPr>
        <w:t>Зыков Никита</w:t>
      </w:r>
    </w:p>
    <w:p>
      <w:pPr>
        <w:pStyle w:val="Style16"/>
        <w:spacing w:lineRule="auto" w:line="360"/>
        <w:jc w:val="right"/>
        <w:rPr>
          <w:sz w:val="28"/>
          <w:szCs w:val="28"/>
        </w:rPr>
      </w:pPr>
      <w:r>
        <w:rPr>
          <w:rFonts w:ascii="Times New Roman;serif" w:hAnsi="Times New Roman;serif"/>
          <w:sz w:val="28"/>
          <w:szCs w:val="28"/>
          <w:lang w:val="ru-RU"/>
        </w:rPr>
        <w:t>Мухаматнуров Владислав</w:t>
      </w:r>
    </w:p>
    <w:p>
      <w:pPr>
        <w:pStyle w:val="Style16"/>
        <w:spacing w:lineRule="auto" w:line="360"/>
        <w:jc w:val="right"/>
        <w:rPr>
          <w:sz w:val="28"/>
          <w:szCs w:val="28"/>
        </w:rPr>
      </w:pPr>
      <w:r>
        <w:rPr>
          <w:rFonts w:ascii="Times New Roman;serif" w:hAnsi="Times New Roman;serif"/>
          <w:sz w:val="28"/>
          <w:szCs w:val="28"/>
          <w:lang w:val="ru-RU"/>
        </w:rPr>
        <w:t>Павлухин Дмитрий</w:t>
      </w:r>
    </w:p>
    <w:p>
      <w:pPr>
        <w:pStyle w:val="Style16"/>
        <w:spacing w:lineRule="auto" w:line="360"/>
        <w:jc w:val="right"/>
        <w:rPr/>
      </w:pPr>
      <w:r>
        <w:rPr/>
      </w:r>
    </w:p>
    <w:p>
      <w:pPr>
        <w:pStyle w:val="Style16"/>
        <w:spacing w:lineRule="auto" w:line="360"/>
        <w:jc w:val="both"/>
        <w:rPr/>
      </w:pPr>
      <w:r>
        <w:rPr/>
        <w:t> </w:t>
      </w:r>
    </w:p>
    <w:p>
      <w:pPr>
        <w:pStyle w:val="Style16"/>
        <w:jc w:val="center"/>
        <w:rPr/>
      </w:pPr>
      <w:r>
        <w:rPr/>
      </w:r>
    </w:p>
    <w:p>
      <w:pPr>
        <w:pStyle w:val="Style16"/>
        <w:jc w:val="center"/>
        <w:rPr>
          <w:rFonts w:ascii="Times New Roman;serif" w:hAnsi="Times New Roman;serif"/>
          <w:lang w:val="ru-RU"/>
        </w:rPr>
      </w:pPr>
      <w:r>
        <w:rPr>
          <w:rFonts w:ascii="Times New Roman;serif" w:hAnsi="Times New Roman;serif"/>
          <w:lang w:val="ru-RU"/>
        </w:rPr>
        <w:t>Екатеринбург 2018</w:t>
      </w:r>
    </w:p>
    <w:p>
      <w:pPr>
        <w:pStyle w:val="1"/>
        <w:spacing w:before="240" w:after="120"/>
        <w:jc w:val="center"/>
        <w:rPr>
          <w:rFonts w:ascii="Times New Roman" w:hAnsi="Times New Roman"/>
          <w:b/>
          <w:b/>
          <w:bCs/>
        </w:rPr>
      </w:pPr>
      <w:r>
        <w:rPr/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32"/>
          <w:szCs w:val="32"/>
        </w:rPr>
        <w:t>Аннотация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Документ представляет собой методические указания к программному продукту, включающие в себя: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проблемы, решаемой программным продуктом;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специфических функциональных требований к программному продукту; определение специфических нефункциональных требований к программному продукту;</w:t>
      </w:r>
    </w:p>
    <w:p>
      <w:pPr>
        <w:pStyle w:val="Normal"/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требований к архитектуре программного продукта;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Описание используемой</w:t>
      </w:r>
      <w:r>
        <w:rPr>
          <w:rFonts w:ascii="Times New Roman" w:hAnsi="Times New Roman"/>
          <w:sz w:val="28"/>
          <w:szCs w:val="28"/>
        </w:rPr>
        <w:t xml:space="preserve"> библи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теки К</w:t>
      </w:r>
      <w:r>
        <w:rPr>
          <w:rFonts w:ascii="Times New Roman" w:hAnsi="Times New Roman"/>
          <w:sz w:val="28"/>
          <w:szCs w:val="28"/>
        </w:rPr>
        <w:t>риптоПро CSP;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Описание реализации программного продукта;</w:t>
      </w:r>
    </w:p>
    <w:p>
      <w:pPr>
        <w:pStyle w:val="Normal"/>
        <w:numPr>
          <w:ilvl w:val="0"/>
          <w:numId w:val="1"/>
        </w:numPr>
        <w:jc w:val="lef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Руководство пользователя программного продукта.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left"/>
        <w:rPr>
          <w:rFonts w:ascii="Times New Roman" w:hAnsi="Times New Roman" w:eastAsia="WenQuanYi Micro Hei" w:cs="Lohit Devanagari"/>
          <w:b/>
          <w:b/>
          <w:bCs/>
          <w:color w:val="00000A"/>
          <w:sz w:val="32"/>
          <w:szCs w:val="32"/>
          <w:lang w:val="ru-RU" w:eastAsia="zh-CN" w:bidi="hi-IN"/>
        </w:rPr>
      </w:pPr>
      <w:r>
        <w:rPr>
          <w:rFonts w:eastAsia="WenQuanYi Micro Hei" w:cs="Lohit Devanagari" w:ascii="Times New Roman" w:hAnsi="Times New Roman"/>
          <w:b/>
          <w:bCs/>
          <w:color w:val="00000A"/>
          <w:sz w:val="32"/>
          <w:szCs w:val="32"/>
          <w:lang w:val="ru-RU" w:eastAsia="zh-CN" w:bidi="hi-IN"/>
        </w:rPr>
        <w:t>Содержание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1"/>
        <w:rPr/>
      </w:pPr>
      <w:r>
        <w:rPr>
          <w:rFonts w:eastAsia="WenQuanYi Micro Hei" w:cs="Lohit Devanagari" w:ascii="Times New Roman" w:hAnsi="Times New Roman"/>
          <w:b/>
          <w:bCs/>
          <w:color w:val="00000A"/>
          <w:sz w:val="32"/>
          <w:szCs w:val="32"/>
          <w:lang w:val="ru-RU" w:eastAsia="zh-CN" w:bidi="hi-IN"/>
        </w:rPr>
        <w:t>Определение проблемы, решаемой программным продуктом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Требуется разработать программу, которая использовалась бы для шифрования файлов и работы с ключевой информацией с использованием алгоритмов ГОСТ. </w:t>
      </w:r>
      <w:r>
        <w:rPr>
          <w:rFonts w:ascii="Times New Roman" w:hAnsi="Times New Roman"/>
          <w:sz w:val="28"/>
          <w:szCs w:val="28"/>
        </w:rPr>
        <w:t>В том числе необходимо предусмотреть её расширение, которое предусматривало бы механизмы асимметричного шифрования и установки соединения VPN.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1"/>
        <w:rPr/>
      </w:pPr>
      <w:r>
        <w:rPr>
          <w:rFonts w:eastAsia="WenQuanYi Micro Hei" w:cs="Lohit Devanagari" w:ascii="Times New Roman" w:hAnsi="Times New Roman"/>
          <w:b/>
          <w:bCs/>
          <w:color w:val="00000A"/>
          <w:sz w:val="32"/>
          <w:szCs w:val="32"/>
          <w:lang w:val="ru-RU" w:eastAsia="zh-CN" w:bidi="hi-IN"/>
        </w:rPr>
        <w:t xml:space="preserve">Определение </w:t>
      </w:r>
      <w:r>
        <w:rPr>
          <w:rFonts w:eastAsia="WenQuanYi Micro Hei" w:cs="Lohit Devanagari" w:ascii="Times New Roman" w:hAnsi="Times New Roman"/>
          <w:b/>
          <w:bCs/>
          <w:color w:val="00000A"/>
          <w:sz w:val="32"/>
          <w:szCs w:val="32"/>
          <w:lang w:val="ru-RU" w:eastAsia="zh-CN" w:bidi="hi-IN"/>
        </w:rPr>
        <w:t>требований к программному продукту</w:t>
      </w:r>
    </w:p>
    <w:p>
      <w:pPr>
        <w:pStyle w:val="Normal"/>
        <w:rPr>
          <w:rFonts w:ascii="Times New Roman" w:hAnsi="Times New Roman" w:eastAsia="WenQuanYi Micro Hei" w:cs="Lohit Devanagari"/>
          <w:color w:val="00000A"/>
          <w:sz w:val="24"/>
          <w:szCs w:val="24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</w:p>
    <w:p>
      <w:pPr>
        <w:pStyle w:val="Normal"/>
        <w:rPr>
          <w:rFonts w:ascii="Times New Roman" w:hAnsi="Times New Roman" w:eastAsia="WenQuanYi Micro Hei" w:cs="Lohit Devanagari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Специфические функциональные требования:</w:t>
      </w:r>
    </w:p>
    <w:p>
      <w:pPr>
        <w:pStyle w:val="Normal"/>
        <w:rPr>
          <w:rFonts w:ascii="Times New Roman" w:hAnsi="Times New Roman" w:eastAsia="WenQuanYi Micro Hei" w:cs="Lohit Devanagari"/>
          <w:color w:val="00000A"/>
          <w:sz w:val="24"/>
          <w:szCs w:val="24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 xml:space="preserve">Программа должна осуществлять создание ключей симметричного шифрования с использованием алгоритмов ГОСТ 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highlight w:val="yellow"/>
          <w:lang w:val="ru-RU" w:eastAsia="zh-CN" w:bidi="hi-IN"/>
        </w:rPr>
        <w:t>3уцорагу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Программа должна уметь сохранять создаваемые ключи шифрования.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Программа должна уме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 xml:space="preserve">ть шифровать файлы размером до 50Мб с использованием алгоритмов ГОСТ 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highlight w:val="yellow"/>
          <w:lang w:val="ru-RU" w:eastAsia="zh-CN" w:bidi="hi-IN"/>
        </w:rPr>
        <w:t>рафругра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.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Шифрованный файл должен сохраняться в ту же директорию, где находится оригинальный файл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WenQuanYi Micro Hei" w:cs="Lohit Devanagari"/>
          <w:color w:val="00000A"/>
          <w:sz w:val="28"/>
          <w:szCs w:val="28"/>
          <w:highlight w:val="yellow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highlight w:val="yellow"/>
          <w:lang w:val="ru-RU" w:eastAsia="zh-CN" w:bidi="hi-IN"/>
        </w:rPr>
        <w:t>Программа должна осуществлять расшифровку файлов с использованием имеющихся ключей шифрования</w:t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numPr>
          <w:ilvl w:val="0"/>
          <w:numId w:val="2"/>
        </w:numPr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rPr>
          <w:rFonts w:ascii="Times New Roman" w:hAnsi="Times New Roman" w:eastAsia="WenQuanYi Micro Hei" w:cs="Lohit Devanagari"/>
          <w:color w:val="00000A"/>
          <w:sz w:val="24"/>
          <w:szCs w:val="24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</w:p>
    <w:p>
      <w:pPr>
        <w:pStyle w:val="Normal"/>
        <w:rPr>
          <w:rFonts w:ascii="Times New Roman" w:hAnsi="Times New Roman" w:eastAsia="WenQuanYi Micro Hei" w:cs="Lohit Devanagari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/>
          <w:bCs/>
          <w:color w:val="00000A"/>
          <w:sz w:val="28"/>
          <w:szCs w:val="28"/>
          <w:lang w:val="ru-RU" w:eastAsia="zh-CN" w:bidi="hi-IN"/>
        </w:rPr>
        <w:t>Специфические нефункциональные требования:</w:t>
      </w:r>
    </w:p>
    <w:p>
      <w:pPr>
        <w:pStyle w:val="Normal"/>
        <w:rPr>
          <w:rFonts w:ascii="Times New Roman" w:hAnsi="Times New Roman" w:eastAsia="WenQuanYi Micro Hei" w:cs="Lohit Devanagari"/>
          <w:b/>
          <w:b/>
          <w:bCs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/>
          <w:bCs/>
          <w:color w:val="00000A"/>
          <w:sz w:val="28"/>
          <w:szCs w:val="28"/>
          <w:lang w:val="ru-RU" w:eastAsia="zh-CN" w:bidi="hi-IN"/>
        </w:rPr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Программа должна функционировать в операционных системах семейства Windows (XP и выше)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Программа должна использовать библиотеку КриптоПро CSP</w:t>
      </w:r>
    </w:p>
    <w:p>
      <w:pPr>
        <w:pStyle w:val="Normal"/>
        <w:numPr>
          <w:ilvl w:val="0"/>
          <w:numId w:val="3"/>
        </w:numPr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 xml:space="preserve">Программа должна обеспечивать полную функциональность при (512 МБ RAM, 2ГГц CPU, 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80Гб HDD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)</w:t>
      </w:r>
    </w:p>
    <w:p>
      <w:pPr>
        <w:pStyle w:val="Normal"/>
        <w:rPr>
          <w:rFonts w:ascii="Times New Roman" w:hAnsi="Times New Roman" w:eastAsia="WenQuanYi Micro Hei" w:cs="Lohit Devanagari"/>
          <w:color w:val="00000A"/>
          <w:sz w:val="24"/>
          <w:szCs w:val="24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</w:p>
    <w:p>
      <w:pPr>
        <w:pStyle w:val="Normal"/>
        <w:rPr>
          <w:rFonts w:ascii="Times New Roman" w:hAnsi="Times New Roman" w:eastAsia="WenQuanYi Micro Hei" w:cs="Lohit Devanagari"/>
          <w:color w:val="00000A"/>
          <w:sz w:val="24"/>
          <w:szCs w:val="24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  <w:r>
        <w:br w:type="page"/>
      </w:r>
    </w:p>
    <w:p>
      <w:pPr>
        <w:pStyle w:val="1"/>
        <w:rPr/>
      </w:pPr>
      <w:r>
        <w:rPr>
          <w:rFonts w:eastAsia="WenQuanYi Micro Hei" w:cs="Lohit Devanagari" w:ascii="Times New Roman" w:hAnsi="Times New Roman"/>
          <w:b/>
          <w:bCs/>
          <w:color w:val="00000A"/>
          <w:sz w:val="32"/>
          <w:szCs w:val="32"/>
          <w:lang w:val="ru-RU" w:eastAsia="zh-CN" w:bidi="hi-IN"/>
        </w:rPr>
        <w:t xml:space="preserve">Определение </w:t>
      </w:r>
      <w:r>
        <w:rPr>
          <w:rFonts w:eastAsia="WenQuanYi Micro Hei" w:cs="Lohit Devanagari" w:ascii="Times New Roman" w:hAnsi="Times New Roman"/>
          <w:b/>
          <w:bCs/>
          <w:color w:val="00000A"/>
          <w:sz w:val="32"/>
          <w:szCs w:val="32"/>
          <w:lang w:val="ru-RU" w:eastAsia="zh-CN" w:bidi="hi-IN"/>
        </w:rPr>
        <w:t>требований к архитектуре программного продукта</w:t>
      </w:r>
    </w:p>
    <w:p>
      <w:pPr>
        <w:pStyle w:val="Normal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Требуется разработать программу, которая бы удовлетворяла следующим требованиям:</w:t>
      </w:r>
    </w:p>
    <w:p>
      <w:pPr>
        <w:pStyle w:val="Normal"/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Исходный код программы должен быть написан на языке C++</w:t>
      </w:r>
    </w:p>
    <w:p>
      <w:pPr>
        <w:pStyle w:val="Normal"/>
        <w:numPr>
          <w:ilvl w:val="0"/>
          <w:numId w:val="4"/>
        </w:numPr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Программа должна состоять из следующих основных частей:</w:t>
      </w:r>
    </w:p>
    <w:p>
      <w:pPr>
        <w:pStyle w:val="Normal"/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Normal"/>
        <w:jc w:val="left"/>
        <w:rPr>
          <w:rFonts w:ascii="Times New Roman" w:hAnsi="Times New Roman" w:eastAsia="WenQuanYi Micro Hei" w:cs="Lohit Devanagari"/>
          <w:color w:val="00000A"/>
          <w:sz w:val="24"/>
          <w:szCs w:val="24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</w:p>
    <w:p>
      <w:pPr>
        <w:pStyle w:val="Normal"/>
        <w:jc w:val="left"/>
        <w:rPr>
          <w:rFonts w:ascii="Times New Roman" w:hAnsi="Times New Roman" w:eastAsia="WenQuanYi Micro Hei" w:cs="Lohit Devanagari"/>
          <w:color w:val="00000A"/>
          <w:sz w:val="24"/>
          <w:szCs w:val="24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  <w:r>
        <w:br w:type="page"/>
      </w:r>
    </w:p>
    <w:p>
      <w:pPr>
        <w:pStyle w:val="1"/>
        <w:spacing w:before="57" w:after="57"/>
        <w:jc w:val="left"/>
        <w:rPr>
          <w:rFonts w:ascii="Times New Roman" w:hAnsi="Times New Roman" w:eastAsia="WenQuanYi Micro Hei" w:cs="Lohit Devanagari"/>
          <w:color w:val="00000A"/>
          <w:sz w:val="24"/>
          <w:szCs w:val="24"/>
          <w:lang w:val="ru-RU" w:eastAsia="zh-CN" w:bidi="hi-IN"/>
        </w:rPr>
      </w:pPr>
      <w:r>
        <w:rPr>
          <w:rFonts w:eastAsia="WenQuanYi Micro Hei" w:cs="Lohit Devanagari" w:ascii="Times New Roman" w:hAnsi="Times New Roman"/>
          <w:b/>
          <w:bCs/>
          <w:color w:val="00000A"/>
          <w:sz w:val="32"/>
          <w:szCs w:val="32"/>
          <w:lang w:val="ru-RU" w:eastAsia="zh-CN" w:bidi="hi-IN"/>
        </w:rPr>
        <w:t>Оп</w:t>
      </w:r>
      <w:r>
        <w:rPr>
          <w:rFonts w:eastAsia="WenQuanYi Micro Hei" w:cs="Lohit Devanagari" w:ascii="Times New Roman" w:hAnsi="Times New Roman"/>
          <w:b/>
          <w:bCs/>
          <w:color w:val="00000A"/>
          <w:sz w:val="32"/>
          <w:szCs w:val="32"/>
          <w:lang w:val="ru-RU" w:eastAsia="zh-CN" w:bidi="hi-IN"/>
        </w:rPr>
        <w:t>исание библиотеки КриптоПро CSP</w:t>
      </w:r>
    </w:p>
    <w:p>
      <w:pPr>
        <w:pStyle w:val="1"/>
        <w:spacing w:before="57" w:after="57"/>
        <w:jc w:val="left"/>
        <w:rPr>
          <w:b/>
          <w:b/>
          <w:bCs/>
          <w:sz w:val="32"/>
          <w:szCs w:val="32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</w:p>
    <w:p>
      <w:pPr>
        <w:pStyle w:val="Normal"/>
        <w:spacing w:before="57" w:after="57"/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Основными функциями КриптоПро CSP являются:</w:t>
      </w:r>
    </w:p>
    <w:p>
      <w:pPr>
        <w:pStyle w:val="Normal"/>
        <w:spacing w:before="57" w:after="57"/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</w:r>
    </w:p>
    <w:p>
      <w:pPr>
        <w:pStyle w:val="Style16"/>
        <w:numPr>
          <w:ilvl w:val="0"/>
          <w:numId w:val="5"/>
        </w:numPr>
        <w:spacing w:before="57" w:after="57"/>
        <w:jc w:val="left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генерация ключей подписи (256 бит и 512 бит), ключей обмена (256 бит и 512 бит), ключей шифрования (256 бит),</w:t>
      </w:r>
    </w:p>
    <w:p>
      <w:pPr>
        <w:pStyle w:val="Style16"/>
        <w:widowControl/>
        <w:numPr>
          <w:ilvl w:val="0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формирование ключей проверки подписи (512 бит для ГОСТ Р 34.10-2012 с длиной ключа подписи 256 бит (ГОСТ Р 34.10-2001) и 1024 бита для ГОСТ Р 34.10-2012 с длиной ключа подписи 512 бит);</w:t>
      </w:r>
    </w:p>
    <w:p>
      <w:pPr>
        <w:pStyle w:val="Style16"/>
        <w:widowControl/>
        <w:numPr>
          <w:ilvl w:val="0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формирование закрытых ключей на следующие типы носителей:</w:t>
      </w:r>
    </w:p>
    <w:p>
      <w:pPr>
        <w:pStyle w:val="Style16"/>
        <w:widowControl/>
        <w:numPr>
          <w:ilvl w:val="1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дискета 3,5";</w:t>
      </w:r>
    </w:p>
    <w:p>
      <w:pPr>
        <w:pStyle w:val="Style16"/>
        <w:widowControl/>
        <w:numPr>
          <w:ilvl w:val="1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процессорные карты MPCOS-EMV и российские интеллектуальные карты (РИК) с использованием считывателей смарт-карт, поддерживающие протокол PS/SC (GemPlus GCR-410, Towitoko, Oberthur OCR126);</w:t>
      </w:r>
    </w:p>
    <w:p>
      <w:pPr>
        <w:pStyle w:val="Style16"/>
        <w:widowControl/>
        <w:numPr>
          <w:ilvl w:val="1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индикаторы Touch-Memory DS1993 - DS1996 с использованием устройств Аккорд-АМДЗ, электронный замок "Соболь", устройство чтения индикаторов Touch-Memory DALLAS;</w:t>
      </w:r>
    </w:p>
    <w:p>
      <w:pPr>
        <w:pStyle w:val="Style16"/>
        <w:widowControl/>
        <w:numPr>
          <w:ilvl w:val="1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электронный ключ с интерфейсом USB;</w:t>
      </w:r>
    </w:p>
    <w:p>
      <w:pPr>
        <w:pStyle w:val="Style16"/>
        <w:widowControl/>
        <w:numPr>
          <w:ilvl w:val="1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сменный носитель с интерфейсом USB;</w:t>
      </w:r>
    </w:p>
    <w:p>
      <w:pPr>
        <w:pStyle w:val="Style16"/>
        <w:widowControl/>
        <w:numPr>
          <w:ilvl w:val="1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реестр Windows, локальный диск ОС UNIX.</w:t>
      </w:r>
    </w:p>
    <w:p>
      <w:pPr>
        <w:pStyle w:val="Style16"/>
        <w:widowControl/>
        <w:numPr>
          <w:ilvl w:val="0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возможность хранения сертификатов открытых ключей в ключевом контейнере;</w:t>
      </w:r>
    </w:p>
    <w:p>
      <w:pPr>
        <w:pStyle w:val="Style16"/>
        <w:widowControl/>
        <w:numPr>
          <w:ilvl w:val="0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возможность генерации ключей с различными параметрами в соответствии с ГОСТ Р 34.10-2001 и ГОСТ Р 34.10-2012 ("</w:t>
      </w:r>
      <w:r>
        <w:rPr>
          <w:rFonts w:eastAsia="WenQuanYi Micro Hei" w:cs="Lohit Devanagari" w:ascii="Times New Roman" w:hAnsi="Times New Roman"/>
          <w:b w:val="false"/>
          <w:i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Информационная технология. Криптографическая защита информации. Процессы формирования и проверки электронной цифровой подписи.</w:t>
      </w: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");</w:t>
      </w:r>
    </w:p>
    <w:p>
      <w:pPr>
        <w:pStyle w:val="Style16"/>
        <w:widowControl/>
        <w:numPr>
          <w:ilvl w:val="0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хэширование данных в соответствии с ГОСТ Р 34.11-94 и ГОСТ Р 34.11-2012 ("</w:t>
      </w:r>
      <w:r>
        <w:rPr>
          <w:rFonts w:eastAsia="WenQuanYi Micro Hei" w:cs="Lohit Devanagari" w:ascii="Times New Roman" w:hAnsi="Times New Roman"/>
          <w:b w:val="false"/>
          <w:i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Информационная технология. Криптографическая защита информации. Функция хэширования.</w:t>
      </w: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");</w:t>
      </w:r>
    </w:p>
    <w:p>
      <w:pPr>
        <w:pStyle w:val="Style16"/>
        <w:widowControl/>
        <w:numPr>
          <w:ilvl w:val="0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шифрование данных во всех режимах, определенных ГОСТ 28147-89 ("</w:t>
      </w:r>
      <w:r>
        <w:rPr>
          <w:rFonts w:eastAsia="WenQuanYi Micro Hei" w:cs="Lohit Devanagari" w:ascii="Times New Roman" w:hAnsi="Times New Roman"/>
          <w:b w:val="false"/>
          <w:i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Системы обработки информации. Защита криптографическая.</w:t>
      </w: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");</w:t>
      </w:r>
    </w:p>
    <w:p>
      <w:pPr>
        <w:pStyle w:val="Style16"/>
        <w:widowControl/>
        <w:numPr>
          <w:ilvl w:val="0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имитозащита данных в соответствии с ГОСТ 28147-89;</w:t>
      </w:r>
    </w:p>
    <w:p>
      <w:pPr>
        <w:pStyle w:val="Style16"/>
        <w:widowControl/>
        <w:numPr>
          <w:ilvl w:val="0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формирование электронной цифровой подписи в соответствии с ГОСТ Р 34.10-2001 и ГОСТ Р 34.10-2012;</w:t>
      </w:r>
    </w:p>
    <w:p>
      <w:pPr>
        <w:pStyle w:val="Style16"/>
        <w:widowControl/>
        <w:numPr>
          <w:ilvl w:val="0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поддержка функций, режимов, параметров, определённых в RFC 4357;</w:t>
      </w:r>
    </w:p>
    <w:p>
      <w:pPr>
        <w:pStyle w:val="Style16"/>
        <w:widowControl/>
        <w:numPr>
          <w:ilvl w:val="0"/>
          <w:numId w:val="5"/>
        </w:numPr>
        <w:spacing w:before="0" w:after="0"/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опциональное использование пароля (пин-кода) для дополнительной защиты ключевой информации;</w:t>
      </w:r>
    </w:p>
    <w:p>
      <w:pPr>
        <w:pStyle w:val="Style16"/>
        <w:widowControl/>
        <w:numPr>
          <w:ilvl w:val="0"/>
          <w:numId w:val="5"/>
        </w:numPr>
        <w:rPr>
          <w:rFonts w:ascii="Times New Roman" w:hAnsi="Times New Roman" w:eastAsia="WenQuanYi Micro Hei" w:cs="Lohit Devanagari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b w:val="false"/>
          <w:i w:val="false"/>
          <w:caps w:val="false"/>
          <w:smallCaps w:val="false"/>
          <w:color w:val="00000A"/>
          <w:spacing w:val="0"/>
          <w:sz w:val="28"/>
          <w:szCs w:val="28"/>
          <w:lang w:val="ru-RU" w:eastAsia="zh-CN" w:bidi="hi-IN"/>
        </w:rPr>
        <w:t>реализация мер защиты от НСД ключевой информации пользователя.</w:t>
      </w:r>
    </w:p>
    <w:p>
      <w:pPr>
        <w:pStyle w:val="Normal"/>
        <w:spacing w:before="57" w:after="57"/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 xml:space="preserve">Библиотека КриптоПро CSP позволяет выполнять действия, которые должны быть выполнены КриптоПро CSP путем вызова соответствующих функций. При этом разрабатываемая программа будет представлять собой «оболочку» из которой функции будут вызываться. </w:t>
      </w:r>
    </w:p>
    <w:p>
      <w:pPr>
        <w:pStyle w:val="Normal"/>
        <w:spacing w:before="57" w:after="57"/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highlight w:val="yellow"/>
          <w:lang w:val="ru-RU" w:eastAsia="zh-CN" w:bidi="hi-IN"/>
        </w:rPr>
        <w:t>Встраивание будет произведено на уровне прикладного программного обеспечения, с использованием интерфейса CryptoApi 2.0.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 xml:space="preserve"> 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Таким образом будет произведена изоляция прикладного программного обеспечения от крипрографических функций.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 xml:space="preserve"> 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highlight w:val="yellow"/>
          <w:lang w:val="ru-RU" w:eastAsia="zh-CN" w:bidi="hi-IN"/>
        </w:rPr>
        <w:t>При этом выбор криптографических алгоритмов будет определяться на уровне программного обесечения.</w:t>
      </w:r>
    </w:p>
    <w:p>
      <w:pPr>
        <w:pStyle w:val="Normal"/>
        <w:spacing w:before="57" w:after="57"/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 xml:space="preserve">В соответствии с </w:t>
      </w:r>
      <w:r>
        <w:rPr>
          <w:rFonts w:eastAsia="WenQuanYi Micro Hei" w:cs="Lohit Devanagari" w:ascii="Times New Roman" w:hAnsi="Times New Roman"/>
          <w:color w:val="00000A"/>
          <w:sz w:val="28"/>
          <w:szCs w:val="28"/>
          <w:lang w:val="ru-RU" w:eastAsia="zh-CN" w:bidi="hi-IN"/>
        </w:rPr>
        <w:t>установленными требованиями в реализации будут использованы следующие функции библиотеки:</w:t>
      </w:r>
    </w:p>
    <w:p>
      <w:pPr>
        <w:pStyle w:val="Normal"/>
        <w:numPr>
          <w:ilvl w:val="0"/>
          <w:numId w:val="6"/>
        </w:numPr>
        <w:spacing w:before="57" w:after="57"/>
        <w:jc w:val="left"/>
        <w:rPr>
          <w:rFonts w:ascii="Times New Roman" w:hAnsi="Times New Roman" w:eastAsia="WenQuanYi Micro Hei" w:cs="Lohit Devanagari"/>
          <w:color w:val="00000A"/>
          <w:sz w:val="28"/>
          <w:szCs w:val="28"/>
          <w:highlight w:val="yellow"/>
          <w:lang w:val="ru-RU" w:eastAsia="zh-CN" w:bidi="hi-IN"/>
        </w:rPr>
      </w:pPr>
      <w:r>
        <w:rPr>
          <w:rFonts w:eastAsia="WenQuanYi Micro Hei" w:cs="Lohit Devanagari" w:ascii="Times New Roman" w:hAnsi="Times New Roman"/>
          <w:color w:val="00000A"/>
          <w:sz w:val="28"/>
          <w:szCs w:val="28"/>
          <w:highlight w:val="yellow"/>
          <w:lang w:val="ru-RU" w:eastAsia="zh-CN" w:bidi="hi-IN"/>
        </w:rPr>
        <w:t>рорлро</w:t>
      </w:r>
      <w:r>
        <w:br w:type="page"/>
      </w:r>
    </w:p>
    <w:p>
      <w:pPr>
        <w:pStyle w:val="1"/>
        <w:spacing w:before="57" w:after="57"/>
        <w:jc w:val="left"/>
        <w:rPr>
          <w:rFonts w:ascii="Times New Roman" w:hAnsi="Times New Roman" w:eastAsia="WenQuanYi Micro Hei" w:cs="Lohit Devanagari"/>
          <w:color w:val="00000A"/>
          <w:sz w:val="24"/>
          <w:szCs w:val="24"/>
          <w:lang w:val="ru-RU" w:eastAsia="zh-CN" w:bidi="hi-IN"/>
        </w:rPr>
      </w:pPr>
      <w:r>
        <w:rPr>
          <w:rFonts w:eastAsia="WenQuanYi Micro Hei" w:cs="Lohit Devanagari" w:ascii="Times New Roman" w:hAnsi="Times New Roman"/>
          <w:b/>
          <w:bCs/>
          <w:color w:val="00000A"/>
          <w:sz w:val="32"/>
          <w:szCs w:val="32"/>
          <w:lang w:val="ru-RU" w:eastAsia="zh-CN" w:bidi="hi-IN"/>
        </w:rPr>
        <w:t>Описание реализации программного продукта</w:t>
      </w:r>
    </w:p>
    <w:p>
      <w:pPr>
        <w:pStyle w:val="1"/>
        <w:spacing w:before="57" w:after="57"/>
        <w:jc w:val="left"/>
        <w:rPr>
          <w:b/>
          <w:b/>
          <w:bCs/>
          <w:sz w:val="32"/>
          <w:szCs w:val="32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</w:p>
    <w:p>
      <w:pPr>
        <w:pStyle w:val="1"/>
        <w:spacing w:before="57" w:after="57"/>
        <w:jc w:val="left"/>
        <w:rPr>
          <w:b/>
          <w:b/>
          <w:bCs/>
          <w:sz w:val="32"/>
          <w:szCs w:val="32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  <w:r>
        <w:br w:type="page"/>
      </w:r>
    </w:p>
    <w:p>
      <w:pPr>
        <w:pStyle w:val="1"/>
        <w:spacing w:before="57" w:after="57"/>
        <w:jc w:val="left"/>
        <w:rPr>
          <w:rFonts w:ascii="Times New Roman" w:hAnsi="Times New Roman" w:eastAsia="WenQuanYi Micro Hei" w:cs="Lohit Devanagari"/>
          <w:color w:val="00000A"/>
          <w:sz w:val="24"/>
          <w:szCs w:val="24"/>
          <w:lang w:val="ru-RU" w:eastAsia="zh-CN" w:bidi="hi-IN"/>
        </w:rPr>
      </w:pPr>
      <w:r>
        <w:rPr>
          <w:rFonts w:eastAsia="WenQuanYi Micro Hei" w:cs="Lohit Devanagari" w:ascii="Times New Roman" w:hAnsi="Times New Roman"/>
          <w:b/>
          <w:bCs/>
          <w:color w:val="00000A"/>
          <w:sz w:val="32"/>
          <w:szCs w:val="32"/>
          <w:lang w:val="ru-RU" w:eastAsia="zh-CN" w:bidi="hi-IN"/>
        </w:rPr>
        <w:t>Руководство пользователя программного продукта</w:t>
      </w:r>
    </w:p>
    <w:p>
      <w:pPr>
        <w:pStyle w:val="1"/>
        <w:spacing w:before="57" w:after="57"/>
        <w:jc w:val="left"/>
        <w:rPr>
          <w:b/>
          <w:b/>
          <w:bCs/>
          <w:sz w:val="32"/>
          <w:szCs w:val="32"/>
        </w:rPr>
      </w:pPr>
      <w:r>
        <w:rPr>
          <w:rFonts w:eastAsia="WenQuanYi Micro Hei" w:cs="Lohit Devanagari" w:ascii="Times New Roman" w:hAnsi="Times New Roman"/>
          <w:color w:val="00000A"/>
          <w:sz w:val="24"/>
          <w:szCs w:val="24"/>
          <w:lang w:val="ru-RU" w:eastAsia="zh-CN" w:bidi="hi-IN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altName w:val="serif"/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ru-RU" w:eastAsia="zh-CN" w:bidi="hi-IN"/>
    </w:rPr>
  </w:style>
  <w:style w:type="paragraph" w:styleId="1">
    <w:name w:val="Heading 1"/>
    <w:basedOn w:val="Style15"/>
    <w:qFormat/>
    <w:pPr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Times New Roman" w:hAnsi="Times New Roman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Times New Roman" w:hAnsi="Times New Roman"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TOA Heading"/>
    <w:basedOn w:val="Style1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10</Pages>
  <Words>621</Words>
  <Characters>4496</Characters>
  <CharactersWithSpaces>5021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2018-05-05T10:30:26Z</dcterms:created>
  <dc:creator/>
  <dc:description/>
  <dc:language>ru-RU</dc:language>
  <cp:lastModifiedBy/>
  <dcterms:modified xsi:type="dcterms:W3CDTF">2018-05-06T17:00:07Z</dcterms:modified>
  <cp:revision>5</cp:revision>
  <dc:subject/>
  <dc:title/>
</cp:coreProperties>
</file>