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376e33f336f03c6af86ca5103b8bad51a51c7e5"/>
    <w:p>
      <w:pPr>
        <w:pStyle w:val="Heading1"/>
      </w:pPr>
      <w:r>
        <w:t xml:space="preserve">S2 Text. Supplementary methods and results</w:t>
      </w:r>
    </w:p>
    <w:p>
      <w:pPr>
        <w:pStyle w:val="FirstParagraph"/>
      </w:pPr>
      <w:r>
        <w:t xml:space="preserve">Supporting information for</w:t>
      </w:r>
      <w:r>
        <w:t xml:space="preserve"> </w:t>
      </w:r>
      <w:r>
        <w:t xml:space="preserve">“</w:t>
      </w:r>
      <w:r>
        <w:t xml:space="preserve">Mapping the stablecoin transfer network on Ethereum after netting out flash loans, 2020–2026: rising concentration, super-linear preferential attachment and the retreat of payment-like transfers</w:t>
      </w:r>
      <w:r>
        <w:t xml:space="preserve">”</w:t>
      </w:r>
      <w:r>
        <w:t xml:space="preserve">. Section letters are referred to from the main text as</w:t>
      </w:r>
      <w:r>
        <w:t xml:space="preserve"> </w:t>
      </w:r>
      <w:r>
        <w:t xml:space="preserve">“</w:t>
      </w:r>
      <w:r>
        <w:t xml:space="preserve">S2 Text</w:t>
      </w:r>
      <w:r>
        <w:t xml:space="preserve">”</w:t>
      </w:r>
      <w:r>
        <w:t xml:space="preserve">. Numbered references in square brackets are those of the main text.</w:t>
      </w:r>
    </w:p>
    <w:bookmarkStart w:id="20" w:name="a.-token-contracts-and-data"/>
    <w:p>
      <w:pPr>
        <w:pStyle w:val="Heading2"/>
      </w:pPr>
      <w:r>
        <w:t xml:space="preserve">A. Token contracts and data</w:t>
      </w:r>
    </w:p>
    <w:p>
      <w:pPr>
        <w:pStyle w:val="FirstParagraph"/>
      </w:pPr>
      <w:r>
        <w:t xml:space="preserve">The three token contracts are Tether USD (USDT)</w:t>
      </w:r>
      <w:r>
        <w:t xml:space="preserve"> </w:t>
      </w:r>
      <w:r>
        <w:rPr>
          <w:rStyle w:val="VerbatimChar"/>
        </w:rPr>
        <w:t xml:space="preserve">0xdac17f958d2ee523a2206206994597c13d831ec7</w:t>
      </w:r>
      <w:r>
        <w:t xml:space="preserve"> </w:t>
      </w:r>
      <w:r>
        <w:t xml:space="preserve">(6 decimals), USD Coin (USDC)</w:t>
      </w:r>
      <w:r>
        <w:t xml:space="preserve"> </w:t>
      </w:r>
      <w:r>
        <w:rPr>
          <w:rStyle w:val="VerbatimChar"/>
        </w:rPr>
        <w:t xml:space="preserve">0xa0b86991c6218b36c1d19d4a2e9eb0ce3606eb48</w:t>
      </w:r>
      <w:r>
        <w:t xml:space="preserve"> </w:t>
      </w:r>
      <w:r>
        <w:t xml:space="preserve">(6 decimals) and Dai (DAI)</w:t>
      </w:r>
      <w:r>
        <w:t xml:space="preserve"> </w:t>
      </w:r>
      <w:r>
        <w:rPr>
          <w:rStyle w:val="VerbatimChar"/>
        </w:rPr>
        <w:t xml:space="preserve">0x6b175474e89094c44da98b954eedeac495271d0f</w:t>
      </w:r>
      <w:r>
        <w:t xml:space="preserve"> </w:t>
      </w:r>
      <w:r>
        <w:t xml:space="preserve">(18 decimals). Raw values were converted to token units with the respective decimals. The Google BigQuery public dataset</w:t>
      </w:r>
      <w:r>
        <w:t xml:space="preserve"> </w:t>
      </w:r>
      <w:r>
        <w:rPr>
          <w:rStyle w:val="VerbatimChar"/>
        </w:rPr>
        <w:t xml:space="preserve">bigquery-public-data.crypto_ethereum</w:t>
      </w:r>
      <w:r>
        <w:t xml:space="preserve"> </w:t>
      </w:r>
      <w:r>
        <w:t xml:space="preserve">has been used in peer-reviewed network studies of Bitcoin [7] and is updated daily. Transfers were materialised from the launch of each token, which for USDT means from November 2017. Materialising the three tokens’ transfers, the contract list, the transaction metadata and the netted transfer table scanned approximately 1 TB of the public dataset, and every subsequent query ran on these materialised tables. Over the 81 months the dataset contains 1,041.2 million non-mint/burn transfer events for the three tokens, of which 783.6 million remain after the self-transfer and dust filters.</w:t>
      </w:r>
    </w:p>
    <w:p>
      <w:pPr>
        <w:pStyle w:val="BodyText"/>
      </w:pPr>
      <w:r>
        <w:t xml:space="preserve">USDC has been the largest token by gross value on Ethereum since 2022 (12.2 trillion USD in the first nine months of 2026, against 5.2 trillion for USDT and 1.1 trillion for DAI), but two-thirds of that gross value was round-trip volume that never changed hands. Counting every non-mint transfer event, the 2026 volume is 44.7 million events per month against 24.2 million after the filters: sub-dollar transfers, almost all of them contract-generated</w:t>
      </w:r>
      <w:r>
        <w:t xml:space="preserve"> </w:t>
      </w:r>
      <w:r>
        <w:t xml:space="preserve">“</w:t>
      </w:r>
      <w:r>
        <w:t xml:space="preserve">address poisoning</w:t>
      </w:r>
      <w:r>
        <w:t xml:space="preserve">”</w:t>
      </w:r>
      <w:r>
        <w:t xml:space="preserve"> </w:t>
      </w:r>
      <w:r>
        <w:t xml:space="preserve">and airdrop spam, rose from under 1% of USDT and 4% of USDC transfer events in 2020 to 49% and 42% in 2026. Counted against all non-mint transfer events, including this dust, the 2026 share of USDT transfers made by direct calls to the token contract is 36%, against 57% on the filtered set (S1 Table).</w:t>
      </w:r>
    </w:p>
    <w:bookmarkEnd w:id="20"/>
    <w:bookmarkStart w:id="21" w:name="b.-address-typing"/>
    <w:p>
      <w:pPr>
        <w:pStyle w:val="Heading2"/>
      </w:pPr>
      <w:r>
        <w:t xml:space="preserve">B. Address typing</w:t>
      </w:r>
    </w:p>
    <w:p>
      <w:pPr>
        <w:pStyle w:val="FirstParagraph"/>
      </w:pPr>
      <w:r>
        <w:t xml:space="preserve">Addresses are typed dynamically from the</w:t>
      </w:r>
      <w:r>
        <w:t xml:space="preserve"> </w:t>
      </w:r>
      <w:r>
        <w:rPr>
          <w:rStyle w:val="VerbatimChar"/>
        </w:rPr>
        <w:t xml:space="preserve">contracts</w:t>
      </w:r>
      <w:r>
        <w:t xml:space="preserve"> </w:t>
      </w:r>
      <w:r>
        <w:t xml:space="preserve">table: an address is a smart contract if a contract existed at it at the time of the transfer, and an externally owned account otherwise. Dynamic typing matters because many addresses receive stablecoins before a contract is deployed at them, for example counterfactual deployment addresses and CREATE2 factories, and because the contract population grows throughout the sample. Two cases are handled by convention. Since the Pectra upgrade of 7 May 2025, under EIP-7702 [24], an externally owned account can carry delegated code. Such accounts remain EOAs under our rule because they are not created by a contract-creation transaction, which is the economically appropriate treatment for a user wallet. Conversely, several centralised exchanges now operate hot wallets as upgradeable proxy contracts , for example the wallet labelled</w:t>
      </w:r>
      <w:r>
        <w:t xml:space="preserve"> </w:t>
      </w:r>
      <w:r>
        <w:rPr>
          <w:iCs/>
          <w:i/>
        </w:rPr>
        <w:t xml:space="preserve">Binance: Hot Wallet 34</w:t>
      </w:r>
      <w:r>
        <w:t xml:space="preserve">, an ERC-1967 proxy active since August 2025. These are typed SC by construction, so part of the late-sample increase in</w:t>
      </w:r>
      <w:r>
        <w:t xml:space="preserve"> </w:t>
      </w:r>
      <w:r>
        <w:t xml:space="preserve">“</w:t>
      </w:r>
      <w:r>
        <w:t xml:space="preserve">contract</w:t>
      </w:r>
      <w:r>
        <w:t xml:space="preserve">”</w:t>
      </w:r>
      <w:r>
        <w:t xml:space="preserve"> </w:t>
      </w:r>
      <w:r>
        <w:t xml:space="preserve">participation reflects exchange wallet technology rather than decentralised-finance intermediation. The label-based decomposition of recipients (S2 Table, Fig 5) classes exchange wallets as exchanges whether or not they are contracts.</w:t>
      </w:r>
    </w:p>
    <w:bookmarkEnd w:id="21"/>
    <w:bookmarkStart w:id="22" w:name="c.-the-gas-threshold-of-g_simple"/>
    <w:p>
      <w:pPr>
        <w:pStyle w:val="Heading2"/>
      </w:pPr>
      <w:r>
        <w:t xml:space="preserve">C. The gas threshold of G_simple</w:t>
      </w:r>
    </w:p>
    <w:p>
      <w:pPr>
        <w:pStyle w:val="FirstParagraph"/>
      </w:pPr>
      <w:r>
        <w:t xml:space="preserve">G_simple keeps transfers made by a transaction whose</w:t>
      </w:r>
      <w:r>
        <w:t xml:space="preserve"> </w:t>
      </w:r>
      <w:r>
        <w:rPr>
          <w:rStyle w:val="VerbatimChar"/>
        </w:rPr>
        <w:t xml:space="preserve">to</w:t>
      </w:r>
      <w:r>
        <w:t xml:space="preserve"> </w:t>
      </w:r>
      <w:r>
        <w:t xml:space="preserve">field equals the token contract and which consumes fewer than 120,000 units of gas. The median gas used by such direct calls is 35,000–37,000 (DAI), 43,000–50,000 (USDC) and 41,000–46,000 (USDT) depending on the year, 99% of them use fewer than 72,000 units, and fewer than 0.0001% reach the 120,000 threshold, which therefore only guards against unusual contract interactions (S4 Table,</w:t>
      </w:r>
      <w:r>
        <w:t xml:space="preserve"> </w:t>
      </w:r>
      <w:r>
        <w:rPr>
          <w:rStyle w:val="VerbatimChar"/>
        </w:rPr>
        <w:t xml:space="preserve">q16_direct_call_gas.csv</w:t>
      </w:r>
      <w:r>
        <w:t xml:space="preserve">). Transfers routed through a decentralised-exchange router, a lending pool, a bridge, a smart-contract wallet or a batching contract are initiated by a call to that other contract and are excluded regardless of gas.</w:t>
      </w:r>
    </w:p>
    <w:bookmarkEnd w:id="22"/>
    <w:bookmarkStart w:id="23" w:name="X6e1cba0b49ca80c16f5881ce234c28f118b0888"/>
    <w:p>
      <w:pPr>
        <w:pStyle w:val="Heading2"/>
      </w:pPr>
      <w:r>
        <w:t xml:space="preserve">D. Address labels, entities and persistent hubs</w:t>
      </w:r>
    </w:p>
    <w:p>
      <w:pPr>
        <w:pStyle w:val="FirstParagraph"/>
      </w:pPr>
      <w:r>
        <w:t xml:space="preserve">The 20 largest recipients of every token-month under G_net (4,860 address-months and 611 distinct addresses, of which 341, 228 and 202 are distinct within DAI, USDC and USDT respectively, some appearing in more than one token) were extracted together with their in-degree and the share of their inflow coming from their single largest counterparty. A separate extraction under G_all, run in the query console with</w:t>
      </w:r>
      <w:r>
        <w:t xml:space="preserve"> </w:t>
      </w:r>
      <w:r>
        <w:rPr>
          <w:rStyle w:val="VerbatimChar"/>
        </w:rPr>
        <w:t xml:space="preserve">top_receivers.sql</w:t>
      </w:r>
      <w:r>
        <w:t xml:space="preserve"> </w:t>
      </w:r>
      <w:r>
        <w:t xml:space="preserve">of S1 Text, identifies the gross-value hubs, which is how the round-trip bots entered the table. Labels come from three public sources and two behavioural rules, in order of priority: Etherscan public name tags, then the verified-source contract name on Etherscan, then the community-maintained exchange address compilation by hildobby distributed through Dune’s Spellbook, then, for unlabelled contracts, a rule that flags a recipient as a</w:t>
      </w:r>
      <w:r>
        <w:t xml:space="preserve"> </w:t>
      </w:r>
      <w:r>
        <w:rPr>
          <w:iCs/>
          <w:i/>
        </w:rPr>
        <w:t xml:space="preserve">loop-like contract</w:t>
      </w:r>
      <w:r>
        <w:t xml:space="preserve"> </w:t>
      </w:r>
      <w:r>
        <w:t xml:space="preserve">when at least 95% of its inflow comes from one counterparty and its in-degree is at most 10, and finally a rule that groups unlabelled accounts funded by, or funding, the same unlabelled account as one operator. Each label carries a confidence grade. The table has 96 addresses (81 high-confidence, 15 medium-confidence) in eleven categories: centralised exchanges (44 addresses), decentralised-exchange pools (14), lending protocols (11), Sky/Maker peg-stability and conversion modules (8), bridges (4), maximal-extractable-value (MEV) bots (4), decentralised-exchange aggregators (3), issuer treasuries (3), unlabelled EOAs with identifiable operator clusters (3, where addresses funded by, or funding, the same unlabelled account were grouped as one operator), one flash-mint module and one loop-like contract. Pooled over all months, the labelled addresses account for 75–87% of top-20 inflow depending on the token (USDC 75%, USDT 76%, DAI 87% under G_net, where the labelled flash-mint module is the largest recipient in 47 months, and 67% for DAI under G_net_xf, the definition used for all DAI results in the main text). By year the coverage was 57% for USDT and 45% for USDC in 2020, 74–81% and 67–83% from 2021 to 2026, and for DAI under G_net_xf between 32% and 95%. As annual means, the top-20 recipients themselves account for 29–37% of monthly USDT inflow, 34–53% of USDC inflow and 49–92% of DAI inflow.</w:t>
      </w:r>
    </w:p>
    <w:p>
      <w:pPr>
        <w:pStyle w:val="BodyText"/>
      </w:pPr>
      <w:r>
        <w:t xml:space="preserve">The 32 entities group, for example, the 15 labelled Binance wallets, and the ten Sky/Maker contracts: the peg-stability module PSM-USDC-A (two contracts), the LitePSM and its reserve pocket, the converter from DAI to USDS and its USDS PSM wrapper, the savings vault sDAI, the Spark lending pool spDAI, the Spark asset–liability management (ALM) proxy and the flash-mint module. Transfers between addresses of the same entity (exchange-internal consolidation such as</w:t>
      </w:r>
      <w:r>
        <w:t xml:space="preserve"> </w:t>
      </w:r>
      <w:r>
        <w:rPr>
          <w:iCs/>
          <w:i/>
        </w:rPr>
        <w:t xml:space="preserve">Binance 14</w:t>
      </w:r>
      <w:r>
        <w:t xml:space="preserve"> </w:t>
      </w:r>
      <w:r>
        <w:t xml:space="preserve">→</w:t>
      </w:r>
      <w:r>
        <w:t xml:space="preserve"> </w:t>
      </w:r>
      <w:r>
        <w:rPr>
          <w:iCs/>
          <w:i/>
        </w:rPr>
        <w:t xml:space="preserve">Binance 17</w:t>
      </w:r>
      <w:r>
        <w:t xml:space="preserve">, or movements between a peg-stability module and its reserve</w:t>
      </w:r>
      <w:r>
        <w:t xml:space="preserve"> </w:t>
      </w:r>
      <w:r>
        <w:t xml:space="preserve">“</w:t>
      </w:r>
      <w:r>
        <w:t xml:space="preserve">pocket</w:t>
      </w:r>
      <w:r>
        <w:t xml:space="preserve">”</w:t>
      </w:r>
      <w:r>
        <w:t xml:space="preserve">) are removed before the entity-level concentration statistics are computed.</w:t>
      </w:r>
    </w:p>
    <w:p>
      <w:pPr>
        <w:pStyle w:val="BodyText"/>
      </w:pPr>
      <w:r>
        <w:t xml:space="preserve">Two kinds of MEV activity behave differently under netting.</w:t>
      </w:r>
      <w:r>
        <w:t xml:space="preserve"> </w:t>
      </w:r>
      <w:r>
        <w:rPr>
          <w:iCs/>
          <w:i/>
        </w:rPr>
        <w:t xml:space="preserve">Round-trip</w:t>
      </w:r>
      <w:r>
        <w:t xml:space="preserve"> </w:t>
      </w:r>
      <w:r>
        <w:t xml:space="preserve">bots , for example flash-loan borrowers on Morpho Blue and similar redistribution loops, of which the label table holds four contracts, two of them sharing identical bytecode, disappear from G_net because their inflows are cancelled within the transaction.</w:t>
      </w:r>
      <w:r>
        <w:t xml:space="preserve"> </w:t>
      </w:r>
      <w:r>
        <w:rPr>
          <w:iCs/>
          <w:i/>
        </w:rPr>
        <w:t xml:space="preserve">Inventory-based</w:t>
      </w:r>
      <w:r>
        <w:t xml:space="preserve"> </w:t>
      </w:r>
      <w:r>
        <w:t xml:space="preserve">arbitrage bots hold their own stablecoin inventory and move it between pools, survive netting and are counted as genuine flow. The largest such bot has been active since August 2022 and ranked among the 20 largest USDC recipients under G_net in 38 months between September 2022 and December 2025, with a peak monthly share of 16% of USDC net inflow. The unlabelled arbitrage operator referred to in the main text consists of one EOA active since 2019 and this inventory-holding MEV contract, linked by a common funder. It was a top-20 recipient of all three tokens for 49–62 months and took up to 17% of monthly USDC net inflow in 2023.</w:t>
      </w:r>
    </w:p>
    <w:p>
      <w:pPr>
        <w:pStyle w:val="BodyText"/>
      </w:pPr>
      <w:r>
        <w:t xml:space="preserve">Persistence of the largest recipients, Table 3 of the main text, in more detail. FTX was a top-20 USDC recipient in 35 months until November 2022 and then disappeared. Compound was the largest DAI recipient in 2020 and left the top 20 in August 2023. Coinbase entered the USDC top 20 in May 2021 and stayed. At the address level only one address per token was in the top 20 in at least 65 months: Binance 14 for USDT, Circle’s main wallet for USDC and the Curve 3pool for DAI. The long-standing Binance USDC wallets, Binance 14, 15 and 16, were replaced by</w:t>
      </w:r>
      <w:r>
        <w:t xml:space="preserve"> </w:t>
      </w:r>
      <w:r>
        <w:rPr>
          <w:iCs/>
          <w:i/>
        </w:rPr>
        <w:t xml:space="preserve">Binance: Hot Wallet 34</w:t>
      </w:r>
      <w:r>
        <w:t xml:space="preserve"> </w:t>
      </w:r>
      <w:r>
        <w:t xml:space="preserve">from August 2025, and new OKX and Kraken hot wallets entered the USDT list in May and September 2025 while the Binance USDT wallets remained in place. Of the 180 top-20 slots of 2026 (nine months × 20 ranks, 171 for DAI after dropping the flash-mint module), only 7% (USDC), 9% (DAI) and 29% (USDT) were held by addresses that had appeared in any 2021 top-20 list. At the entity level, 76% (USDT), 78% (USDC) and 82% (DAI) of the 2026 slots held by labelled entities were held by entities that had already appeared in 2021. These are the 7–29% and 76–82% of the main text. Entities that were top-20 recipients in at least half of the months (≥ 41) received 16% (USDT), 21% (USDC) and 43% (DAI) of monthly net inflow in 2026, and the corresponding address-level figures are 13%, 10% and 1%. The DAI contrast is the entity effect in its purest form. Sky’s inflow passed through contracts that replaced one another, the PSM-USDC-A until September 2024 and the LitePSM and the converter since, and none of them was in the top 20 for more than 37 months, so at the address level only the Curve 3pool and the CoW settlement contract qualify as regulars. The address-level names in Table 3 of the main text are Etherscan name tags for exchange hot wallets (Binance 14 to 18, Kraken 7, Coinbase 10, Coinbase Prime 1 and FTX) and for the issuer wallets (Tether Treasury and Circle), and verified contract names for protocol contracts: the Uniswap V3 USDC/WETH 0.05% pool, the Curve 3pool, the stable-swap pool that holds DAI, USDC and USDT, the CoW Protocol settlement contract through which its batch auctions settle, the Aave V3 aEthDAI and Compound cDAI contracts, which receive DAI deposited into those lending protocols, and the Maker PSM-USDC-A peg-stability module through which DAI was redeemed into USDC until September 2024. The</w:t>
      </w:r>
      <w:r>
        <w:t xml:space="preserve"> </w:t>
      </w:r>
      <w:r>
        <w:t xml:space="preserve">“</w:t>
      </w:r>
      <w:r>
        <w:t xml:space="preserve">inventory MEV bot</w:t>
      </w:r>
      <w:r>
        <w:t xml:space="preserve">”</w:t>
      </w:r>
      <w:r>
        <w:t xml:space="preserve"> </w:t>
      </w:r>
      <w:r>
        <w:t xml:space="preserve">is the inventory-holding arbitrage contract described above. The unlabelled address 0x28c5…151a is an externally owned account with no public label that received 0.6–4.0% of monthly USDC net inflow in 55 months, in round amounts and from a single counterparty in every one of those months, and it is treated as its own entity.</w:t>
      </w:r>
    </w:p>
    <w:p>
      <w:pPr>
        <w:pStyle w:val="BodyText"/>
      </w:pPr>
      <w:r>
        <w:t xml:space="preserve">DAI’s issuer-side funnel in detail. The DAI-to-USDS converter alone took 51% of September 2026 inflow. When transfers between Sky’s own contracts are counted as inflow as well, as in Fig 2C, the issuer side received 84% of DAI net inflow in 2026 and 90% in September 2026, the difference consisting of transfers between the LitePSM, its reserve pocket and the converter as the token is converted out. Once the flash-mint module is removed, the two largest DAI recipients in every month from March 2025 to August 2026 are the Sky LitePSM, the lightweight peg-stability module through which DAI is redeemed into USDC, and the USDS PSM wrapper that sits between the LitePSM and the converter. In September 2026 the converter itself took first place. The non-issuer DAI network is small: 40 billion USD of net inflow in January–September 2026, against 102 billion when Sky’s contracts are consolidated into one entity and 340 billion at the address level, where transfers between Sky’s own contracts are counted.</w:t>
      </w:r>
    </w:p>
    <w:bookmarkEnd w:id="23"/>
    <w:bookmarkStart w:id="24" w:name="X300040537e258255d3e1772bc0045c3ce1a26d6"/>
    <w:p>
      <w:pPr>
        <w:pStyle w:val="Heading2"/>
      </w:pPr>
      <w:r>
        <w:t xml:space="preserve">E. Flash-loan-like volume: composition and sensitivity</w:t>
      </w:r>
    </w:p>
    <w:p>
      <w:pPr>
        <w:pStyle w:val="FirstParagraph"/>
      </w:pPr>
      <w:r>
        <w:t xml:space="preserve">The 2022 USDC episode was concentrated between June and September 2022 (23–49% of monthly gross value). Of the year’s 801 billion USD of USDC round-trip value, 89% came from transactions submitted through the Gelato automation network (one entry contract, six executor accounts, 1,414 transactions averaging 500 million USD) that moved the USDC of two Arrakis/G-UNI liquidity vaults out of and back into the Uniswap V3 DAI/USDC 0.01% and 0.05% pools within the same transaction, the pattern of an automated liquidity rebalance. Round trips against the lending-protocol pools of Aave V2 and Compound contributed about 1%. Round trips involving the five most active addresses of 2022 made up 96–99.6% of monthly USDC round-trip value from June to October 2022. By December 2022 the episode had faded, and USDC round trips stayed at 5% of gross value or less in every month of 2023 (S4 Table).</w:t>
      </w:r>
    </w:p>
    <w:p>
      <w:pPr>
        <w:pStyle w:val="BodyText"/>
      </w:pPr>
      <w:r>
        <w:t xml:space="preserve">DAI’s round trips by year are given in S4 Table, file</w:t>
      </w:r>
      <w:r>
        <w:t xml:space="preserve"> </w:t>
      </w:r>
      <w:r>
        <w:rPr>
          <w:rStyle w:val="VerbatimChar"/>
        </w:rPr>
        <w:t xml:space="preserve">q17_dai_roundtrip_by_address_by_year.csv</w:t>
      </w:r>
      <w:r>
        <w:t xml:space="preserve">. The shares credit the gross value of each pair to both endpoints, so the shares of a lender and of its borrowers overlap. In 2021, with 220 billion USD of round-trip value, Compound’s cDAI and Aave V2’s aDAI contracts were endpoints of 49% and 29% of the value, and a single unlabelled contract was the other party to 56% of it. In 2022, with 834 billion USD, the Uniswap V3 DAI/USDC 0.01% and 0.05% pools and their two G-UNI/Arrakis vaults were the endpoints of 62% and 32% of the value, so 94% was the DAI leg of the same rebalancing loop, and DAI’s monthly round-trip share peaked at 91% in August 2022. By year, DAI’s round-trip share was 12% in 2020, 27% in 2021 and 74% in 2022 (S1 Table). In 2023, with 208 billion USD, the loop faded to 15%, and Aave V3’s aEthDAI contract was an endpoint of 60% of the value, with Aave V2 at 19%. In 2024, with 1.19 trillion USD, Aave V3 was an endpoint of 97%, with a handful of unlabelled borrower contracts on the other side.</w:t>
      </w:r>
    </w:p>
    <w:p>
      <w:pPr>
        <w:pStyle w:val="BodyText"/>
      </w:pPr>
      <w:r>
        <w:t xml:space="preserve">A fee-free flash loan, for example on Morpho Blue, nets to exactly zero within the pair, and a flash loan with the 0.05% fee of Aave V3 leaves a residual of 0.025% of gross, well inside the 0.1% threshold of the flash-loan-like flag. Under the gross definition the Morpho Blue singleton has been the largest recipient of USDC and USDT in most months since mid-2025, followed in most months by its flash-loan borrower contracts (query</w:t>
      </w:r>
      <w:r>
        <w:t xml:space="preserve"> </w:t>
      </w:r>
      <w:r>
        <w:rPr>
          <w:rStyle w:val="VerbatimChar"/>
        </w:rPr>
        <w:t xml:space="preserve">top_receivers.sql</w:t>
      </w:r>
      <w:r>
        <w:t xml:space="preserve"> </w:t>
      </w:r>
      <w:r>
        <w:t xml:space="preserve">in S1 Text). The same two borrower contracts have been the other endpoint of 64% (USDC) and 85% (USDT) of flash-loan-like value since January 2025, and the ten most active addresses are party to 98–99% of it (S4 Table). The monthly peak of round-trip volume was March 2026, when 75% of gross USDC value (1.37 trillion USD of 1.82 trillion) and 67% of gross USDT value were round trips. Pooled over the three tokens, 58% of gross value in January–September 2026 was round trips, and netting reduced the net transfer value of USDC in those nine months to 4.1 trillion USD, 1.4 times the 2.9 trillion of the whole of 2024 (S1 Table). The additional netting reduction from non-flash round trips (round trips with a residual above 0.1% of gross) is 0.2–0.6 percentage points for USDT and USDC in 2026. This is also the sensitivity of the round-trip share to the residual threshold, since raising it from 0.1% to 100% of gross would add at most these 0.2–0.6 points.</w:t>
      </w:r>
    </w:p>
    <w:p>
      <w:pPr>
        <w:pStyle w:val="BodyText"/>
      </w:pPr>
      <w:r>
        <w:t xml:space="preserve">The DAI flash-mint module (Sky</w:t>
      </w:r>
      <w:r>
        <w:t xml:space="preserve"> </w:t>
      </w:r>
      <w:r>
        <w:rPr>
          <w:iCs/>
          <w:i/>
        </w:rPr>
        <w:t xml:space="preserve">MCD Flash</w:t>
      </w:r>
      <w:r>
        <w:t xml:space="preserve">) absorbed 40% of DAI net inflow in 2023, 82% in 2024 (93% in August 2024, 244 billion USD in a single month), 54% in 2025 and 51% in January–September 2026, or 64% of all DAI net inflow from 2023 onwards. The anomalous September 2026 figure, in which DAI net inflow jumped to 342 billion USD from a typical 35–55 billion, is 85% flash-mint repayment.</w:t>
      </w:r>
    </w:p>
    <w:bookmarkEnd w:id="24"/>
    <w:bookmarkStart w:id="25" w:name="f.-concentration-additional-statistics"/>
    <w:p>
      <w:pPr>
        <w:pStyle w:val="Heading2"/>
      </w:pPr>
      <w:r>
        <w:t xml:space="preserve">F. Concentration: additional statistics</w:t>
      </w:r>
    </w:p>
    <w:p>
      <w:pPr>
        <w:pStyle w:val="FirstParagraph"/>
      </w:pPr>
      <w:r>
        <w:t xml:space="preserve">The share of USDT inflow received by the top 0.1% of recipients rose from 70% in 2020 to 88% in 2026 (G_net). For USDC the increase in concentration is, if anything, stronger in the payment-like network than in the netted one (τ = +0.79 and +0.81 for the Gini coefficient and the top-1% share under G_simple). The number of receiving addresses grew from 210,000 to 1.25 million per month for USDC and from 1.2 million to 2.1 million for USDT. Within 2020 the number of USDT receiving addresses under G_net rose from 0.43 million in January to 1.38 million in December, so the 2020 mean of 1.2 million lies between them. Over the fifteen months from July 2025 to September 2026 the USDC Nakamoto coefficient averaged 13.5 under G_simple against 37 under G_net and 5.7 under G_all, so the payment-like network is more concentrated than the netted one. USDC’s fixed-count shares peaked in 2023, when the ten, hundred and thousand largest recipients took 46%, 71% and 92% of monthly net inflow (S5 Table). For DAI the shares of the ten and hundred largest recipients rose from 50% and 78% in 2020 to 88% and 95% in 2026 (τ = +0.46 and +0.51), the issuer-side funnel shown in Fig 2C. The USDT Nakamoto coefficient under G_net was 88 in 2023, between its 2020 and 2026 values of 158 and 57. The fall from 230 to 39 under G_simple is consistent with a growing weight of a small number of exchange hot wallets in retail transfers. The composition of the very top of the USDC distribution shifted from decentralised-exchange pools and an arbitrage operator in 2022–2023 to exchanges, the issuer and a few large unlabelled holders in 2025–2026.</w:t>
      </w:r>
    </w:p>
    <w:p>
      <w:pPr>
        <w:pStyle w:val="BodyText"/>
      </w:pPr>
      <w:r>
        <w:t xml:space="preserve">Fixed-count shares at the size of the top 1%. The top 1% of recipients is a set of about 2,100 USDC addresses in 2020 and 12,500 in 2026, of 12,100 and 20,600 USDT addresses and of 740 and 260 DAI addresses, so the percentile-based shares compare sets of different size. S5 Table therefore also gives the shares of the 250, 750, 2,500, 5,000, 10,000, 12,500, 20,000 and 25,000 largest recipients of each month (query Q19 in S1 Text). For USDC none of these series has a trend: Kendall’s τ lies between −0.11 and +0.04 with</w:t>
      </w:r>
      <w:r>
        <w:t xml:space="preserve"> </w:t>
      </w:r>
      <w:r>
        <w:rPr>
          <w:iCs/>
          <w:i/>
        </w:rPr>
        <w:t xml:space="preserve">p</w:t>
      </w:r>
      <w:r>
        <w:t xml:space="preserve"> </w:t>
      </w:r>
      <w:r>
        <w:t xml:space="preserve">≥ 0.15, the 12,500 largest recipients took 98.2% of net inflow in 2020 and 97.5% in 2026, and the 2,500 largest took 92.2% and 91.7%. The layer between the 1,000th and the 12,500th largest recipient took 12.3% in 2020 and 12.4% in 2026. The number of USDC recipients grew from 210,000 to 1.25 million per month over the same period, so the 12,500 largest recipients represented 6% of all recipients in 2020 and 1% in 2026, which is why the Gini coefficient and the top-1% share rose while the fixed-count shares did not. For USDT every fixed-count series rises, with τ between +0.61 and +0.66: the 12,500 largest recipients, the size of its 2020 top 1%, took 89.4% in 2020 and 95.3% in 2026, and the 20,000 largest, the size of its 2026 top 1%, 91.8% and 96.5%. For DAI the 250 largest recipients, the size of its 2026 top 1%, took 86.2% in 2020 and 97.1% in 2026 with τ = +0.53, and the 750 largest, the size of its 2020 top 1%, 93.0% and 98.7%. This is the fixed-count expression of the issuer funnel, which the percentile-based top-1% share under G_net_xf, with τ = +0.07, does not show because the number of DAI recipients fell by two-thirds.</w:t>
      </w:r>
    </w:p>
    <w:bookmarkEnd w:id="25"/>
    <w:bookmarkStart w:id="26" w:name="g.-hub-and-spoke-statistics"/>
    <w:p>
      <w:pPr>
        <w:pStyle w:val="Heading2"/>
      </w:pPr>
      <w:r>
        <w:t xml:space="preserve">G. Hub-and-spoke statistics</w:t>
      </w:r>
    </w:p>
    <w:p>
      <w:pPr>
        <w:pStyle w:val="FirstParagraph"/>
      </w:pPr>
      <w:r>
        <w:t xml:space="preserve">The in-strength Gini and Nakamoto statistics computed on the 27 quarterly snapshots reproduce the corresponding monthly values of the BigQuery pipeline exactly, which validates the locally rebuilt graphs. The USDT network grew from 1.0 million distinct sender–recipient pairs in January 2020 to 5.1 million in July 2026, and USDC peaked at 1.56 million addresses in January 2026. The largest weakly connected component contains 97–99.6% of USDT addresses, 96.5–99.2% of USDC addresses and 94–98% of DAI addresses in every snapshot. The largest strongly connected component held 65% of USDT and 73% of USDC addresses in July 2026, and DAI’s core fell to 28–51% in the 2026 snapshots from 46–61% in 2024–2025. USDC’s reciprocity declined from about 10% in 2022 to 5% in 2026 (τ = −0.29,</w:t>
      </w:r>
      <w:r>
        <w:t xml:space="preserve"> </w:t>
      </w:r>
      <w:r>
        <w:rPr>
          <w:iCs/>
          <w:i/>
        </w:rPr>
        <w:t xml:space="preserve">p</w:t>
      </w:r>
      <w:r>
        <w:t xml:space="preserve"> </w:t>
      </w:r>
      <w:r>
        <w:t xml:space="preserve">= 0.03). USDT became less disassortative over time, from −0.25 in January 2020 to −0.14 in July 2026 (τ = +0.53,</w:t>
      </w:r>
      <w:r>
        <w:t xml:space="preserve"> </w:t>
      </w:r>
      <w:r>
        <w:rPr>
          <w:iCs/>
          <w:i/>
        </w:rPr>
        <w:t xml:space="preserve">p</w:t>
      </w:r>
      <w:r>
        <w:t xml:space="preserve"> </w:t>
      </w:r>
      <w:r>
        <w:t xml:space="preserve">&lt; 0.001), consistent with the growth of a layer of mid-degree intermediaries (aggregators, bridges, market-makers) between users and the largest hubs. The maximum</w:t>
      </w:r>
      <w:r>
        <w:t xml:space="preserve"> </w:t>
      </w:r>
      <w:r>
        <w:rPr>
          <w:iCs/>
          <w:i/>
        </w:rPr>
        <w:t xml:space="preserve">k</w:t>
      </w:r>
      <w:r>
        <w:t xml:space="preserve">-core of USDT took high values from April to October 2020 (87–139), after an initial 38 in January 2020, and then rose from 30–42 in 2022–2023 to 66–75 in 2026, so over the 27 snapshots it shows no trend (τ = +0.21,</w:t>
      </w:r>
      <w:r>
        <w:t xml:space="preserve"> </w:t>
      </w:r>
      <w:r>
        <w:rPr>
          <w:iCs/>
          <w:i/>
        </w:rPr>
        <w:t xml:space="preserve">p</w:t>
      </w:r>
      <w:r>
        <w:t xml:space="preserve"> </w:t>
      </w:r>
      <w:r>
        <w:t xml:space="preserve">= 0.13). USDC’s maximum</w:t>
      </w:r>
      <w:r>
        <w:t xml:space="preserve"> </w:t>
      </w:r>
      <w:r>
        <w:rPr>
          <w:iCs/>
          <w:i/>
        </w:rPr>
        <w:t xml:space="preserve">k</w:t>
      </w:r>
      <w:r>
        <w:t xml:space="preserve">-core rose from 9 to 79 (τ = +0.68) and DAI’s from 17 to 36 (τ = +0.39). Global clustering is negligible where it could be computed: transitivity of order 10⁻⁵ for USDT, 10⁻⁵–10⁻⁴ for USDC and 10⁻⁴–10⁻² for DAI, as expected for bipartite-like user–hub interaction. In every snapshot about 2% or fewer of receiving addresses receive from ten or more counterparties, and the largest in-degree observed is 372,021 distinct senders into a single exchange hot wallet (USDT, July 2026).</w:t>
      </w:r>
    </w:p>
    <w:bookmarkEnd w:id="26"/>
    <w:bookmarkStart w:id="27" w:name="h.-degree-distribution-model-comparison"/>
    <w:p>
      <w:pPr>
        <w:pStyle w:val="Heading2"/>
      </w:pPr>
      <w:r>
        <w:t xml:space="preserve">H. Degree-distribution model comparison</w:t>
      </w:r>
    </w:p>
    <w:p>
      <w:pPr>
        <w:pStyle w:val="FirstParagraph"/>
      </w:pPr>
      <w:r>
        <w:t xml:space="preserve">Fitting a discrete power law with the lower cut-off chosen by Kolmogorov–Smirnov minimisation yields exponents that alternate between about 2.3–3.0, when the cut-off is placed at 2–3 and the steep initial segment dominates, and 1.7–2.2, when it is placed at 5 or higher and only the tail is fitted. With the cut-off fixed at</w:t>
      </w:r>
      <w:r>
        <w:t xml:space="preserve"> </w:t>
      </w:r>
      <w:r>
        <w:rPr>
          <w:iCs/>
          <w:i/>
        </w:rPr>
        <w:t xml:space="preserve">k</w:t>
      </w:r>
      <w:r>
        <w:t xml:space="preserve"> </w:t>
      </w:r>
      <w:r>
        <w:t xml:space="preserve">= 10 the in-degree exponent is 2.09 for USDT (range 1.73–2.33 across snapshots), 1.93 for USDC (1.82–2.16) and 1.83 for DAI (1.58–2.10), with out-degree exponents of 2.16 (1.68–2.38), 2.09 (1.95–2.45) and 2.02 (1.82–2.78). Moving the cut-off to</w:t>
      </w:r>
      <w:r>
        <w:t xml:space="preserve"> </w:t>
      </w:r>
      <w:r>
        <w:rPr>
          <w:iCs/>
          <w:i/>
        </w:rPr>
        <w:t xml:space="preserve">k</w:t>
      </w:r>
      <w:r>
        <w:t xml:space="preserve"> </w:t>
      </w:r>
      <w:r>
        <w:t xml:space="preserve">≥ 5 raises the in-degree exponents by 0.35 on average, because part of the steep initial segment is included, and moving it to</w:t>
      </w:r>
      <w:r>
        <w:t xml:space="preserve"> </w:t>
      </w:r>
      <w:r>
        <w:rPr>
          <w:iCs/>
          <w:i/>
        </w:rPr>
        <w:t xml:space="preserve">k</w:t>
      </w:r>
      <w:r>
        <w:t xml:space="preserve"> </w:t>
      </w:r>
      <w:r>
        <w:t xml:space="preserve">≥ 20 lowers them by 0.11. All exponents stay between 1.6 and 2.9 and USDT’s in-degree tail remains the steepest (S3 Table,</w:t>
      </w:r>
      <w:r>
        <w:t xml:space="preserve"> </w:t>
      </w:r>
      <w:r>
        <w:rPr>
          <w:rStyle w:val="VerbatimChar"/>
        </w:rPr>
        <w:t xml:space="preserve">alpha_cutoff_sensitivity.csv</w:t>
      </w:r>
      <w:r>
        <w:t xml:space="preserve">). Exponents at or below 2 indicate tails so heavy that the sample mean is dominated by the largest observation. In every snapshot up to a few hundred addresses receive from more than a thousand counterparties.</w:t>
      </w:r>
    </w:p>
    <w:p>
      <w:pPr>
        <w:pStyle w:val="BodyText"/>
      </w:pPr>
      <w:r>
        <w:t xml:space="preserve">The model comparisons on the</w:t>
      </w:r>
      <w:r>
        <w:t xml:space="preserve"> </w:t>
      </w:r>
      <w:r>
        <w:rPr>
          <w:iCs/>
          <w:i/>
        </w:rPr>
        <w:t xml:space="preserve">k</w:t>
      </w:r>
      <w:r>
        <w:t xml:space="preserve"> </w:t>
      </w:r>
      <w:r>
        <w:t xml:space="preserve">≥ 10 tail use discrete fits with the default parameter bound of the</w:t>
      </w:r>
      <w:r>
        <w:t xml:space="preserve"> </w:t>
      </w:r>
      <w:r>
        <w:rPr>
          <w:rStyle w:val="VerbatimChar"/>
        </w:rPr>
        <w:t xml:space="preserve">powerlaw</w:t>
      </w:r>
      <w:r>
        <w:t xml:space="preserve"> </w:t>
      </w:r>
      <w:r>
        <w:t xml:space="preserve">package (α ≤ 3) lifted (</w:t>
      </w:r>
      <w:r>
        <w:rPr>
          <w:rStyle w:val="VerbatimChar"/>
        </w:rPr>
        <w:t xml:space="preserve">refit_tail_k10.py</w:t>
      </w:r>
      <w:r>
        <w:t xml:space="preserve">,</w:t>
      </w:r>
      <w:r>
        <w:t xml:space="preserve"> </w:t>
      </w:r>
      <w:r>
        <w:rPr>
          <w:rStyle w:val="VerbatimChar"/>
        </w:rPr>
        <w:t xml:space="preserve">degree_fits_k10.csv</w:t>
      </w:r>
      <w:r>
        <w:t xml:space="preserve">). A power law is preferred to an exponential in all 81 token-snapshots for both in- and out-degree. The normalised likelihood-ratio test against a log-normal is inconclusive in 71 of 81 in-degree fits and 75 of 81 out-degree fits, and in most of these cases, 55 of 71 in-degree and 61 of 75 out-degree fits and every USDT and USDC in-degree fit, the fitted log-normal degenerates into a power-law mimic (shape parameter σ &gt; 10), the known limit of such comparisons over two to three decades of tail. The log-normal is significantly better in 8 in-degree fits (6 of them DAI) and 1 out-degree fit, the power law in 2 and 5, and a truncated power law improves significantly on the pure power law in 20 in-degree and 11 out-degree fits (19 and 10 of them DAI), where the tail bends down below the largest hubs. For USDT and USDC the truncation is significant in at most one snapshot each (Table 4 of the main text).</w:t>
      </w:r>
    </w:p>
    <w:bookmarkEnd w:id="27"/>
    <w:bookmarkStart w:id="28" w:name="i.-strength-distributions"/>
    <w:p>
      <w:pPr>
        <w:pStyle w:val="Heading2"/>
      </w:pPr>
      <w:r>
        <w:t xml:space="preserve">I. Strength distributions</w:t>
      </w:r>
    </w:p>
    <w:p>
      <w:pPr>
        <w:pStyle w:val="FirstParagraph"/>
      </w:pPr>
      <w:r>
        <w:t xml:space="preserve">The complementary cumulative distribution of monthly in-strength spans ten orders of magnitude, from 1 USD to 10⁹–10¹⁰ USD, and bends gradually downward in double-logarithmic coordinates, with an approximately straight tail above the selected cut-off whose slope of about −0.6 to −0.8 corresponds to the fitted exponents. The continuous power-law fits (cut-off chosen by Kolmogorov–Smirnov minimisation between 100 USD and the 99.9th percentile) give in-strength exponents of 1.63 for USDC (range 1.57–1.73 over the 27 quarterly snapshots), 1.65 for DAI (1.48–1.79) and 1.81 for USDT (1.69–2.01), and out-strength exponents of 1.63, 1.64 and 1.82. The selected cut-offs lie between about 700 USD and 11 million USD (median 150,000 USD for USDC and 1.5 million USD for USDT), so the fitted tails comprise between several hundred and about a hundred thousand addresses per snapshot, those receiving more than roughly 10⁵–10⁶ USD a month. A power law beats an exponential in every snapshot. A log-normal is significantly better in 16 of 27 USDC, 10 of 27 DAI and 8 of 27 USDT snapshots and never significantly worse, and a truncated power law improves on the pure power law in 27, 18 and 22 snapshots respectively, so the dollar tails bend down at the very largest recipients. USDT’s in-strength exponent fell from 1.9 on average in 2020–2021 to 1.7 in 2025–2026. In a tail with exponent 1.6–1.7 the aggregate inflow is dominated by its largest members, and the mean inflow of a hub is not a stable quantity.</w:t>
      </w:r>
    </w:p>
    <w:bookmarkEnd w:id="28"/>
    <w:bookmarkStart w:id="29" w:name="Xee7a3f4d864a083a37074a53b5dc42c965726a5"/>
    <w:p>
      <w:pPr>
        <w:pStyle w:val="Heading2"/>
      </w:pPr>
      <w:r>
        <w:t xml:space="preserve">J. Preferential attachment: additional statistics</w:t>
      </w:r>
    </w:p>
    <w:p>
      <w:pPr>
        <w:pStyle w:val="FirstParagraph"/>
      </w:pPr>
      <w:r>
        <w:t xml:space="preserve">On synthetic networks grown with known β of 0.5, 1.0 and 1.5 at the size of the monthly graphs and without node turnover, the binned estimator recovered 0.50, 1.00 and 1.50 and the cumulative-function estimator of Jeong, Néda and Barabási, in which</w:t>
      </w:r>
      <w:r>
        <w:t xml:space="preserve"> </w:t>
      </w:r>
      <m:oMath>
        <m:r>
          <m:t>κ</m:t>
        </m:r>
        <m:d>
          <m:dPr>
            <m:begChr m:val="("/>
            <m:endChr m:val=")"/>
            <m:sepChr m:val=""/>
            <m:grow/>
          </m:dPr>
          <m:e>
            <m:r>
              <m:t>k</m:t>
            </m:r>
          </m:e>
        </m:d>
        <m:r>
          <m:rPr>
            <m:sty m:val="p"/>
          </m:rPr>
          <m:t>=</m:t>
        </m:r>
        <m:nary>
          <m:naryPr>
            <m:chr m:val="∑"/>
            <m:limLoc m:val="undOvr"/>
            <m:subHide m:val="off"/>
            <m:supHide m:val="on"/>
          </m:naryPr>
          <m:sub>
            <m:r>
              <m:t>k</m:t>
            </m:r>
            <m:r>
              <m:rPr>
                <m:sty m:val="p"/>
              </m:rPr>
              <m:t>′</m:t>
            </m:r>
            <m:r>
              <m:rPr>
                <m:sty m:val="p"/>
              </m:rPr>
              <m:t>≤</m:t>
            </m:r>
            <m:r>
              <m:t>k</m:t>
            </m:r>
          </m:sub>
          <m:sup>
            <m:r>
              <m:t>​</m:t>
            </m:r>
          </m:sup>
          <m:e>
            <m:r>
              <m:t>Π</m:t>
            </m:r>
          </m:e>
        </m:nary>
        <m:d>
          <m:dPr>
            <m:begChr m:val="("/>
            <m:endChr m:val=")"/>
            <m:sepChr m:val=""/>
            <m:grow/>
          </m:dPr>
          <m:e>
            <m:r>
              <m:t>k</m:t>
            </m:r>
            <m:r>
              <m:rPr>
                <m:sty m:val="p"/>
              </m:rPr>
              <m:t>′</m:t>
            </m:r>
          </m:e>
        </m:d>
      </m:oMath>
      <w:r>
        <w:t xml:space="preserve"> </w:t>
      </w:r>
      <w:r>
        <w:t xml:space="preserve">is regressed on</w:t>
      </w:r>
      <w:r>
        <w:t xml:space="preserve"> </w:t>
      </w:r>
      <w:r>
        <w:rPr>
          <w:iCs/>
          <w:i/>
        </w:rPr>
        <w:t xml:space="preserve">k</w:t>
      </w:r>
      <w:r>
        <w:t xml:space="preserve"> </w:t>
      </w:r>
      <w:r>
        <w:t xml:space="preserve">and β is the slope minus one, recovered 0.45, 0.92 and 1.39, which is why the binned estimator is used throughout and the cumulative-function estimate β_cum is reported only as a reference in Table 5 of the main text (script in S1 Text). The attachment kernel is well described by a power law over three to four decades of</w:t>
      </w:r>
      <w:r>
        <w:t xml:space="preserve"> </w:t>
      </w:r>
      <w:r>
        <w:rPr>
          <w:iCs/>
          <w:i/>
        </w:rPr>
        <w:t xml:space="preserve">k</w:t>
      </w:r>
      <w:r>
        <w:t xml:space="preserve">: the coefficient of determination of the binned fit lies between 0.89 and 1.00 (median 0.99) over the 78 estimates. The one estimate whose 95% lower confidence bound does not exceed 1 is DAI’s out-degree in January 2023, with β = 1.05 and a standard error of 0.12. Five of the six unconditional exponent series show no trend over the 13 month pairs, with |τ| at most 0.33. The exception is USDC’s out-degree exponent, which declined from 1.78 in the January 2020 pair to 1.21–1.24 in the last two pairs, with τ = −0.56 and</w:t>
      </w:r>
      <w:r>
        <w:t xml:space="preserve"> </w:t>
      </w:r>
      <w:r>
        <w:rPr>
          <w:iCs/>
          <w:i/>
        </w:rPr>
        <w:t xml:space="preserve">p</w:t>
      </w:r>
      <w:r>
        <w:t xml:space="preserve"> </w:t>
      </w:r>
      <w:r>
        <w:t xml:space="preserve">= 0.01, while staying above 1 throughout. The mean unconditional exponent is 1.35 in 2021, 2024 and 2025 against 1.37 in 2022 and 2023, so there is no difference between bull and bear years. The median absolute difference between the January and July estimates of the same year is 0.09, with a largest difference of 0.60. Between 30% and 64% of the edges new in a month attach to an address that had already received, for the in-degree test, or sent, for the out-degree test, in the previous month. The remainder attach to addresses that are new to that role (Table 5 of the main text). For the unconditional estimates, two-sided Mann–Whitney tests on the 11 month pairs per token of 2021–2026 give</w:t>
      </w:r>
      <w:r>
        <w:t xml:space="preserve"> </w:t>
      </w:r>
      <w:r>
        <w:rPr>
          <w:iCs/>
          <w:i/>
        </w:rPr>
        <w:t xml:space="preserve">p</w:t>
      </w:r>
      <w:r>
        <w:t xml:space="preserve"> </w:t>
      </w:r>
      <w:r>
        <w:t xml:space="preserve">&lt; 0.001 for DAI against USDT and against USDC for in-degree and</w:t>
      </w:r>
      <w:r>
        <w:t xml:space="preserve"> </w:t>
      </w:r>
      <w:r>
        <w:rPr>
          <w:iCs/>
          <w:i/>
        </w:rPr>
        <w:t xml:space="preserve">p</w:t>
      </w:r>
      <w:r>
        <w:t xml:space="preserve"> </w:t>
      </w:r>
      <w:r>
        <w:t xml:space="preserve">= 0.002 and</w:t>
      </w:r>
      <w:r>
        <w:t xml:space="preserve"> </w:t>
      </w:r>
      <w:r>
        <w:rPr>
          <w:iCs/>
          <w:i/>
        </w:rPr>
        <w:t xml:space="preserve">p</w:t>
      </w:r>
      <w:r>
        <w:t xml:space="preserve"> </w:t>
      </w:r>
      <w:r>
        <w:t xml:space="preserve">= 0.01 for out-degree, whereas USDC and USDT do not differ, with</w:t>
      </w:r>
      <w:r>
        <w:t xml:space="preserve"> </w:t>
      </w:r>
      <w:r>
        <w:rPr>
          <w:iCs/>
          <w:i/>
        </w:rPr>
        <w:t xml:space="preserve">p</w:t>
      </w:r>
      <w:r>
        <w:t xml:space="preserve"> </w:t>
      </w:r>
      <w:r>
        <w:t xml:space="preserve">= 0.19 and</w:t>
      </w:r>
      <w:r>
        <w:t xml:space="preserve"> </w:t>
      </w:r>
      <w:r>
        <w:rPr>
          <w:iCs/>
          <w:i/>
        </w:rPr>
        <w:t xml:space="preserve">p</w:t>
      </w:r>
      <w:r>
        <w:t xml:space="preserve"> </w:t>
      </w:r>
      <w:r>
        <w:t xml:space="preserve">= 0.09. Estimates from the same month pair are not independent, so these tests are indicative. For the survival-conditioned estimates the two-sided Mann–Whitney tests between tokens, over 11 month pairs per token in 2021–2026, give</w:t>
      </w:r>
      <w:r>
        <w:t xml:space="preserve"> </w:t>
      </w:r>
      <w:r>
        <w:rPr>
          <w:iCs/>
          <w:i/>
        </w:rPr>
        <w:t xml:space="preserve">p</w:t>
      </w:r>
      <w:r>
        <w:t xml:space="preserve"> </w:t>
      </w:r>
      <w:r>
        <w:t xml:space="preserve">= 0.29 for DAI against USDT, 0.26 for DAI against USDC and 0.95 for USDC against USDT for in-degree, and 0.08, 0.06 and 0.79 for out-degree. The survival-conditioned in-degree means of 1.13–1.18 imply that, among the addresses that stayed in the network, a recipient with ten times as many senders attracted about 13–15 times as many new ones, and the out-degree lower confidence bound exceeds 1 in 20 of the 33 estimates for 2021–2026. The comparison with the approximately linear attachment reported for the Bitcoin transaction network [4] is indicative only, because the two estimates differ in time horizon and degree definition.</w:t>
      </w:r>
    </w:p>
    <w:bookmarkEnd w:id="29"/>
    <w:bookmarkStart w:id="30" w:name="k.-event-analysis"/>
    <w:p>
      <w:pPr>
        <w:pStyle w:val="Heading2"/>
      </w:pPr>
      <w:r>
        <w:t xml:space="preserve">K. Event analysis</w:t>
      </w:r>
    </w:p>
    <w:p>
      <w:pPr>
        <w:pStyle w:val="FirstParagraph"/>
      </w:pPr>
      <w:r>
        <w:t xml:space="preserve">S6 Table gives, for each event, token and statistic, the event-month value relative to the three preceding months and the percentile of the change in the placebo distribution of all non-event months (n = 74). The levels and ratios in the table use the arithmetic mean of the three preceding months, whereas the change that is ranked against the placebo distribution is the log ratio of the event month to the geometric mean of those months for the Nakamoto coefficient, volume and recipients and the difference in percentage points for the top-1% share, so that a doubling and a halving are changes of equal size. Placebo months whose baseline contains an event month are retained, so the reported signatures are conservative. Additional details follow. In May 2022 USDC concentrated only modestly, with</w:t>
      </w:r>
      <w:r>
        <w:t xml:space="preserve"> </w:t>
      </w:r>
      <w:r>
        <w:rPr>
          <w:iCs/>
          <w:i/>
        </w:rPr>
        <w:t xml:space="preserve">N</w:t>
      </w:r>
      <w:r>
        <w:rPr>
          <w:vertAlign w:val="subscript"/>
        </w:rPr>
        <w:t xml:space="preserve">50</w:t>
      </w:r>
      <w:r>
        <w:t xml:space="preserve"> </w:t>
      </w:r>
      <w:r>
        <w:t xml:space="preserve">falling from 32 to 23, the 19th percentile, and in November 2022 not at all, when its volume doubled while concentration was unchanged. The labelled exchange share of USDT net inflow rose from 14.5% in the three preceding months to 15.9% in May 2022 and from 12.8% to 16.0% in November 2022. Placing these changes in the same placebo construction applied to the monthly share series gives the 80th and the 96th percentile, so only the November 2022 rise is notable by the paper’s rule. USDT net inflow rose 1.8-fold in March 2023, the 99th percentile, with its Nakamoto coefficient and top-1% share unchanged. In March 2023 DAI’s Nakamoto coefficient was unchanged and its top-1% share rose by 1.8 points, the 80th percentile, while its net inflow rose 3.4-fold. In October 2025 USDC gross value was 1.58 trillion USD against 626 billion net, the gross-value signal of flash-loan arbitrage during the crash. The USDC dispersion of March 2023 is consistent with holders moving balances out of a few large venues into many. The number of receiving addresses rose in every event for every token, by 11–29%, the one response common to all episodes. These increases lie between the 70th and the 95th percentile of the placebo distribution, and only the USDT rise of November 2022, at the 95th percentile, reaches the threshold for a notable change, so the others are within the ordinary range of month-to-month variation.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2026-10-10T14:05:01Z</dcterms:created>
  <dcterms:modified xsi:type="dcterms:W3CDTF">2026-10-10T14:05:01Z</dcterms:modified>
</cp:coreProperties>
</file>

<file path=docProps/custom.xml><?xml version="1.0" encoding="utf-8"?>
<Properties xmlns="http://schemas.openxmlformats.org/officeDocument/2006/custom-properties" xmlns:vt="http://schemas.openxmlformats.org/officeDocument/2006/docPropsVTypes"/>
</file>