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Arial Unicode MS" w:hAnsi="Arial Unicode MS" w:eastAsia="Arial Unicode MS" w:cs="Arial Unicode MS"/>
          <w:b/>
          <w:color w:val="000000"/>
          <w:sz w:val="50"/>
        </w:rPr>
        <w:t>EC101 数据底座建设方案 V1</w:t>
      </w:r>
    </w:p>
    <w:p>
      <w:pPr>
        <w:spacing w:before="160" w:after="440" w:line="324" w:lineRule="auto"/>
        <w:jc w:val="center"/>
      </w:pPr>
      <w:r>
        <w:rPr>
          <w:rFonts w:ascii="Arial Unicode MS" w:hAnsi="Arial Unicode MS" w:eastAsia="Arial Unicode MS" w:cs="Arial Unicode MS"/>
          <w:b w:val="0"/>
          <w:color w:val="595959"/>
          <w:sz w:val="26"/>
        </w:rPr>
        <w:t>面向促销活动费用闭环的统一数据底座与实施路线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800"/>
            <w:shd w:fill="17365D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0"/>
              </w:rPr>
              <w:t>文档属性</w:t>
            </w:r>
          </w:p>
        </w:tc>
        <w:tc>
          <w:tcPr>
            <w:tcW w:type="dxa" w:w="8136"/>
            <w:shd w:fill="17365D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0"/>
              </w:rPr>
              <w:t>内容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0"/>
              </w:rPr>
              <w:t>文档定位</w:t>
            </w:r>
          </w:p>
        </w:tc>
        <w:tc>
          <w:tcPr>
            <w:tcW w:type="dxa" w:w="813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0"/>
              </w:rPr>
              <w:t>项目建设主方案，统一业务、项目、数据与技术团队的建设路径</w:t>
            </w:r>
          </w:p>
        </w:tc>
      </w:tr>
      <w:tr>
        <w:trPr>
          <w:cantSplit/>
        </w:trPr>
        <w:tc>
          <w:tcPr>
            <w:tcW w:type="dxa" w:w="1800"/>
            <w:shd w:fill="F3F7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0"/>
              </w:rPr>
              <w:t>版本</w:t>
            </w:r>
          </w:p>
        </w:tc>
        <w:tc>
          <w:tcPr>
            <w:tcW w:type="dxa" w:w="8136"/>
            <w:shd w:fill="F3F7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0"/>
              </w:rPr>
              <w:t>V1.0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0"/>
              </w:rPr>
              <w:t>适用范围</w:t>
            </w:r>
          </w:p>
        </w:tc>
        <w:tc>
          <w:tcPr>
            <w:tcW w:type="dxa" w:w="813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0"/>
              </w:rPr>
              <w:t>EC101 促销活动数据接入、费用核销与后续业代考核数据基础</w:t>
            </w:r>
          </w:p>
        </w:tc>
      </w:tr>
      <w:tr>
        <w:trPr>
          <w:cantSplit/>
        </w:trPr>
        <w:tc>
          <w:tcPr>
            <w:tcW w:type="dxa" w:w="1800"/>
            <w:shd w:fill="F3F7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0"/>
              </w:rPr>
              <w:t>编制依据</w:t>
            </w:r>
          </w:p>
        </w:tc>
        <w:tc>
          <w:tcPr>
            <w:tcW w:type="dxa" w:w="8136"/>
            <w:shd w:fill="F3F7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0"/>
              </w:rPr>
              <w:t>已完成的平台数据验证成果、EC101 标准字段字典 V1、业务反馈信息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0"/>
              </w:rPr>
              <w:t>建议读者</w:t>
            </w:r>
          </w:p>
        </w:tc>
        <w:tc>
          <w:tcPr>
            <w:tcW w:type="dxa" w:w="813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0"/>
              </w:rPr>
              <w:t>项目负责人、业务负责人、数据与技术团队、经销商平台对接人</w:t>
            </w:r>
          </w:p>
        </w:tc>
      </w:tr>
    </w:tbl>
    <w:p>
      <w:pPr>
        <w:spacing w:after="40"/>
      </w:pPr>
    </w:p>
    <w:p>
      <w:pPr>
        <w:spacing w:before="0" w:after="120" w:line="324" w:lineRule="auto"/>
      </w:pPr>
      <w:r>
        <w:rPr>
          <w:rFonts w:ascii="Arial Unicode MS" w:hAnsi="Arial Unicode MS" w:eastAsia="Arial Unicode MS" w:cs="Arial Unicode MS"/>
          <w:b/>
          <w:color w:val="000000"/>
          <w:sz w:val="21"/>
        </w:rPr>
        <w:t>本方案的核心决策：</w:t>
      </w: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先以“已验证支持”的经销商平台作为 MVP，建立原始数据可追溯、标准字段可复用、订单级费用可核验的数据底座；不在 V1 阶段直接建设全量 BI、实时接口或复杂前端产品。</w:t>
      </w:r>
    </w:p>
    <w:p>
      <w:r>
        <w:br w:type="page"/>
      </w:r>
    </w:p>
    <w:p>
      <w:pPr>
        <w:pStyle w:val="Heading1"/>
        <w:spacing w:before="280" w:after="100"/>
      </w:pPr>
      <w:r>
        <w:rPr>
          <w:rFonts w:ascii="Arial Unicode MS" w:hAnsi="Arial Unicode MS" w:eastAsia="Arial Unicode MS" w:cs="Arial Unicode MS"/>
          <w:b/>
          <w:color w:val="000000"/>
          <w:sz w:val="30"/>
        </w:rPr>
        <w:t>1 建设背景与当前判断</w:t>
      </w:r>
    </w:p>
    <w:p>
      <w:pPr>
        <w:spacing w:before="0" w:after="120" w:line="32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EC101 已完成多家经销商平台的促销活动数据验证，并形成“支持、条件支持、暂不支持、未验证”的能力结论。快马 顺英等案例已验证，订单、销售、活动明细及活动规则在部分场景可形成订单级核验闭环。项目的重心因此从“平台数据能否使用”转向“已验证可用的数据如何长期、统一、可审计地沉淀”。</w:t>
      </w:r>
    </w:p>
    <w:p>
      <w:pPr>
        <w:spacing w:before="0" w:after="120" w:line="32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这不是单纯把多份 Excel 导入数据库。目标是让每一笔促销费用都能够回溯到客户、订单、商品、活动规则、履约状态以及原始平台数据，并在后续扩展到经销商经营分析、客户分析和业代考核。</w:t>
      </w:r>
    </w:p>
    <w:p>
      <w:pPr>
        <w:pStyle w:val="Heading2"/>
        <w:spacing w:before="160" w:after="100"/>
      </w:pPr>
      <w:r>
        <w:rPr>
          <w:rFonts w:ascii="Arial Unicode MS" w:hAnsi="Arial Unicode MS" w:eastAsia="Arial Unicode MS" w:cs="Arial Unicode MS"/>
          <w:b/>
          <w:color w:val="000000"/>
          <w:sz w:val="24"/>
        </w:rPr>
        <w:t>当前需要解决的四类问题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00"/>
            <w:shd w:fill="17365D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4104"/>
            <w:shd w:fill="17365D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现状</w:t>
            </w:r>
          </w:p>
        </w:tc>
        <w:tc>
          <w:tcPr>
            <w:tcW w:type="dxa" w:w="4032"/>
            <w:shd w:fill="17365D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建设后应达到的状态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数据语言不统一</w:t>
            </w:r>
          </w:p>
        </w:tc>
        <w:tc>
          <w:tcPr>
            <w:tcW w:type="dxa" w:w="410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不同平台的字段、编码、订单状态和活动表达方式不同。</w:t>
            </w:r>
          </w:p>
        </w:tc>
        <w:tc>
          <w:tcPr>
            <w:tcW w:type="dxa" w:w="403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通过 EC101 标准字段与映射规则形成统一业务语言。</w:t>
            </w:r>
          </w:p>
        </w:tc>
      </w:tr>
      <w:tr>
        <w:trPr>
          <w:cantSplit/>
        </w:trPr>
        <w:tc>
          <w:tcPr>
            <w:tcW w:type="dxa" w:w="1800"/>
            <w:shd w:fill="F3F7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业务关系未闭环</w:t>
            </w:r>
          </w:p>
        </w:tc>
        <w:tc>
          <w:tcPr>
            <w:tcW w:type="dxa" w:w="4104"/>
            <w:shd w:fill="F3F7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客户、订单、活动、履约、费用多以独立文件存在。</w:t>
            </w:r>
          </w:p>
        </w:tc>
        <w:tc>
          <w:tcPr>
            <w:tcW w:type="dxa" w:w="4032"/>
            <w:shd w:fill="F3F7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以订单活动关系为中心，建立可追溯的业务事实链。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费用难以核对</w:t>
            </w:r>
          </w:p>
        </w:tc>
        <w:tc>
          <w:tcPr>
            <w:tcW w:type="dxa" w:w="410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活动优惠存在，但费用责任、应发依据和差异定位分散。</w:t>
            </w:r>
          </w:p>
        </w:tc>
        <w:tc>
          <w:tcPr>
            <w:tcW w:type="dxa" w:w="403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按活动和订单计算理论应付，识别实际差异并定位异常订单。</w:t>
            </w:r>
          </w:p>
        </w:tc>
      </w:tr>
      <w:tr>
        <w:trPr>
          <w:cantSplit/>
        </w:trPr>
        <w:tc>
          <w:tcPr>
            <w:tcW w:type="dxa" w:w="1800"/>
            <w:shd w:fill="F3F7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重复建设风险</w:t>
            </w:r>
          </w:p>
        </w:tc>
        <w:tc>
          <w:tcPr>
            <w:tcW w:type="dxa" w:w="4104"/>
            <w:shd w:fill="F3F7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为活动费用临时取数，后续客户或业代指标可能另起一套口径。</w:t>
            </w:r>
          </w:p>
        </w:tc>
        <w:tc>
          <w:tcPr>
            <w:tcW w:type="dxa" w:w="4032"/>
            <w:shd w:fill="F3F7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同一数据底座持续服务活动、客户和业代等应用。</w:t>
            </w:r>
          </w:p>
        </w:tc>
      </w:tr>
    </w:tbl>
    <w:p>
      <w:pPr>
        <w:spacing w:after="40"/>
      </w:pPr>
    </w:p>
    <w:p>
      <w:pPr>
        <w:pStyle w:val="Heading1"/>
        <w:spacing w:before="280" w:after="100"/>
      </w:pPr>
      <w:r>
        <w:rPr>
          <w:rFonts w:ascii="Arial Unicode MS" w:hAnsi="Arial Unicode MS" w:eastAsia="Arial Unicode MS" w:cs="Arial Unicode MS"/>
          <w:b/>
          <w:color w:val="000000"/>
          <w:sz w:val="30"/>
        </w:rPr>
        <w:t>2 项目目标与范围</w:t>
      </w:r>
    </w:p>
    <w:p>
      <w:pPr>
        <w:pStyle w:val="Heading2"/>
        <w:spacing w:before="160" w:after="100"/>
      </w:pPr>
      <w:r>
        <w:rPr>
          <w:rFonts w:ascii="Arial Unicode MS" w:hAnsi="Arial Unicode MS" w:eastAsia="Arial Unicode MS" w:cs="Arial Unicode MS"/>
          <w:b/>
          <w:color w:val="000000"/>
          <w:sz w:val="24"/>
        </w:rPr>
        <w:t>2.1 V1 项目目标</w:t>
      </w:r>
    </w:p>
    <w:p>
      <w:pPr>
        <w:pStyle w:val="ListBullet"/>
        <w:spacing w:before="0" w:after="60" w:line="32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建立可承接已验证平台数据的 EC101 统一数据底座，并保留平台原始证据。</w:t>
      </w:r>
    </w:p>
    <w:p>
      <w:pPr>
        <w:pStyle w:val="ListBullet"/>
        <w:spacing w:before="0" w:after="60" w:line="32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支持活动规则、订单命中、发放条件、理论权益、费用计算与差异核对的订单级追溯。</w:t>
      </w:r>
    </w:p>
    <w:p>
      <w:pPr>
        <w:pStyle w:val="ListBullet"/>
        <w:spacing w:before="0" w:after="60" w:line="32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使新接入的平台以“增加映射与适配规则”为主，而非反复修改核心业务模型。</w:t>
      </w:r>
    </w:p>
    <w:p>
      <w:pPr>
        <w:pStyle w:val="ListBullet"/>
        <w:spacing w:before="0" w:after="60" w:line="32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为后续业代考核、客户经营和活动分析提供可复用的事实数据基础。</w:t>
      </w:r>
    </w:p>
    <w:p>
      <w:pPr>
        <w:pStyle w:val="Heading2"/>
        <w:spacing w:before="160" w:after="100"/>
      </w:pPr>
      <w:r>
        <w:rPr>
          <w:rFonts w:ascii="Arial Unicode MS" w:hAnsi="Arial Unicode MS" w:eastAsia="Arial Unicode MS" w:cs="Arial Unicode MS"/>
          <w:b/>
          <w:color w:val="000000"/>
          <w:sz w:val="24"/>
        </w:rPr>
        <w:t>2.2 V1 明确不做</w:t>
      </w:r>
    </w:p>
    <w:p>
      <w:pPr>
        <w:pStyle w:val="ListBullet"/>
        <w:spacing w:before="0" w:after="60" w:line="32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不建设全量经营 BI、所有业代指标或所有平台的实时接口。</w:t>
      </w:r>
    </w:p>
    <w:p>
      <w:pPr>
        <w:pStyle w:val="ListBullet"/>
        <w:spacing w:before="0" w:after="60" w:line="32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不在 V1 阶段实现全自动费用结算、完整审批流或复杂权限体系。</w:t>
      </w:r>
    </w:p>
    <w:p>
      <w:pPr>
        <w:pStyle w:val="ListBullet"/>
        <w:spacing w:before="0" w:after="60" w:line="32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不把所有平台的历史数据一次性迁移入库；先完成一家具备支持结论的平台 MVP。</w:t>
      </w:r>
    </w:p>
    <w:p>
      <w:pPr>
        <w:pStyle w:val="ListBullet"/>
        <w:spacing w:before="0" w:after="60" w:line="32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不以尚未验证的字段或业务规则作为核心结论依据。</w:t>
      </w:r>
    </w:p>
    <w:p>
      <w:pPr>
        <w:pStyle w:val="Heading1"/>
        <w:spacing w:before="280" w:after="100"/>
      </w:pPr>
      <w:r>
        <w:rPr>
          <w:rFonts w:ascii="Arial Unicode MS" w:hAnsi="Arial Unicode MS" w:eastAsia="Arial Unicode MS" w:cs="Arial Unicode MS"/>
          <w:b/>
          <w:color w:val="000000"/>
          <w:sz w:val="30"/>
        </w:rPr>
        <w:t>3 目标产品与用户价值</w:t>
      </w:r>
    </w:p>
    <w:p>
      <w:pPr>
        <w:spacing w:before="0" w:after="120" w:line="32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EC101 数据底座不是单独的数据库工程，而是“数据接入与标准化、统一业务事实、核验与应用结果”组成的长期能力。未来可以以费用核销工作台、数据质量工作台和业代考核应用等方式呈现给不同角色。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477"/>
            <w:shd w:fill="17365D"/>
            <w:tcBorders>
              <w:top w:val="single" w:sz="8" w:space="0" w:color="B7C9DC"/>
              <w:left w:val="single" w:sz="8" w:space="0" w:color="B7C9DC"/>
              <w:bottom w:val="single" w:sz="8" w:space="0" w:color="B7C9DC"/>
              <w:right w:val="single" w:sz="8" w:space="0" w:color="B7C9DC"/>
            </w:tcBorders>
            <w:tcMar>
              <w:top w:w="160" w:type="dxa"/>
              <w:start w:w="120" w:type="dxa"/>
              <w:bottom w:w="16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0"/>
              </w:rPr>
              <w:t>第三方平台数据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FFFFFF"/>
                <w:sz w:val="17"/>
              </w:rPr>
              <w:t>快马 舟谱 其他平台</w:t>
            </w:r>
          </w:p>
        </w:tc>
        <w:tc>
          <w:tcPr>
            <w:tcW w:type="dxa" w:w="2477"/>
            <w:shd w:fill="D9EAF7"/>
            <w:tcBorders>
              <w:top w:val="single" w:sz="8" w:space="0" w:color="B7C9DC"/>
              <w:left w:val="single" w:sz="8" w:space="0" w:color="B7C9DC"/>
              <w:bottom w:val="single" w:sz="8" w:space="0" w:color="B7C9DC"/>
              <w:right w:val="single" w:sz="8" w:space="0" w:color="B7C9DC"/>
            </w:tcBorders>
            <w:tcMar>
              <w:top w:w="160" w:type="dxa"/>
              <w:start w:w="120" w:type="dxa"/>
              <w:bottom w:w="16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20"/>
              </w:rPr>
              <w:t>数据接入与标准化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7"/>
              </w:rPr>
              <w:t>原始留存 字段映射 质量校验</w:t>
            </w:r>
          </w:p>
        </w:tc>
        <w:tc>
          <w:tcPr>
            <w:tcW w:type="dxa" w:w="2477"/>
            <w:shd w:fill="17365D"/>
            <w:tcBorders>
              <w:top w:val="single" w:sz="8" w:space="0" w:color="B7C9DC"/>
              <w:left w:val="single" w:sz="8" w:space="0" w:color="B7C9DC"/>
              <w:bottom w:val="single" w:sz="8" w:space="0" w:color="B7C9DC"/>
              <w:right w:val="single" w:sz="8" w:space="0" w:color="B7C9DC"/>
            </w:tcBorders>
            <w:tcMar>
              <w:top w:w="160" w:type="dxa"/>
              <w:start w:w="120" w:type="dxa"/>
              <w:bottom w:w="16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0"/>
              </w:rPr>
              <w:t>EC101 统一数据底座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FFFFFF"/>
                <w:sz w:val="17"/>
              </w:rPr>
              <w:t>客户 商品 订单 活动 履约 费用</w:t>
            </w:r>
          </w:p>
        </w:tc>
        <w:tc>
          <w:tcPr>
            <w:tcW w:type="dxa" w:w="2477"/>
            <w:shd w:fill="D9EAF7"/>
            <w:tcBorders>
              <w:top w:val="single" w:sz="8" w:space="0" w:color="B7C9DC"/>
              <w:left w:val="single" w:sz="8" w:space="0" w:color="B7C9DC"/>
              <w:bottom w:val="single" w:sz="8" w:space="0" w:color="B7C9DC"/>
              <w:right w:val="single" w:sz="8" w:space="0" w:color="B7C9DC"/>
            </w:tcBorders>
            <w:tcMar>
              <w:top w:w="160" w:type="dxa"/>
              <w:start w:w="120" w:type="dxa"/>
              <w:bottom w:w="16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20"/>
              </w:rPr>
              <w:t>业务应用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7"/>
              </w:rPr>
              <w:t>费用核销 数据质量 业代考核</w:t>
            </w:r>
          </w:p>
        </w:tc>
      </w:tr>
    </w:tbl>
    <w:p>
      <w:pPr>
        <w:spacing w:before="80" w:after="140" w:line="324" w:lineRule="auto"/>
        <w:jc w:val="center"/>
      </w:pPr>
      <w:r>
        <w:rPr>
          <w:rFonts w:ascii="Arial Unicode MS" w:hAnsi="Arial Unicode MS" w:eastAsia="Arial Unicode MS" w:cs="Arial Unicode MS"/>
          <w:b w:val="0"/>
          <w:color w:val="595959"/>
          <w:sz w:val="19"/>
        </w:rPr>
        <w:t>验证 Skill 是数据准入机制；数据底座是验证通过后的长期业务事实与结果基础。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00"/>
            <w:shd w:fill="17365D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使用角色</w:t>
            </w:r>
          </w:p>
        </w:tc>
        <w:tc>
          <w:tcPr>
            <w:tcW w:type="dxa" w:w="4032"/>
            <w:shd w:fill="17365D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他们需要完成的事情</w:t>
            </w:r>
          </w:p>
        </w:tc>
        <w:tc>
          <w:tcPr>
            <w:tcW w:type="dxa" w:w="4104"/>
            <w:shd w:fill="17365D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数据底座提供的能力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业务与市场</w:t>
            </w:r>
          </w:p>
        </w:tc>
        <w:tc>
          <w:tcPr>
            <w:tcW w:type="dxa" w:w="403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确认活动是否应发、应发多少、差异在哪些订单。</w:t>
            </w:r>
          </w:p>
        </w:tc>
        <w:tc>
          <w:tcPr>
            <w:tcW w:type="dxa" w:w="410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活动级和订单级费用明细、例外清单、可追溯证据。</w:t>
            </w:r>
          </w:p>
        </w:tc>
      </w:tr>
      <w:tr>
        <w:trPr>
          <w:cantSplit/>
        </w:trPr>
        <w:tc>
          <w:tcPr>
            <w:tcW w:type="dxa" w:w="1800"/>
            <w:shd w:fill="F3F7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数据与技术</w:t>
            </w:r>
          </w:p>
        </w:tc>
        <w:tc>
          <w:tcPr>
            <w:tcW w:type="dxa" w:w="4032"/>
            <w:shd w:fill="F3F7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接入新平台并持续维护数据。</w:t>
            </w:r>
          </w:p>
        </w:tc>
        <w:tc>
          <w:tcPr>
            <w:tcW w:type="dxa" w:w="4104"/>
            <w:shd w:fill="F3F7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原始数据留存、字段映射、质量规则、统一核心模型。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项目管理</w:t>
            </w:r>
          </w:p>
        </w:tc>
        <w:tc>
          <w:tcPr>
            <w:tcW w:type="dxa" w:w="403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判断平台是否能进入正式应用。</w:t>
            </w:r>
          </w:p>
        </w:tc>
        <w:tc>
          <w:tcPr>
            <w:tcW w:type="dxa" w:w="410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平台准入结果、Gap 清单、阶段验收证据。</w:t>
            </w:r>
          </w:p>
        </w:tc>
      </w:tr>
      <w:tr>
        <w:trPr>
          <w:cantSplit/>
        </w:trPr>
        <w:tc>
          <w:tcPr>
            <w:tcW w:type="dxa" w:w="1800"/>
            <w:shd w:fill="F3F7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未来业代管理</w:t>
            </w:r>
          </w:p>
        </w:tc>
        <w:tc>
          <w:tcPr>
            <w:tcW w:type="dxa" w:w="4032"/>
            <w:shd w:fill="F3F7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基于真实交易事实形成指标。</w:t>
            </w:r>
          </w:p>
        </w:tc>
        <w:tc>
          <w:tcPr>
            <w:tcW w:type="dxa" w:w="4104"/>
            <w:shd w:fill="F3F7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标准客户、商品、订单和活动事实数据。</w:t>
            </w:r>
          </w:p>
        </w:tc>
      </w:tr>
    </w:tbl>
    <w:p>
      <w:pPr>
        <w:spacing w:after="40"/>
      </w:pPr>
    </w:p>
    <w:p>
      <w:pPr>
        <w:pStyle w:val="Heading1"/>
        <w:spacing w:before="280" w:after="100"/>
      </w:pPr>
      <w:r>
        <w:rPr>
          <w:rFonts w:ascii="Arial Unicode MS" w:hAnsi="Arial Unicode MS" w:eastAsia="Arial Unicode MS" w:cs="Arial Unicode MS"/>
          <w:b/>
          <w:color w:val="000000"/>
          <w:sz w:val="30"/>
        </w:rPr>
        <w:t>4 总体架构与数据分层</w:t>
      </w:r>
    </w:p>
    <w:p>
      <w:pPr>
        <w:spacing w:before="0" w:after="120" w:line="32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V1 采用四层结构。每层承担一个单一职责：原始层保证证据不丢失，标准层解决多平台语言差异，核心层表达稳定的业务对象与关系，结果层保存可复算的活动资格和费用结论。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872"/>
            <w:shd w:fill="17365D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3096"/>
            <w:shd w:fill="17365D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主要内容</w:t>
            </w:r>
          </w:p>
        </w:tc>
        <w:tc>
          <w:tcPr>
            <w:tcW w:type="dxa" w:w="3312"/>
            <w:shd w:fill="17365D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核心原则</w:t>
            </w:r>
          </w:p>
        </w:tc>
        <w:tc>
          <w:tcPr>
            <w:tcW w:type="dxa" w:w="2304"/>
            <w:shd w:fill="17365D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示例输出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7"/>
              </w:rPr>
              <w:t>RAW 原始数据层</w:t>
            </w:r>
          </w:p>
        </w:tc>
        <w:tc>
          <w:tcPr>
            <w:tcW w:type="dxa" w:w="309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7"/>
              </w:rPr>
              <w:t>平台原始文件、接口响应、导入批次、字段原貌与文件版本。</w:t>
            </w:r>
          </w:p>
        </w:tc>
        <w:tc>
          <w:tcPr>
            <w:tcW w:type="dxa" w:w="331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7"/>
              </w:rPr>
              <w:t>平台给什么就保留什么，不用标准字段覆盖原始证据。</w:t>
            </w:r>
          </w:p>
        </w:tc>
        <w:tc>
          <w:tcPr>
            <w:tcW w:type="dxa" w:w="230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7"/>
              </w:rPr>
              <w:t>原始订单文件、活动明细、导入日志。</w:t>
            </w:r>
          </w:p>
        </w:tc>
      </w:tr>
      <w:tr>
        <w:trPr>
          <w:cantSplit/>
        </w:trPr>
        <w:tc>
          <w:tcPr>
            <w:tcW w:type="dxa" w:w="1872"/>
            <w:shd w:fill="F3F7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7"/>
              </w:rPr>
              <w:t>STANDARD 标准数据层</w:t>
            </w:r>
          </w:p>
        </w:tc>
        <w:tc>
          <w:tcPr>
            <w:tcW w:type="dxa" w:w="3096"/>
            <w:shd w:fill="F3F7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7"/>
              </w:rPr>
              <w:t>字段映射、编码标准化、数据类型统一、质量校验结果。</w:t>
            </w:r>
          </w:p>
        </w:tc>
        <w:tc>
          <w:tcPr>
            <w:tcW w:type="dxa" w:w="3312"/>
            <w:shd w:fill="F3F7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7"/>
              </w:rPr>
              <w:t>不同平台翻译成同一套 EC101 业务语言。</w:t>
            </w:r>
          </w:p>
        </w:tc>
        <w:tc>
          <w:tcPr>
            <w:tcW w:type="dxa" w:w="2304"/>
            <w:shd w:fill="F3F7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7"/>
              </w:rPr>
              <w:t>订单编号、客户编号、商品编号、活动名称等标准字段。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7"/>
              </w:rPr>
              <w:t>CORE 业务事实层</w:t>
            </w:r>
          </w:p>
        </w:tc>
        <w:tc>
          <w:tcPr>
            <w:tcW w:type="dxa" w:w="309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7"/>
              </w:rPr>
              <w:t>经销商、平台、客户、商品、订单、订单行、活动、履约等实体关系。</w:t>
            </w:r>
          </w:p>
        </w:tc>
        <w:tc>
          <w:tcPr>
            <w:tcW w:type="dxa" w:w="331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7"/>
              </w:rPr>
              <w:t>按业务对象建模，而非按 Excel 文件建表。</w:t>
            </w:r>
          </w:p>
        </w:tc>
        <w:tc>
          <w:tcPr>
            <w:tcW w:type="dxa" w:w="230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7"/>
              </w:rPr>
              <w:t>客户订单、订单商品、活动规则、订单活动关系。</w:t>
            </w:r>
          </w:p>
        </w:tc>
      </w:tr>
      <w:tr>
        <w:trPr>
          <w:cantSplit/>
        </w:trPr>
        <w:tc>
          <w:tcPr>
            <w:tcW w:type="dxa" w:w="1872"/>
            <w:shd w:fill="F3F7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7"/>
              </w:rPr>
              <w:t>RESULT 应用结果层</w:t>
            </w:r>
          </w:p>
        </w:tc>
        <w:tc>
          <w:tcPr>
            <w:tcW w:type="dxa" w:w="3096"/>
            <w:shd w:fill="F3F7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7"/>
              </w:rPr>
              <w:t>活动命中、理论权益、实际权益、费用计算、异常与核销结果。</w:t>
            </w:r>
          </w:p>
        </w:tc>
        <w:tc>
          <w:tcPr>
            <w:tcW w:type="dxa" w:w="3312"/>
            <w:shd w:fill="F3F7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7"/>
              </w:rPr>
              <w:t>事实与计算结果分离；规则版本和计算批次可追溯。</w:t>
            </w:r>
          </w:p>
        </w:tc>
        <w:tc>
          <w:tcPr>
            <w:tcW w:type="dxa" w:w="2304"/>
            <w:shd w:fill="F3F7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7"/>
              </w:rPr>
              <w:t>理论应付、实际申报、差异订单、质量问题。</w:t>
            </w:r>
          </w:p>
        </w:tc>
      </w:tr>
    </w:tbl>
    <w:p>
      <w:pPr>
        <w:spacing w:after="40"/>
      </w:pPr>
    </w:p>
    <w:p>
      <w:pPr>
        <w:spacing w:before="0" w:after="120" w:line="324" w:lineRule="auto"/>
      </w:pPr>
      <w:r>
        <w:rPr>
          <w:rFonts w:ascii="Arial Unicode MS" w:hAnsi="Arial Unicode MS" w:eastAsia="Arial Unicode MS" w:cs="Arial Unicode MS"/>
          <w:b/>
          <w:color w:val="000000"/>
          <w:sz w:val="21"/>
        </w:rPr>
        <w:t>数据流：</w:t>
      </w: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平台数据进入 RAW 后，经字段映射进入 STANDARD；标准化数据构成 CORE 业务事实；活动规则与有效订单在 RESULT 层产生可审计的权益和费用结论。任何结果必须保留对应的规则版本、计算时间和原始数据批次。</w:t>
      </w:r>
    </w:p>
    <w:p>
      <w:pPr>
        <w:pStyle w:val="Heading1"/>
        <w:spacing w:before="280" w:after="100"/>
      </w:pPr>
      <w:r>
        <w:rPr>
          <w:rFonts w:ascii="Arial Unicode MS" w:hAnsi="Arial Unicode MS" w:eastAsia="Arial Unicode MS" w:cs="Arial Unicode MS"/>
          <w:b/>
          <w:color w:val="000000"/>
          <w:sz w:val="30"/>
        </w:rPr>
        <w:t>5 核心业务模型与关键设计决策</w:t>
      </w:r>
    </w:p>
    <w:p>
      <w:pPr>
        <w:spacing w:before="0" w:after="120" w:line="32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V1 先冻结逻辑对象、粒度和关联关系，后续在《EC101 逻辑数据模型设计说明》中再落到物理表、字段类型、索引和接口设计。核心对象不应由当前六类 Excel 文件直接决定。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800"/>
            <w:shd w:fill="17365D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逻辑对象</w:t>
            </w:r>
          </w:p>
        </w:tc>
        <w:tc>
          <w:tcPr>
            <w:tcW w:type="dxa" w:w="2376"/>
            <w:shd w:fill="17365D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粒度</w:t>
            </w:r>
          </w:p>
        </w:tc>
        <w:tc>
          <w:tcPr>
            <w:tcW w:type="dxa" w:w="3168"/>
            <w:shd w:fill="17365D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主要关联</w:t>
            </w:r>
          </w:p>
        </w:tc>
        <w:tc>
          <w:tcPr>
            <w:tcW w:type="dxa" w:w="3240"/>
            <w:shd w:fill="17365D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V1 作用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7"/>
              </w:rPr>
              <w:t>经销商与平台</w:t>
            </w:r>
          </w:p>
        </w:tc>
        <w:tc>
          <w:tcPr>
            <w:tcW w:type="dxa" w:w="237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7"/>
              </w:rPr>
              <w:t>一个经销商或平台一条主数据。</w:t>
            </w:r>
          </w:p>
        </w:tc>
        <w:tc>
          <w:tcPr>
            <w:tcW w:type="dxa" w:w="316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7"/>
              </w:rPr>
              <w:t>关联客户、商品、数据导入和活动。</w:t>
            </w:r>
          </w:p>
        </w:tc>
        <w:tc>
          <w:tcPr>
            <w:tcW w:type="dxa" w:w="324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7"/>
              </w:rPr>
              <w:t>区分数据来源、归属和平台规则。</w:t>
            </w:r>
          </w:p>
        </w:tc>
      </w:tr>
      <w:tr>
        <w:trPr>
          <w:cantSplit/>
        </w:trPr>
        <w:tc>
          <w:tcPr>
            <w:tcW w:type="dxa" w:w="1800"/>
            <w:shd w:fill="F3F7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7"/>
              </w:rPr>
              <w:t>客户与商品</w:t>
            </w:r>
          </w:p>
        </w:tc>
        <w:tc>
          <w:tcPr>
            <w:tcW w:type="dxa" w:w="2376"/>
            <w:shd w:fill="F3F7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7"/>
              </w:rPr>
              <w:t>一个标准客户或标准商品一条主数据。</w:t>
            </w:r>
          </w:p>
        </w:tc>
        <w:tc>
          <w:tcPr>
            <w:tcW w:type="dxa" w:w="3168"/>
            <w:shd w:fill="F3F7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7"/>
              </w:rPr>
              <w:t>客户关联订单；商品关联订单行和活动范围。</w:t>
            </w:r>
          </w:p>
        </w:tc>
        <w:tc>
          <w:tcPr>
            <w:tcW w:type="dxa" w:w="3240"/>
            <w:shd w:fill="F3F7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7"/>
              </w:rPr>
              <w:t>支撑交易、定向活动和后续业代指标。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7"/>
              </w:rPr>
              <w:t>订单与订单商品</w:t>
            </w:r>
          </w:p>
        </w:tc>
        <w:tc>
          <w:tcPr>
            <w:tcW w:type="dxa" w:w="237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7"/>
              </w:rPr>
              <w:t>订单头一条；每个商品一条订单行。</w:t>
            </w:r>
          </w:p>
        </w:tc>
        <w:tc>
          <w:tcPr>
            <w:tcW w:type="dxa" w:w="316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7"/>
              </w:rPr>
              <w:t>关联客户、订单行、履约和订单活动。</w:t>
            </w:r>
          </w:p>
        </w:tc>
        <w:tc>
          <w:tcPr>
            <w:tcW w:type="dxa" w:w="324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7"/>
              </w:rPr>
              <w:t>活动资格、发放条件和费用计算的核心交易事实。</w:t>
            </w:r>
          </w:p>
        </w:tc>
      </w:tr>
      <w:tr>
        <w:trPr>
          <w:cantSplit/>
        </w:trPr>
        <w:tc>
          <w:tcPr>
            <w:tcW w:type="dxa" w:w="1800"/>
            <w:shd w:fill="F3F7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7"/>
              </w:rPr>
              <w:t>活动与活动规则</w:t>
            </w:r>
          </w:p>
        </w:tc>
        <w:tc>
          <w:tcPr>
            <w:tcW w:type="dxa" w:w="2376"/>
            <w:shd w:fill="F3F7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7"/>
              </w:rPr>
              <w:t>活动一条；每条门槛或权益一条规则。</w:t>
            </w:r>
          </w:p>
        </w:tc>
        <w:tc>
          <w:tcPr>
            <w:tcW w:type="dxa" w:w="3168"/>
            <w:shd w:fill="F3F7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7"/>
              </w:rPr>
              <w:t>关联活动商品范围、客户范围与订单活动。</w:t>
            </w:r>
          </w:p>
        </w:tc>
        <w:tc>
          <w:tcPr>
            <w:tcW w:type="dxa" w:w="3240"/>
            <w:shd w:fill="F3F7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7"/>
              </w:rPr>
              <w:t>表达满减、满赠及后续扩展规则。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7"/>
              </w:rPr>
              <w:t>订单活动关系</w:t>
            </w:r>
          </w:p>
        </w:tc>
        <w:tc>
          <w:tcPr>
            <w:tcW w:type="dxa" w:w="237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7"/>
              </w:rPr>
              <w:t>一张订单命中一个活动规则的一条事实。</w:t>
            </w:r>
          </w:p>
        </w:tc>
        <w:tc>
          <w:tcPr>
            <w:tcW w:type="dxa" w:w="316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7"/>
              </w:rPr>
              <w:t>连接订单、活动、规则、理论权益和实际权益。</w:t>
            </w:r>
          </w:p>
        </w:tc>
        <w:tc>
          <w:tcPr>
            <w:tcW w:type="dxa" w:w="324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7"/>
              </w:rPr>
              <w:t>全链路最关键关系，回答订单为什么享受权益。</w:t>
            </w:r>
          </w:p>
        </w:tc>
      </w:tr>
      <w:tr>
        <w:trPr>
          <w:cantSplit/>
        </w:trPr>
        <w:tc>
          <w:tcPr>
            <w:tcW w:type="dxa" w:w="1800"/>
            <w:shd w:fill="F3F7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7"/>
              </w:rPr>
              <w:t>履约与费用结果</w:t>
            </w:r>
          </w:p>
        </w:tc>
        <w:tc>
          <w:tcPr>
            <w:tcW w:type="dxa" w:w="2376"/>
            <w:shd w:fill="F3F7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7"/>
              </w:rPr>
              <w:t>按订单或订单活动形成最终结果。</w:t>
            </w:r>
          </w:p>
        </w:tc>
        <w:tc>
          <w:tcPr>
            <w:tcW w:type="dxa" w:w="3168"/>
            <w:shd w:fill="F3F7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7"/>
              </w:rPr>
              <w:t>关联订单活动、计算批次和费用结算。</w:t>
            </w:r>
          </w:p>
        </w:tc>
        <w:tc>
          <w:tcPr>
            <w:tcW w:type="dxa" w:w="3240"/>
            <w:shd w:fill="F3F7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7"/>
              </w:rPr>
              <w:t>形成可核验的应付、实付与差异。</w:t>
            </w:r>
          </w:p>
        </w:tc>
      </w:tr>
    </w:tbl>
    <w:p>
      <w:pPr>
        <w:spacing w:after="40"/>
      </w:pPr>
    </w:p>
    <w:p>
      <w:pPr>
        <w:pStyle w:val="Heading2"/>
        <w:spacing w:before="160" w:after="100"/>
      </w:pPr>
      <w:r>
        <w:rPr>
          <w:rFonts w:ascii="Arial Unicode MS" w:hAnsi="Arial Unicode MS" w:eastAsia="Arial Unicode MS" w:cs="Arial Unicode MS"/>
          <w:b/>
          <w:color w:val="000000"/>
          <w:sz w:val="24"/>
        </w:rPr>
        <w:t>5.1 活动主键的处理原则</w:t>
      </w:r>
    </w:p>
    <w:p>
      <w:pPr>
        <w:spacing w:before="0" w:after="120" w:line="32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业务反馈明确：活动名称将规范命名并具备唯一性，可作为活动与其他表之间的业务关联键。V1 将此规则纳入数据标准，并要求“经销商 平台 活动名称”在有效期内唯一。</w:t>
      </w:r>
    </w:p>
    <w:p>
      <w:pPr>
        <w:spacing w:before="0" w:after="120" w:line="32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为避免名称调整、历史重名或多语言展示影响数据稳定性，物理数据库仍建议生成不可变的内部 activity_id 作为技术主键；活动名称保留为业务唯一键并参与跨表对接。这样既满足业务以活动名称关联的要求，也保留数据库层面的历史可追溯性。</w:t>
      </w:r>
    </w:p>
    <w:p>
      <w:pPr>
        <w:pStyle w:val="Heading1"/>
        <w:spacing w:before="280" w:after="100"/>
      </w:pPr>
      <w:r>
        <w:rPr>
          <w:rFonts w:ascii="Arial Unicode MS" w:hAnsi="Arial Unicode MS" w:eastAsia="Arial Unicode MS" w:cs="Arial Unicode MS"/>
          <w:b/>
          <w:color w:val="000000"/>
          <w:sz w:val="30"/>
        </w:rPr>
        <w:t>6 已确认业务规则及其入库方式</w:t>
      </w:r>
    </w:p>
    <w:p>
      <w:pPr>
        <w:spacing w:before="0" w:after="120" w:line="32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以下规则来自本次业务反馈，V1 作为已确认的 EC101 业务规则纳入设计，而不是作为待确认项。规则需要在数据模型中保存版本、生效时间、确认来源和适用范围。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728"/>
            <w:shd w:fill="17365D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规则主题</w:t>
            </w:r>
          </w:p>
        </w:tc>
        <w:tc>
          <w:tcPr>
            <w:tcW w:type="dxa" w:w="4176"/>
            <w:shd w:fill="17365D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已确认业务口径</w:t>
            </w:r>
          </w:p>
        </w:tc>
        <w:tc>
          <w:tcPr>
            <w:tcW w:type="dxa" w:w="4680"/>
            <w:shd w:fill="17365D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数据模型与计算影响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7"/>
              </w:rPr>
              <w:t>退货与退款</w:t>
            </w:r>
          </w:p>
        </w:tc>
        <w:tc>
          <w:tcPr>
            <w:tcW w:type="dxa" w:w="417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7"/>
              </w:rPr>
              <w:t>除破损等特殊情况外，参与活动的订单不允许退货；货物破损时客户仍享受促销活动。</w:t>
            </w:r>
          </w:p>
        </w:tc>
        <w:tc>
          <w:tcPr>
            <w:tcW w:type="dxa" w:w="468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7"/>
              </w:rPr>
              <w:t>V1 不将退货退款作为常规费用冲回条件。保留“特殊原因与例外处理”字段，以便将来记录破损等例外。</w:t>
            </w:r>
          </w:p>
        </w:tc>
      </w:tr>
      <w:tr>
        <w:trPr>
          <w:cantSplit/>
        </w:trPr>
        <w:tc>
          <w:tcPr>
            <w:tcW w:type="dxa" w:w="1728"/>
            <w:shd w:fill="F3F7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7"/>
              </w:rPr>
              <w:t>字段补齐</w:t>
            </w:r>
          </w:p>
        </w:tc>
        <w:tc>
          <w:tcPr>
            <w:tcW w:type="dxa" w:w="4176"/>
            <w:shd w:fill="F3F7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7"/>
              </w:rPr>
              <w:t>当前缺失字段将逐步补齐。</w:t>
            </w:r>
          </w:p>
        </w:tc>
        <w:tc>
          <w:tcPr>
            <w:tcW w:type="dxa" w:w="4680"/>
            <w:shd w:fill="F3F7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7"/>
              </w:rPr>
              <w:t>缺失字段进入数据质量和字段 Gap 清单；模型预留标准字段，不因短期缺失删除业务对象。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7"/>
              </w:rPr>
              <w:t>活动关联</w:t>
            </w:r>
          </w:p>
        </w:tc>
        <w:tc>
          <w:tcPr>
            <w:tcW w:type="dxa" w:w="417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7"/>
              </w:rPr>
              <w:t>以活动名称作为主键关联其他表，后续规范命名确保唯一。</w:t>
            </w:r>
          </w:p>
        </w:tc>
        <w:tc>
          <w:tcPr>
            <w:tcW w:type="dxa" w:w="468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7"/>
              </w:rPr>
              <w:t>建立活动名称唯一性校验；在标准层保留原始活动名称和规范活动名称。</w:t>
            </w:r>
          </w:p>
        </w:tc>
      </w:tr>
      <w:tr>
        <w:trPr>
          <w:cantSplit/>
        </w:trPr>
        <w:tc>
          <w:tcPr>
            <w:tcW w:type="dxa" w:w="1728"/>
            <w:shd w:fill="F3F7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7"/>
              </w:rPr>
              <w:t>费用发放节点</w:t>
            </w:r>
          </w:p>
        </w:tc>
        <w:tc>
          <w:tcPr>
            <w:tcW w:type="dxa" w:w="4176"/>
            <w:shd w:fill="F3F7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7"/>
              </w:rPr>
              <w:t>以订单状态等于已完成且下单时间早于 T-2 00:00:00 的订单作为可以发放费用的节点；不以支付状态或货到付款方式排除。</w:t>
            </w:r>
          </w:p>
        </w:tc>
        <w:tc>
          <w:tcPr>
            <w:tcW w:type="dxa" w:w="4680"/>
            <w:shd w:fill="F3F7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7"/>
              </w:rPr>
              <w:t>结果层的有效订单判断规则为“订单状态 已完成 且 下单时间小于等于计算日 T-2 00:00:00”；支付方式和支付状态仅保留作经营与风险观察，不作为发放过滤条件。</w:t>
            </w:r>
          </w:p>
        </w:tc>
      </w:tr>
    </w:tbl>
    <w:p>
      <w:pPr>
        <w:spacing w:after="40"/>
      </w:pPr>
    </w:p>
    <w:p>
      <w:pPr>
        <w:spacing w:before="0" w:after="120" w:line="324" w:lineRule="auto"/>
      </w:pPr>
      <w:r>
        <w:rPr>
          <w:rFonts w:ascii="Arial Unicode MS" w:hAnsi="Arial Unicode MS" w:eastAsia="Arial Unicode MS" w:cs="Arial Unicode MS"/>
          <w:b/>
          <w:color w:val="000000"/>
          <w:sz w:val="21"/>
        </w:rPr>
        <w:t>说明：</w:t>
      </w: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T-2 规则是当前业务发放口径，依赖“48 小时内送达、送达后默认已完成”的实际运营前提。应作为可配置且可版本化的 EC101 规则，而不是写死在订单表逻辑中。</w:t>
      </w:r>
    </w:p>
    <w:p>
      <w:pPr>
        <w:pStyle w:val="Heading1"/>
        <w:spacing w:before="280" w:after="100"/>
      </w:pPr>
      <w:r>
        <w:rPr>
          <w:rFonts w:ascii="Arial Unicode MS" w:hAnsi="Arial Unicode MS" w:eastAsia="Arial Unicode MS" w:cs="Arial Unicode MS"/>
          <w:b/>
          <w:color w:val="000000"/>
          <w:sz w:val="30"/>
        </w:rPr>
        <w:t>7 验证 Skill 与数据底座的衔接</w:t>
      </w:r>
    </w:p>
    <w:p>
      <w:pPr>
        <w:spacing w:before="0" w:after="120" w:line="32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两者不是重复建设。验证 Skill 负责判断某平台的数据能否支持活动闭环、字段如何映射、关系是否完整及有哪些 Gap；数据底座负责把通过准入的数据和规则长期沉淀、持续计算并支撑业务应用。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656"/>
            <w:shd w:fill="17365D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环节</w:t>
            </w:r>
          </w:p>
        </w:tc>
        <w:tc>
          <w:tcPr>
            <w:tcW w:type="dxa" w:w="4320"/>
            <w:shd w:fill="17365D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验证 Skill 的职责</w:t>
            </w:r>
          </w:p>
        </w:tc>
        <w:tc>
          <w:tcPr>
            <w:tcW w:type="dxa" w:w="4608"/>
            <w:shd w:fill="17365D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数据底座的职责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平台准入</w:t>
            </w:r>
          </w:p>
        </w:tc>
        <w:tc>
          <w:tcPr>
            <w:tcW w:type="dxa" w:w="432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识别文件、字段映射、关系检查、活动重算、输出支持结论。</w:t>
            </w:r>
          </w:p>
        </w:tc>
        <w:tc>
          <w:tcPr>
            <w:tcW w:type="dxa" w:w="460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仅接入符合准入条件的数据；保留准入状态与证据。</w:t>
            </w:r>
          </w:p>
        </w:tc>
      </w:tr>
      <w:tr>
        <w:trPr>
          <w:cantSplit/>
        </w:trPr>
        <w:tc>
          <w:tcPr>
            <w:tcW w:type="dxa" w:w="1656"/>
            <w:shd w:fill="F3F7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规则沉淀</w:t>
            </w:r>
          </w:p>
        </w:tc>
        <w:tc>
          <w:tcPr>
            <w:tcW w:type="dxa" w:w="4320"/>
            <w:shd w:fill="F3F7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发现需确认的业务规则和平台语义。</w:t>
            </w:r>
          </w:p>
        </w:tc>
        <w:tc>
          <w:tcPr>
            <w:tcW w:type="dxa" w:w="4608"/>
            <w:shd w:fill="F3F7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将确认后的规则版本化、可配置化并用于正式计算。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日常计算</w:t>
            </w:r>
          </w:p>
        </w:tc>
        <w:tc>
          <w:tcPr>
            <w:tcW w:type="dxa" w:w="432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作为新增平台或异常数据的核验工具。</w:t>
            </w:r>
          </w:p>
        </w:tc>
        <w:tc>
          <w:tcPr>
            <w:tcW w:type="dxa" w:w="460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按既定批次产生订单活动、费用和差异结果。</w:t>
            </w:r>
          </w:p>
        </w:tc>
      </w:tr>
      <w:tr>
        <w:trPr>
          <w:cantSplit/>
        </w:trPr>
        <w:tc>
          <w:tcPr>
            <w:tcW w:type="dxa" w:w="1656"/>
            <w:shd w:fill="F3F7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持续改进</w:t>
            </w:r>
          </w:p>
        </w:tc>
        <w:tc>
          <w:tcPr>
            <w:tcW w:type="dxa" w:w="4320"/>
            <w:shd w:fill="F3F7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形成平台规则库和字段映射经验。</w:t>
            </w:r>
          </w:p>
        </w:tc>
        <w:tc>
          <w:tcPr>
            <w:tcW w:type="dxa" w:w="4608"/>
            <w:shd w:fill="F3F7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将稳定规则与映射转为可维护的数据资产。</w:t>
            </w:r>
          </w:p>
        </w:tc>
      </w:tr>
    </w:tbl>
    <w:p>
      <w:pPr>
        <w:spacing w:after="40"/>
      </w:pPr>
    </w:p>
    <w:p>
      <w:pPr>
        <w:pStyle w:val="Heading1"/>
        <w:spacing w:before="280" w:after="100"/>
      </w:pPr>
      <w:r>
        <w:rPr>
          <w:rFonts w:ascii="Arial Unicode MS" w:hAnsi="Arial Unicode MS" w:eastAsia="Arial Unicode MS" w:cs="Arial Unicode MS"/>
          <w:b/>
          <w:color w:val="000000"/>
          <w:sz w:val="30"/>
        </w:rPr>
        <w:t>8 分阶段实施路线与交付物</w:t>
      </w:r>
    </w:p>
    <w:p>
      <w:pPr>
        <w:spacing w:before="0" w:after="120" w:line="324" w:lineRule="auto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建议不直接进入全量建库。以一家已得到“支持”结论、字段关系最完整的平台作为 MVP，完整跑通“原始数据到订单级费用结果”的闭环；随后用第二、第三个平台验证模型的可复用性。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1800"/>
            <w:shd w:fill="17365D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1944"/>
            <w:shd w:fill="17365D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目标</w:t>
            </w:r>
          </w:p>
        </w:tc>
        <w:tc>
          <w:tcPr>
            <w:tcW w:type="dxa" w:w="3096"/>
            <w:shd w:fill="17365D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主要工作</w:t>
            </w:r>
          </w:p>
        </w:tc>
        <w:tc>
          <w:tcPr>
            <w:tcW w:type="dxa" w:w="2376"/>
            <w:shd w:fill="17365D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阶段交付物</w:t>
            </w:r>
          </w:p>
        </w:tc>
        <w:tc>
          <w:tcPr>
            <w:tcW w:type="dxa" w:w="2088"/>
            <w:shd w:fill="17365D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6"/>
              </w:rPr>
              <w:t>验收重点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6"/>
              </w:rPr>
              <w:t>Phase 1 逻辑设计</w:t>
            </w:r>
          </w:p>
        </w:tc>
        <w:tc>
          <w:tcPr>
            <w:tcW w:type="dxa" w:w="194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6"/>
              </w:rPr>
              <w:t>明确业务边界、核心对象、规则和最小字段。</w:t>
            </w:r>
          </w:p>
        </w:tc>
        <w:tc>
          <w:tcPr>
            <w:tcW w:type="dxa" w:w="309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6"/>
              </w:rPr>
              <w:t>冻结逻辑对象、数据分层、活动与订单关系、已确认业务规则。</w:t>
            </w:r>
          </w:p>
        </w:tc>
        <w:tc>
          <w:tcPr>
            <w:tcW w:type="dxa" w:w="237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6"/>
              </w:rPr>
              <w:t>本方案 V1；逻辑数据模型说明 V1；规则目录。</w:t>
            </w:r>
          </w:p>
        </w:tc>
        <w:tc>
          <w:tcPr>
            <w:tcW w:type="dxa" w:w="208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6"/>
              </w:rPr>
              <w:t>任一费用结果均可描述为活动规则到订单到费用的完整链路。</w:t>
            </w:r>
          </w:p>
        </w:tc>
      </w:tr>
      <w:tr>
        <w:trPr>
          <w:cantSplit/>
        </w:trPr>
        <w:tc>
          <w:tcPr>
            <w:tcW w:type="dxa" w:w="1800"/>
            <w:shd w:fill="F3F7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6"/>
              </w:rPr>
              <w:t>Phase 2 MVP 接入</w:t>
            </w:r>
          </w:p>
        </w:tc>
        <w:tc>
          <w:tcPr>
            <w:tcW w:type="dxa" w:w="1944"/>
            <w:shd w:fill="F3F7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6"/>
              </w:rPr>
              <w:t>选择一家已验证支持的平台跑通入库与费用结果。</w:t>
            </w:r>
          </w:p>
        </w:tc>
        <w:tc>
          <w:tcPr>
            <w:tcW w:type="dxa" w:w="3096"/>
            <w:shd w:fill="F3F7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6"/>
              </w:rPr>
              <w:t>导入 RAW；完成标准映射；入 CORE；生成订单活动和费用结果。</w:t>
            </w:r>
          </w:p>
        </w:tc>
        <w:tc>
          <w:tcPr>
            <w:tcW w:type="dxa" w:w="2376"/>
            <w:shd w:fill="F3F7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6"/>
              </w:rPr>
              <w:t>MVP 数据库；导入与计算任务；订单级核验样本。</w:t>
            </w:r>
          </w:p>
        </w:tc>
        <w:tc>
          <w:tcPr>
            <w:tcW w:type="dxa" w:w="2088"/>
            <w:shd w:fill="F3F7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6"/>
              </w:rPr>
              <w:t>抽样订单可反查至原始数据；T-2 发放规则可重复计算。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6"/>
              </w:rPr>
              <w:t>Phase 3 多平台验证</w:t>
            </w:r>
          </w:p>
        </w:tc>
        <w:tc>
          <w:tcPr>
            <w:tcW w:type="dxa" w:w="194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6"/>
              </w:rPr>
              <w:t>用第二、第三个平台验证通用模型。</w:t>
            </w:r>
          </w:p>
        </w:tc>
        <w:tc>
          <w:tcPr>
            <w:tcW w:type="dxa" w:w="309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6"/>
              </w:rPr>
              <w:t>新增平台适配、字段映射和质量规则；比较模型差异。</w:t>
            </w:r>
          </w:p>
        </w:tc>
        <w:tc>
          <w:tcPr>
            <w:tcW w:type="dxa" w:w="237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6"/>
              </w:rPr>
              <w:t>平台接入手册；扩展映射；差异与优化清单。</w:t>
            </w:r>
          </w:p>
        </w:tc>
        <w:tc>
          <w:tcPr>
            <w:tcW w:type="dxa" w:w="208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6"/>
              </w:rPr>
              <w:t>新增平台主要增加适配配置，不改变核心业务关系。</w:t>
            </w:r>
          </w:p>
        </w:tc>
      </w:tr>
      <w:tr>
        <w:trPr>
          <w:cantSplit/>
        </w:trPr>
        <w:tc>
          <w:tcPr>
            <w:tcW w:type="dxa" w:w="1800"/>
            <w:shd w:fill="F3F7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6"/>
              </w:rPr>
              <w:t>Phase 4 费用闭环产品化</w:t>
            </w:r>
          </w:p>
        </w:tc>
        <w:tc>
          <w:tcPr>
            <w:tcW w:type="dxa" w:w="1944"/>
            <w:shd w:fill="F3F7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6"/>
              </w:rPr>
              <w:t>形成业务可使用的核销与异常处理能力。</w:t>
            </w:r>
          </w:p>
        </w:tc>
        <w:tc>
          <w:tcPr>
            <w:tcW w:type="dxa" w:w="3096"/>
            <w:shd w:fill="F3F7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6"/>
              </w:rPr>
              <w:t>活动查询、费用批次、差异定位、数据质量与业务确认闭环。</w:t>
            </w:r>
          </w:p>
        </w:tc>
        <w:tc>
          <w:tcPr>
            <w:tcW w:type="dxa" w:w="2376"/>
            <w:shd w:fill="F3F7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6"/>
              </w:rPr>
              <w:t>费用闭环 MVP；操作说明；验收报告。</w:t>
            </w:r>
          </w:p>
        </w:tc>
        <w:tc>
          <w:tcPr>
            <w:tcW w:type="dxa" w:w="2088"/>
            <w:shd w:fill="F3F7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6"/>
              </w:rPr>
              <w:t>业务可定位每一笔应付、实付和差异的订单原因。</w:t>
            </w:r>
          </w:p>
        </w:tc>
      </w:tr>
    </w:tbl>
    <w:p>
      <w:pPr>
        <w:spacing w:after="40"/>
      </w:pPr>
    </w:p>
    <w:p>
      <w:pPr>
        <w:pStyle w:val="Heading1"/>
        <w:spacing w:before="280" w:after="100"/>
      </w:pPr>
      <w:r>
        <w:rPr>
          <w:rFonts w:ascii="Arial Unicode MS" w:hAnsi="Arial Unicode MS" w:eastAsia="Arial Unicode MS" w:cs="Arial Unicode MS"/>
          <w:b/>
          <w:color w:val="000000"/>
          <w:sz w:val="30"/>
        </w:rPr>
        <w:t>9 工作机制与角色分工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016"/>
            <w:shd w:fill="17365D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4536"/>
            <w:shd w:fill="17365D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主要责任</w:t>
            </w:r>
          </w:p>
        </w:tc>
        <w:tc>
          <w:tcPr>
            <w:tcW w:type="dxa" w:w="4320"/>
            <w:shd w:fill="17365D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关键产出或决策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项目负责人</w:t>
            </w:r>
          </w:p>
        </w:tc>
        <w:tc>
          <w:tcPr>
            <w:tcW w:type="dxa" w:w="453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维护范围、优先级、阶段节奏和跨团队协调。</w:t>
            </w:r>
          </w:p>
        </w:tc>
        <w:tc>
          <w:tcPr>
            <w:tcW w:type="dxa" w:w="432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阶段计划、风险决策、MVP 平台选择。</w:t>
            </w:r>
          </w:p>
        </w:tc>
      </w:tr>
      <w:tr>
        <w:trPr>
          <w:cantSplit/>
        </w:trPr>
        <w:tc>
          <w:tcPr>
            <w:tcW w:type="dxa" w:w="2016"/>
            <w:shd w:fill="F3F7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业务与市场</w:t>
            </w:r>
          </w:p>
        </w:tc>
        <w:tc>
          <w:tcPr>
            <w:tcW w:type="dxa" w:w="4536"/>
            <w:shd w:fill="F3F7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确认活动口径、发放节点、费用归属及例外规则。</w:t>
            </w:r>
          </w:p>
        </w:tc>
        <w:tc>
          <w:tcPr>
            <w:tcW w:type="dxa" w:w="4320"/>
            <w:shd w:fill="F3F7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业务规则确认记录、活动命名规范、异常处理原则。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数据团队</w:t>
            </w:r>
          </w:p>
        </w:tc>
        <w:tc>
          <w:tcPr>
            <w:tcW w:type="dxa" w:w="453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维护字段映射、数据质量规则、导入批次与计算结果。</w:t>
            </w:r>
          </w:p>
        </w:tc>
        <w:tc>
          <w:tcPr>
            <w:tcW w:type="dxa" w:w="432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标准映射、质量报告、数据血缘与核验结果。</w:t>
            </w:r>
          </w:p>
        </w:tc>
      </w:tr>
      <w:tr>
        <w:trPr>
          <w:cantSplit/>
        </w:trPr>
        <w:tc>
          <w:tcPr>
            <w:tcW w:type="dxa" w:w="2016"/>
            <w:shd w:fill="F3F7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技术团队</w:t>
            </w:r>
          </w:p>
        </w:tc>
        <w:tc>
          <w:tcPr>
            <w:tcW w:type="dxa" w:w="4536"/>
            <w:shd w:fill="F3F7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落实逻辑模型、物理模型、存储、任务调度与权限。</w:t>
            </w:r>
          </w:p>
        </w:tc>
        <w:tc>
          <w:tcPr>
            <w:tcW w:type="dxa" w:w="4320"/>
            <w:shd w:fill="F3F7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数据库设计、数据管道、计算任务、接口与运行手册。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经销商平台对接人</w:t>
            </w:r>
          </w:p>
        </w:tc>
        <w:tc>
          <w:tcPr>
            <w:tcW w:type="dxa" w:w="453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提供原始数据、字段解释和平台状态语义。</w:t>
            </w:r>
          </w:p>
        </w:tc>
        <w:tc>
          <w:tcPr>
            <w:tcW w:type="dxa" w:w="432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数据清单、导出规范、字段补齐计划。</w:t>
            </w:r>
          </w:p>
        </w:tc>
      </w:tr>
    </w:tbl>
    <w:p>
      <w:pPr>
        <w:spacing w:after="40"/>
      </w:pPr>
    </w:p>
    <w:p>
      <w:pPr>
        <w:spacing w:before="0" w:after="120" w:line="324" w:lineRule="auto"/>
      </w:pPr>
      <w:r>
        <w:rPr>
          <w:rFonts w:ascii="Arial Unicode MS" w:hAnsi="Arial Unicode MS" w:eastAsia="Arial Unicode MS" w:cs="Arial Unicode MS"/>
          <w:b/>
          <w:color w:val="000000"/>
          <w:sz w:val="21"/>
        </w:rPr>
        <w:t>建议固定周节奏：</w:t>
      </w: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业务规则与问题清单每周确认一次；数据团队每周更新字段 Gap 和映射状态；技术团队以已确认的逻辑对象和规则版本作为开发输入。任何未确认的业务语义不得被隐含写入费用计算。</w:t>
      </w:r>
    </w:p>
    <w:p>
      <w:pPr>
        <w:pStyle w:val="Heading1"/>
        <w:spacing w:before="280" w:after="100"/>
      </w:pPr>
      <w:r>
        <w:rPr>
          <w:rFonts w:ascii="Arial Unicode MS" w:hAnsi="Arial Unicode MS" w:eastAsia="Arial Unicode MS" w:cs="Arial Unicode MS"/>
          <w:b/>
          <w:color w:val="000000"/>
          <w:sz w:val="30"/>
        </w:rPr>
        <w:t>10 验收标准与主要风险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232"/>
            <w:shd w:fill="17365D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验收主题</w:t>
            </w:r>
          </w:p>
        </w:tc>
        <w:tc>
          <w:tcPr>
            <w:tcW w:type="dxa" w:w="8568"/>
            <w:shd w:fill="17365D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可验证标准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原始可追溯</w:t>
            </w:r>
          </w:p>
        </w:tc>
        <w:tc>
          <w:tcPr>
            <w:tcW w:type="dxa" w:w="856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任一订单活动或费用结果都能定位到原始导入批次、原始订单记录和来源平台。</w:t>
            </w:r>
          </w:p>
        </w:tc>
      </w:tr>
      <w:tr>
        <w:trPr>
          <w:cantSplit/>
        </w:trPr>
        <w:tc>
          <w:tcPr>
            <w:tcW w:type="dxa" w:w="2232"/>
            <w:shd w:fill="F3F7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标准可复用</w:t>
            </w:r>
          </w:p>
        </w:tc>
        <w:tc>
          <w:tcPr>
            <w:tcW w:type="dxa" w:w="8568"/>
            <w:shd w:fill="F3F7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新增已支持平台时，通过增加映射与平台适配即可进入标准层，不需改变订单、活动、费用等核心关系。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规则可重复</w:t>
            </w:r>
          </w:p>
        </w:tc>
        <w:tc>
          <w:tcPr>
            <w:tcW w:type="dxa" w:w="856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相同原始事实、相同规则版本和相同计算日期，必须得到一致的活动资格和费用结果。</w:t>
            </w:r>
          </w:p>
        </w:tc>
      </w:tr>
      <w:tr>
        <w:trPr>
          <w:cantSplit/>
        </w:trPr>
        <w:tc>
          <w:tcPr>
            <w:tcW w:type="dxa" w:w="2232"/>
            <w:shd w:fill="F3F7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发放口径可执行</w:t>
            </w:r>
          </w:p>
        </w:tc>
        <w:tc>
          <w:tcPr>
            <w:tcW w:type="dxa" w:w="8568"/>
            <w:shd w:fill="F3F7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可按计算日自动得到下单时间早于 T-2 00:00:00、订单状态已完成的发放候选订单；支付状态不影响候选资格。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费用可解释</w:t>
            </w:r>
          </w:p>
        </w:tc>
        <w:tc>
          <w:tcPr>
            <w:tcW w:type="dxa" w:w="856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抽取任意一笔理论费用，业务人员可回看活动、规则、客户、订单、商品、状态及原始数据。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024"/>
            <w:shd w:fill="17365D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7776"/>
            <w:shd w:fill="17365D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应对策略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字段持续缺失或含义不稳定</w:t>
            </w:r>
          </w:p>
        </w:tc>
        <w:tc>
          <w:tcPr>
            <w:tcW w:type="dxa" w:w="777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以字段 Gap 和映射置信度管理；未证实字段不进入关键计算；按平台建立补齐清单。</w:t>
            </w:r>
          </w:p>
        </w:tc>
      </w:tr>
      <w:tr>
        <w:trPr>
          <w:cantSplit/>
        </w:trPr>
        <w:tc>
          <w:tcPr>
            <w:tcW w:type="dxa" w:w="3024"/>
            <w:shd w:fill="F3F7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活动名称未能长期唯一</w:t>
            </w:r>
          </w:p>
        </w:tc>
        <w:tc>
          <w:tcPr>
            <w:tcW w:type="dxa" w:w="7776"/>
            <w:shd w:fill="F3F7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建立命名规范和唯一性校验；同时保留内部 activity_id 及名称历史。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业务规则后续变化</w:t>
            </w:r>
          </w:p>
        </w:tc>
        <w:tc>
          <w:tcPr>
            <w:tcW w:type="dxa" w:w="777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全部规则版本化，包含生效时间、确认人和适用范围；历史结果按当时版本可复算。</w:t>
            </w:r>
          </w:p>
        </w:tc>
      </w:tr>
      <w:tr>
        <w:trPr>
          <w:cantSplit/>
        </w:trPr>
        <w:tc>
          <w:tcPr>
            <w:tcW w:type="dxa" w:w="3024"/>
            <w:shd w:fill="F3F7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只接入单一平台导致模型偏差</w:t>
            </w:r>
          </w:p>
        </w:tc>
        <w:tc>
          <w:tcPr>
            <w:tcW w:type="dxa" w:w="7776"/>
            <w:shd w:fill="F3F7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MVP 后必须使用第二、第三平台做兼容性验证，不因首个平台特征改变核心原则。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费用承担方尚不清晰</w:t>
            </w:r>
          </w:p>
        </w:tc>
        <w:tc>
          <w:tcPr>
            <w:tcW w:type="dxa" w:w="777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将费用承担方作为活动规则和费用结果必备字段；未明确归属的权益不形成最终对账结论。</w:t>
            </w:r>
          </w:p>
        </w:tc>
      </w:tr>
    </w:tbl>
    <w:p>
      <w:pPr>
        <w:spacing w:after="40"/>
      </w:pPr>
    </w:p>
    <w:p>
      <w:pPr>
        <w:pStyle w:val="Heading1"/>
        <w:spacing w:before="280" w:after="100"/>
      </w:pPr>
      <w:r>
        <w:rPr>
          <w:rFonts w:ascii="Arial Unicode MS" w:hAnsi="Arial Unicode MS" w:eastAsia="Arial Unicode MS" w:cs="Arial Unicode MS"/>
          <w:b/>
          <w:color w:val="000000"/>
          <w:sz w:val="30"/>
        </w:rPr>
        <w:t>11 下一步行动清单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080"/>
            <w:shd w:fill="17365D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4608"/>
            <w:shd w:fill="17365D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下一步</w:t>
            </w:r>
          </w:p>
        </w:tc>
        <w:tc>
          <w:tcPr>
            <w:tcW w:type="dxa" w:w="1800"/>
            <w:shd w:fill="17365D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责任建议</w:t>
            </w:r>
          </w:p>
        </w:tc>
        <w:tc>
          <w:tcPr>
            <w:tcW w:type="dxa" w:w="3312"/>
            <w:shd w:fill="17365D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7"/>
              </w:rPr>
              <w:t>完成标志</w:t>
            </w:r>
          </w:p>
        </w:tc>
      </w:tr>
      <w:tr>
        <w:trPr>
          <w:cantSplit/>
        </w:trPr>
        <w:tc>
          <w:tcPr>
            <w:tcW w:type="dxa" w:w="108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7"/>
              </w:rPr>
              <w:t>P0</w:t>
            </w:r>
          </w:p>
        </w:tc>
        <w:tc>
          <w:tcPr>
            <w:tcW w:type="dxa" w:w="460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7"/>
              </w:rPr>
              <w:t>基于本方案编制《EC101 逻辑数据模型设计说明》：明确实体粒度、主键、关系、规则版本和数据血缘。</w:t>
            </w:r>
          </w:p>
        </w:tc>
        <w:tc>
          <w:tcPr>
            <w:tcW w:type="dxa" w:w="180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7"/>
              </w:rPr>
              <w:t>数据与技术</w:t>
            </w:r>
          </w:p>
        </w:tc>
        <w:tc>
          <w:tcPr>
            <w:tcW w:type="dxa" w:w="331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7"/>
              </w:rPr>
              <w:t>形成可评审的 ER 关系与字段分组，不进入物理建表细节。</w:t>
            </w:r>
          </w:p>
        </w:tc>
      </w:tr>
      <w:tr>
        <w:trPr>
          <w:cantSplit/>
        </w:trPr>
        <w:tc>
          <w:tcPr>
            <w:tcW w:type="dxa" w:w="1080"/>
            <w:shd w:fill="F3F7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7"/>
              </w:rPr>
              <w:t>P0</w:t>
            </w:r>
          </w:p>
        </w:tc>
        <w:tc>
          <w:tcPr>
            <w:tcW w:type="dxa" w:w="4608"/>
            <w:shd w:fill="F3F7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7"/>
              </w:rPr>
              <w:t>选择一个“支持”结论的平台作为 MVP 数据源，并整理黄金样本包。</w:t>
            </w:r>
          </w:p>
        </w:tc>
        <w:tc>
          <w:tcPr>
            <w:tcW w:type="dxa" w:w="1800"/>
            <w:shd w:fill="F3F7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7"/>
              </w:rPr>
              <w:t>项目 数据 业务</w:t>
            </w:r>
          </w:p>
        </w:tc>
        <w:tc>
          <w:tcPr>
            <w:tcW w:type="dxa" w:w="3312"/>
            <w:shd w:fill="F3F7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7"/>
              </w:rPr>
              <w:t>包含原始数据、确认规则、验证报告与典型订单预期结果。</w:t>
            </w:r>
          </w:p>
        </w:tc>
      </w:tr>
      <w:tr>
        <w:trPr>
          <w:cantSplit/>
        </w:trPr>
        <w:tc>
          <w:tcPr>
            <w:tcW w:type="dxa" w:w="108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7"/>
              </w:rPr>
              <w:t>P0</w:t>
            </w:r>
          </w:p>
        </w:tc>
        <w:tc>
          <w:tcPr>
            <w:tcW w:type="dxa" w:w="460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7"/>
              </w:rPr>
              <w:t>确定活动命名规范和 T-2 发放规则的版本、适用范围与生效日期。</w:t>
            </w:r>
          </w:p>
        </w:tc>
        <w:tc>
          <w:tcPr>
            <w:tcW w:type="dxa" w:w="180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7"/>
              </w:rPr>
              <w:t>业务与市场</w:t>
            </w:r>
          </w:p>
        </w:tc>
        <w:tc>
          <w:tcPr>
            <w:tcW w:type="dxa" w:w="331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7"/>
              </w:rPr>
              <w:t>规则可直接被数据计算任务读取。</w:t>
            </w:r>
          </w:p>
        </w:tc>
      </w:tr>
      <w:tr>
        <w:trPr>
          <w:cantSplit/>
        </w:trPr>
        <w:tc>
          <w:tcPr>
            <w:tcW w:type="dxa" w:w="1080"/>
            <w:shd w:fill="F3F7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7"/>
              </w:rPr>
              <w:t>P1</w:t>
            </w:r>
          </w:p>
        </w:tc>
        <w:tc>
          <w:tcPr>
            <w:tcW w:type="dxa" w:w="4608"/>
            <w:shd w:fill="F3F7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7"/>
              </w:rPr>
              <w:t>输出物理数据模型、导入批次规范和字段映射维护机制。</w:t>
            </w:r>
          </w:p>
        </w:tc>
        <w:tc>
          <w:tcPr>
            <w:tcW w:type="dxa" w:w="1800"/>
            <w:shd w:fill="F3F7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7"/>
              </w:rPr>
              <w:t>技术与数据</w:t>
            </w:r>
          </w:p>
        </w:tc>
        <w:tc>
          <w:tcPr>
            <w:tcW w:type="dxa" w:w="3312"/>
            <w:shd w:fill="F3F7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7"/>
              </w:rPr>
              <w:t>开发前评审通过。</w:t>
            </w:r>
          </w:p>
        </w:tc>
      </w:tr>
      <w:tr>
        <w:trPr>
          <w:cantSplit/>
        </w:trPr>
        <w:tc>
          <w:tcPr>
            <w:tcW w:type="dxa" w:w="108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7"/>
              </w:rPr>
              <w:t>P1</w:t>
            </w:r>
          </w:p>
        </w:tc>
        <w:tc>
          <w:tcPr>
            <w:tcW w:type="dxa" w:w="460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7"/>
              </w:rPr>
              <w:t>以第二个平台开展兼容性验证，形成模型优化清单。</w:t>
            </w:r>
          </w:p>
        </w:tc>
        <w:tc>
          <w:tcPr>
            <w:tcW w:type="dxa" w:w="180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7"/>
              </w:rPr>
              <w:t>数据与技术</w:t>
            </w:r>
          </w:p>
        </w:tc>
        <w:tc>
          <w:tcPr>
            <w:tcW w:type="dxa" w:w="331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7"/>
              </w:rPr>
              <w:t>核心模型不变，仅补充映射或受控扩展。</w:t>
            </w:r>
          </w:p>
        </w:tc>
      </w:tr>
    </w:tbl>
    <w:p>
      <w:pPr>
        <w:spacing w:after="40"/>
      </w:pPr>
    </w:p>
    <w:p>
      <w:pPr>
        <w:pStyle w:val="Heading1"/>
        <w:spacing w:before="280" w:after="100"/>
      </w:pPr>
      <w:r>
        <w:rPr>
          <w:rFonts w:ascii="Arial Unicode MS" w:hAnsi="Arial Unicode MS" w:eastAsia="Arial Unicode MS" w:cs="Arial Unicode MS"/>
          <w:b/>
          <w:color w:val="000000"/>
          <w:sz w:val="30"/>
        </w:rPr>
        <w:t>附录 A 文档体系与演进顺序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744"/>
            <w:shd w:fill="17365D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文档</w:t>
            </w:r>
          </w:p>
        </w:tc>
        <w:tc>
          <w:tcPr>
            <w:tcW w:type="dxa" w:w="1872"/>
            <w:shd w:fill="17365D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5184"/>
            <w:shd w:fill="17365D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374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EC101 数据底座建设方案 V1</w:t>
            </w:r>
          </w:p>
        </w:tc>
        <w:tc>
          <w:tcPr>
            <w:tcW w:type="dxa" w:w="187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本次交付</w:t>
            </w:r>
          </w:p>
        </w:tc>
        <w:tc>
          <w:tcPr>
            <w:tcW w:type="dxa" w:w="518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统一背景、目标产品、架构、业务规则和推进路径。</w:t>
            </w:r>
          </w:p>
        </w:tc>
      </w:tr>
      <w:tr>
        <w:trPr>
          <w:cantSplit/>
        </w:trPr>
        <w:tc>
          <w:tcPr>
            <w:tcW w:type="dxa" w:w="3744"/>
            <w:shd w:fill="F3F7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EC101 逻辑数据模型设计说明</w:t>
            </w:r>
          </w:p>
        </w:tc>
        <w:tc>
          <w:tcPr>
            <w:tcW w:type="dxa" w:w="1872"/>
            <w:shd w:fill="F3F7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下一步</w:t>
            </w:r>
          </w:p>
        </w:tc>
        <w:tc>
          <w:tcPr>
            <w:tcW w:type="dxa" w:w="5184"/>
            <w:shd w:fill="F3F7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定义实体、粒度、主键、关系、业务规则和数据血缘。</w:t>
            </w:r>
          </w:p>
        </w:tc>
      </w:tr>
      <w:tr>
        <w:trPr>
          <w:cantSplit/>
        </w:trPr>
        <w:tc>
          <w:tcPr>
            <w:tcW w:type="dxa" w:w="374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EC101 活动费用闭环 MVP 实施方案</w:t>
            </w:r>
          </w:p>
        </w:tc>
        <w:tc>
          <w:tcPr>
            <w:tcW w:type="dxa" w:w="187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逻辑模型后</w:t>
            </w:r>
          </w:p>
        </w:tc>
        <w:tc>
          <w:tcPr>
            <w:tcW w:type="dxa" w:w="518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确定 MVP 范围、数据接入、计算任务、验收样本和上线安排。</w:t>
            </w:r>
          </w:p>
        </w:tc>
      </w:tr>
      <w:tr>
        <w:trPr>
          <w:cantSplit/>
        </w:trPr>
        <w:tc>
          <w:tcPr>
            <w:tcW w:type="dxa" w:w="3744"/>
            <w:shd w:fill="F3F7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EC101 费用核销产品 PRD</w:t>
            </w:r>
          </w:p>
        </w:tc>
        <w:tc>
          <w:tcPr>
            <w:tcW w:type="dxa" w:w="1872"/>
            <w:shd w:fill="F3F7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产品化阶段</w:t>
            </w:r>
          </w:p>
        </w:tc>
        <w:tc>
          <w:tcPr>
            <w:tcW w:type="dxa" w:w="5184"/>
            <w:shd w:fill="F3F7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当需要实际页面、审批、查询和操作流程时再单独编写。</w:t>
            </w:r>
          </w:p>
        </w:tc>
      </w:tr>
    </w:tbl>
    <w:p>
      <w:pPr>
        <w:spacing w:after="40"/>
      </w:pPr>
    </w:p>
    <w:p>
      <w:pPr>
        <w:spacing w:before="0" w:after="120" w:line="324" w:lineRule="auto"/>
      </w:pPr>
      <w:r>
        <w:rPr>
          <w:rFonts w:ascii="Arial Unicode MS" w:hAnsi="Arial Unicode MS" w:eastAsia="Arial Unicode MS" w:cs="Arial Unicode MS"/>
          <w:b/>
          <w:color w:val="000000"/>
          <w:sz w:val="21"/>
        </w:rPr>
        <w:t>结论：</w:t>
      </w: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EC101 当前不应先写传统 PRD，也不应直接以 Excel 结构建库。应以本建设方案为共同基线，先完成逻辑数据模型与一家具备支持结论的平台 MVP，再用多平台接入验证模型的稳定性。</w:t>
      </w:r>
    </w:p>
    <w:sectPr w:rsidR="00FC693F" w:rsidRPr="0006063C" w:rsidSect="00034616">
      <w:footerReference w:type="default" r:id="rId9"/>
      <w:pgSz w:w="12240" w:h="15840"/>
      <w:pgMar w:top="1037" w:right="1037" w:bottom="979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 w:cs="Arial Unicode MS"/>
        <w:b w:val="0"/>
        <w:color w:val="646464"/>
        <w:sz w:val="17"/>
      </w:rPr>
      <w:t>EC101 数据底座建设方案 V1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Arial Unicode M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Arial Unicode M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eastAsia="Arial Unicode MS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