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37F17897" w14:textId="30D412CA" w:rsidR="00A90527" w:rsidRPr="003B19FB" w:rsidRDefault="00A90527" w:rsidP="008428E5">
      <w:pPr>
        <w:tabs>
          <w:tab w:val="right" w:pos="10080"/>
        </w:tabs>
        <w:ind w:firstLine="720"/>
        <w:rPr>
          <w:rFonts w:asciiTheme="minorHAnsi" w:hAnsiTheme="minorHAnsi" w:cstheme="minorHAnsi"/>
        </w:rPr>
      </w:pPr>
      <w:r w:rsidRPr="003B19FB">
        <w:rPr>
          <w:rFonts w:asciiTheme="minorHAnsi" w:hAnsiTheme="minorHAnsi" w:cstheme="minorHAnsi"/>
        </w:rPr>
        <w:t>Dissertation: “</w:t>
      </w:r>
      <w:r w:rsidR="00F02B88">
        <w:rPr>
          <w:rFonts w:asciiTheme="minorHAnsi" w:hAnsiTheme="minorHAnsi" w:cstheme="minorHAnsi"/>
        </w:rPr>
        <w:t>Toward Responsible</w:t>
      </w:r>
      <w:r w:rsidR="00824B13">
        <w:rPr>
          <w:rFonts w:asciiTheme="minorHAnsi" w:hAnsiTheme="minorHAnsi" w:cstheme="minorHAnsi"/>
        </w:rPr>
        <w:t xml:space="preserve"> Recommender Systems</w:t>
      </w:r>
      <w:r w:rsidRPr="003B19FB">
        <w:rPr>
          <w:rFonts w:asciiTheme="minorHAnsi" w:hAnsiTheme="minorHAnsi" w:cstheme="minorHAnsi"/>
        </w:rPr>
        <w:t>”</w:t>
      </w:r>
    </w:p>
    <w:p w14:paraId="1EC94865" w14:textId="58668529" w:rsidR="00964C7C" w:rsidRDefault="00C9693E" w:rsidP="008428E5">
      <w:pPr>
        <w:tabs>
          <w:tab w:val="right" w:pos="10080"/>
        </w:tabs>
        <w:ind w:firstLine="720"/>
        <w:rPr>
          <w:rFonts w:asciiTheme="minorHAnsi" w:hAnsiTheme="minorHAnsi" w:cstheme="minorHAnsi"/>
        </w:rPr>
      </w:pPr>
      <w:r>
        <w:rPr>
          <w:rFonts w:asciiTheme="minorHAnsi" w:hAnsiTheme="minorHAnsi" w:cstheme="minorHAnsi"/>
        </w:rPr>
        <w:t>Advisor</w:t>
      </w:r>
      <w:r w:rsidRPr="003B19FB">
        <w:rPr>
          <w:rFonts w:asciiTheme="minorHAnsi" w:hAnsiTheme="minorHAnsi" w:cstheme="minorHAnsi"/>
        </w:rPr>
        <w:t xml:space="preserve">: </w:t>
      </w:r>
      <w:r>
        <w:rPr>
          <w:rFonts w:asciiTheme="minorHAnsi" w:hAnsiTheme="minorHAnsi" w:cstheme="minorHAnsi"/>
        </w:rPr>
        <w:t>Dr. James Caverlee</w:t>
      </w:r>
    </w:p>
    <w:p w14:paraId="700F54E7" w14:textId="01257B3A" w:rsidR="0099218F" w:rsidRDefault="0099218F" w:rsidP="008428E5">
      <w:pPr>
        <w:tabs>
          <w:tab w:val="right" w:pos="10080"/>
        </w:tabs>
        <w:ind w:firstLine="720"/>
        <w:rPr>
          <w:rFonts w:asciiTheme="minorHAnsi" w:hAnsiTheme="minorHAnsi" w:cstheme="minorHAnsi"/>
        </w:rPr>
      </w:pPr>
      <w:r w:rsidRPr="0099218F">
        <w:rPr>
          <w:rFonts w:asciiTheme="minorHAnsi" w:hAnsiTheme="minorHAnsi" w:cstheme="minorHAnsi"/>
        </w:rPr>
        <w:t>Committee: Xia Hu, Alex Beutel</w:t>
      </w:r>
      <w:r>
        <w:rPr>
          <w:rFonts w:asciiTheme="minorHAnsi" w:hAnsiTheme="minorHAnsi" w:cstheme="minorHAnsi"/>
        </w:rPr>
        <w:t xml:space="preserve">, </w:t>
      </w:r>
      <w:r w:rsidRPr="0099218F">
        <w:rPr>
          <w:rFonts w:asciiTheme="minorHAnsi" w:hAnsiTheme="minorHAnsi" w:cstheme="minorHAnsi"/>
        </w:rPr>
        <w:t>Xiaoning Qian</w:t>
      </w:r>
      <w:r w:rsidR="00767D7C">
        <w:rPr>
          <w:rFonts w:asciiTheme="minorHAnsi" w:hAnsiTheme="minorHAnsi" w:cstheme="minorHAnsi"/>
        </w:rPr>
        <w:t xml:space="preserve">, </w:t>
      </w:r>
      <w:r w:rsidRPr="0099218F">
        <w:rPr>
          <w:rFonts w:asciiTheme="minorHAnsi" w:hAnsiTheme="minorHAnsi" w:cstheme="minorHAnsi"/>
        </w:rPr>
        <w:t xml:space="preserve">Ricardo Gutierrez Osuna </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74C826E" w14:textId="7581239E"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32328DC7" w:rsidR="000135CB" w:rsidRPr="003B6D23" w:rsidRDefault="008553E7" w:rsidP="007A04FE">
      <w:pPr>
        <w:tabs>
          <w:tab w:val="right" w:pos="8640"/>
        </w:tabs>
        <w:rPr>
          <w:rFonts w:asciiTheme="minorHAnsi" w:hAnsiTheme="minorHAnsi" w:cstheme="minorHAnsi"/>
        </w:rPr>
      </w:pPr>
      <w:r>
        <w:rPr>
          <w:rFonts w:asciiTheme="minorHAnsi" w:hAnsiTheme="minorHAnsi" w:cstheme="minorHAnsi"/>
        </w:rPr>
        <w:t xml:space="preserve">Department of </w:t>
      </w:r>
      <w:r w:rsidR="000135CB">
        <w:rPr>
          <w:rFonts w:asciiTheme="minorHAnsi" w:hAnsiTheme="minorHAnsi" w:cstheme="minorHAnsi"/>
        </w:rPr>
        <w:t>Computer Science and Engineering,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429556A" w:rsidR="006D2328" w:rsidRPr="003B6D23"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9D01EA">
        <w:rPr>
          <w:rFonts w:asciiTheme="minorHAnsi" w:hAnsiTheme="minorHAnsi" w:cstheme="minorHAnsi"/>
        </w:rPr>
        <w:t xml:space="preserve">,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779C5F8F" w:rsidR="00B85170"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5E09CF">
        <w:rPr>
          <w:rFonts w:asciiTheme="minorHAnsi" w:hAnsiTheme="minorHAnsi" w:cstheme="minorHAnsi"/>
        </w:rPr>
        <w: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E336BB" w:rsidRPr="008464A1" w14:paraId="562C6BAB" w14:textId="77777777" w:rsidTr="00635A04">
        <w:trPr>
          <w:trHeight w:val="20"/>
        </w:trPr>
        <w:tc>
          <w:tcPr>
            <w:tcW w:w="1530" w:type="dxa"/>
          </w:tcPr>
          <w:p w14:paraId="48330516" w14:textId="77777777"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14345A" w:rsidRDefault="00E336BB" w:rsidP="00E336BB">
            <w:pPr>
              <w:rPr>
                <w:rFonts w:asciiTheme="minorHAnsi" w:hAnsiTheme="minorHAnsi" w:cstheme="minorHAnsi"/>
                <w:bCs/>
                <w:sz w:val="22"/>
                <w:szCs w:val="22"/>
              </w:rPr>
            </w:pPr>
            <w:proofErr w:type="spellStart"/>
            <w:r w:rsidRPr="00E336BB">
              <w:rPr>
                <w:rFonts w:asciiTheme="minorHAnsi" w:hAnsiTheme="minorHAnsi" w:cstheme="minorHAnsi"/>
                <w:bCs/>
                <w:sz w:val="22"/>
                <w:szCs w:val="22"/>
              </w:rPr>
              <w:t>Xiangjue</w:t>
            </w:r>
            <w:proofErr w:type="spellEnd"/>
            <w:r w:rsidRPr="00E336BB">
              <w:rPr>
                <w:rFonts w:asciiTheme="minorHAnsi" w:hAnsiTheme="minorHAnsi" w:cstheme="minorHAnsi"/>
                <w:bCs/>
                <w:sz w:val="22"/>
                <w:szCs w:val="22"/>
              </w:rPr>
              <w:t xml:space="preserve"> Dong, Yun He, Ziwei Zhu, </w:t>
            </w:r>
            <w:r>
              <w:rPr>
                <w:rFonts w:asciiTheme="minorHAnsi" w:hAnsiTheme="minorHAnsi" w:cstheme="minorHAnsi"/>
                <w:bCs/>
                <w:sz w:val="22"/>
                <w:szCs w:val="22"/>
              </w:rPr>
              <w:t xml:space="preserve">and </w:t>
            </w:r>
            <w:r w:rsidRPr="00E336BB">
              <w:rPr>
                <w:rFonts w:asciiTheme="minorHAnsi" w:hAnsiTheme="minorHAnsi" w:cstheme="minorHAnsi"/>
                <w:bCs/>
                <w:sz w:val="22"/>
                <w:szCs w:val="22"/>
              </w:rPr>
              <w:t>James Caverlee</w:t>
            </w:r>
            <w:r>
              <w:rPr>
                <w:rFonts w:asciiTheme="minorHAnsi" w:hAnsiTheme="minorHAnsi" w:cstheme="minorHAnsi"/>
                <w:bCs/>
                <w:sz w:val="22"/>
                <w:szCs w:val="22"/>
              </w:rPr>
              <w:t xml:space="preserve">. </w:t>
            </w:r>
            <w:proofErr w:type="spellStart"/>
            <w:r w:rsidRPr="00E336BB">
              <w:rPr>
                <w:rFonts w:asciiTheme="minorHAnsi" w:hAnsiTheme="minorHAnsi" w:cstheme="minorHAnsi"/>
                <w:bCs/>
                <w:sz w:val="22"/>
                <w:szCs w:val="22"/>
              </w:rPr>
              <w:t>PromptAttack</w:t>
            </w:r>
            <w:proofErr w:type="spellEnd"/>
            <w:r w:rsidRPr="00E336BB">
              <w:rPr>
                <w:rFonts w:asciiTheme="minorHAnsi" w:hAnsiTheme="minorHAnsi" w:cstheme="minorHAnsi"/>
                <w:bCs/>
                <w:sz w:val="22"/>
                <w:szCs w:val="22"/>
              </w:rPr>
              <w:t>: Probing Dialogue State Trackers with Adversarial Prompts.</w:t>
            </w:r>
            <w:r>
              <w:rPr>
                <w:rFonts w:asciiTheme="minorHAnsi" w:hAnsiTheme="minorHAnsi" w:cstheme="minorHAnsi"/>
                <w:bCs/>
                <w:sz w:val="22"/>
                <w:szCs w:val="22"/>
              </w:rPr>
              <w:t xml:space="preserve"> </w:t>
            </w:r>
            <w:r w:rsidRPr="00E336BB">
              <w:rPr>
                <w:rFonts w:asciiTheme="minorHAnsi" w:hAnsiTheme="minorHAnsi" w:cstheme="minorHAnsi"/>
                <w:bCs/>
                <w:sz w:val="22"/>
                <w:szCs w:val="22"/>
              </w:rPr>
              <w:t>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proofErr w:type="gramStart"/>
            <w:r w:rsidR="00AE2117">
              <w:rPr>
                <w:rFonts w:asciiTheme="minorHAnsi" w:hAnsiTheme="minorHAnsi" w:cstheme="minorHAnsi"/>
                <w:bCs/>
                <w:sz w:val="22"/>
                <w:szCs w:val="22"/>
              </w:rPr>
              <w:t>s</w:t>
            </w:r>
            <w:r w:rsidR="001D01F0">
              <w:rPr>
                <w:rFonts w:asciiTheme="minorHAnsi" w:hAnsiTheme="minorHAnsi" w:cstheme="minorHAnsi"/>
                <w:bCs/>
                <w:sz w:val="22"/>
                <w:szCs w:val="22"/>
              </w:rPr>
              <w:t>hort</w:t>
            </w:r>
            <w:proofErr w:type="gramEnd"/>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bottom w:w="72" w:type="dxa"/>
        </w:tblCellMar>
        <w:tblLook w:val="04A0" w:firstRow="1" w:lastRow="0" w:firstColumn="1" w:lastColumn="0" w:noHBand="0" w:noVBand="1"/>
      </w:tblPr>
      <w:tblGrid>
        <w:gridCol w:w="1530"/>
        <w:gridCol w:w="8852"/>
      </w:tblGrid>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432D3B9A" w14:textId="79A60645"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Pr>
          <w:rFonts w:asciiTheme="minorHAnsi" w:hAnsiTheme="minorHAnsi" w:cstheme="minorHAnsi"/>
        </w:rPr>
        <w:t>Fairness in Artificial Intelligence</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2023.0</w:t>
      </w:r>
      <w:r>
        <w:rPr>
          <w:rFonts w:asciiTheme="minorHAnsi" w:hAnsiTheme="minorHAnsi" w:cstheme="minorHAnsi"/>
        </w:rPr>
        <w:t>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 xml:space="preserve">MPI </w:t>
      </w:r>
      <w:proofErr w:type="spellStart"/>
      <w:r w:rsidRPr="008508BA">
        <w:rPr>
          <w:rFonts w:asciiTheme="minorHAnsi" w:hAnsiTheme="minorHAnsi" w:cstheme="minorHAnsi"/>
        </w:rPr>
        <w:t>ReConEx</w:t>
      </w:r>
      <w:proofErr w:type="spellEnd"/>
      <w:r w:rsidRPr="008508BA">
        <w:rPr>
          <w:rFonts w:asciiTheme="minorHAnsi" w:hAnsiTheme="minorHAnsi" w:cstheme="minorHAnsi"/>
        </w:rPr>
        <w:t xml:space="preserve">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7156AE85"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p>
    <w:p w14:paraId="3020A705" w14:textId="004434BE"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t>RecSys: 2023</w:t>
      </w:r>
    </w:p>
    <w:p w14:paraId="23333C65" w14:textId="4D828457"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p>
    <w:p w14:paraId="6645F62A" w14:textId="26F0A93A"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lastRenderedPageBreak/>
        <w:t>FAccT</w:t>
      </w:r>
      <w:proofErr w:type="spellEnd"/>
      <w:r>
        <w:rPr>
          <w:rFonts w:asciiTheme="minorHAnsi" w:hAnsiTheme="minorHAnsi" w:cstheme="minorHAnsi"/>
        </w:rPr>
        <w:t>: 2023</w:t>
      </w:r>
    </w:p>
    <w:p w14:paraId="26A19BAA" w14:textId="2F6AEDBC" w:rsidR="003B423B" w:rsidRPr="00656771"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44D0408B" w14:textId="2E80F508"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2444F6AB" w14:textId="2FCCE225"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Science China Information Sciences</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74BC73C9" w14:textId="7A845A40" w:rsidR="004F4E6B" w:rsidRPr="003B19FB" w:rsidRDefault="004F4E6B"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Honors and Awards</w:t>
      </w:r>
    </w:p>
    <w:p w14:paraId="6BE37FA1" w14:textId="6E7D4E50" w:rsidR="00773FEB" w:rsidRDefault="00773FEB" w:rsidP="002D638A">
      <w:pPr>
        <w:pStyle w:val="ListParagraph"/>
        <w:numPr>
          <w:ilvl w:val="0"/>
          <w:numId w:val="4"/>
        </w:numPr>
        <w:tabs>
          <w:tab w:val="right" w:pos="10080"/>
        </w:tabs>
        <w:ind w:left="360"/>
        <w:contextualSpacing w:val="0"/>
        <w:rPr>
          <w:rFonts w:asciiTheme="minorHAnsi" w:hAnsiTheme="minorHAnsi" w:cstheme="minorHAnsi"/>
        </w:rPr>
      </w:pPr>
      <w:r w:rsidRPr="00773FEB">
        <w:rPr>
          <w:rFonts w:asciiTheme="minorHAnsi" w:hAnsiTheme="minorHAnsi" w:cstheme="minorHAnsi"/>
        </w:rPr>
        <w:t>TAMU CSE Graduate Research Excellence Award</w:t>
      </w:r>
      <w:r>
        <w:rPr>
          <w:rFonts w:asciiTheme="minorHAnsi" w:hAnsiTheme="minorHAnsi" w:cstheme="minorHAnsi"/>
        </w:rPr>
        <w:tab/>
        <w:t>2022.03</w:t>
      </w:r>
    </w:p>
    <w:p w14:paraId="11D73B3A" w14:textId="01E66C99" w:rsidR="006D21F2" w:rsidRPr="006D21F2" w:rsidRDefault="006D21F2" w:rsidP="006D21F2">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2022.03</w:t>
      </w:r>
    </w:p>
    <w:p w14:paraId="6B4DFC29" w14:textId="15F5CD72" w:rsidR="00C36515" w:rsidRDefault="00C36515" w:rsidP="002D638A">
      <w:pPr>
        <w:pStyle w:val="ListParagraph"/>
        <w:numPr>
          <w:ilvl w:val="0"/>
          <w:numId w:val="4"/>
        </w:numPr>
        <w:tabs>
          <w:tab w:val="right" w:pos="10080"/>
        </w:tabs>
        <w:ind w:left="360"/>
        <w:contextualSpacing w:val="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2021.07</w:t>
      </w:r>
    </w:p>
    <w:p w14:paraId="65388367" w14:textId="4486EFE9"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2021.0</w:t>
      </w:r>
      <w:r w:rsidR="00706B26">
        <w:rPr>
          <w:rFonts w:asciiTheme="minorHAnsi" w:hAnsiTheme="minorHAnsi" w:cstheme="minorHAnsi"/>
        </w:rPr>
        <w:t>3</w:t>
      </w:r>
    </w:p>
    <w:p w14:paraId="4416008D" w14:textId="6222A51E"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w:t>
      </w:r>
      <w:r w:rsidR="00706B26">
        <w:rPr>
          <w:rFonts w:asciiTheme="minorHAnsi" w:hAnsiTheme="minorHAnsi" w:cstheme="minorHAnsi"/>
        </w:rPr>
        <w:t>0</w:t>
      </w:r>
      <w:r>
        <w:rPr>
          <w:rFonts w:asciiTheme="minorHAnsi" w:hAnsiTheme="minorHAnsi" w:cstheme="minorHAnsi"/>
        </w:rPr>
        <w:t>.07</w:t>
      </w:r>
    </w:p>
    <w:p w14:paraId="1B1FFDE9" w14:textId="044E5997"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CIKM Travel Grant</w:t>
      </w:r>
      <w:r w:rsidRPr="00DC0230">
        <w:rPr>
          <w:rFonts w:asciiTheme="minorHAnsi" w:hAnsiTheme="minorHAnsi" w:cstheme="minorHAnsi"/>
        </w:rPr>
        <w:tab/>
      </w:r>
      <w:r>
        <w:rPr>
          <w:rFonts w:asciiTheme="minorHAnsi" w:hAnsiTheme="minorHAnsi" w:cstheme="minorHAnsi"/>
        </w:rPr>
        <w:t>20</w:t>
      </w:r>
      <w:r w:rsidR="00706B26">
        <w:rPr>
          <w:rFonts w:asciiTheme="minorHAnsi" w:hAnsiTheme="minorHAnsi" w:cstheme="minorHAnsi"/>
        </w:rPr>
        <w:t>18</w:t>
      </w:r>
      <w:r>
        <w:rPr>
          <w:rFonts w:asciiTheme="minorHAnsi" w:hAnsiTheme="minorHAnsi" w:cstheme="minorHAnsi"/>
        </w:rPr>
        <w:t>.0</w:t>
      </w:r>
      <w:r w:rsidR="00706B26">
        <w:rPr>
          <w:rFonts w:asciiTheme="minorHAnsi" w:hAnsiTheme="minorHAnsi" w:cstheme="minorHAnsi"/>
        </w:rPr>
        <w:t>9</w:t>
      </w:r>
    </w:p>
    <w:p w14:paraId="3DAF3448" w14:textId="0E5F6ED5" w:rsidR="00C36515" w:rsidRDefault="001751C0"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First Class</w:t>
      </w:r>
      <w:r w:rsidR="00C36515">
        <w:rPr>
          <w:rFonts w:asciiTheme="minorHAnsi" w:hAnsiTheme="minorHAnsi" w:cstheme="minorHAnsi"/>
        </w:rPr>
        <w:t xml:space="preserve"> Scholarship</w:t>
      </w:r>
      <w:r w:rsidR="00B8595D">
        <w:rPr>
          <w:rFonts w:asciiTheme="minorHAnsi" w:hAnsiTheme="minorHAnsi" w:cstheme="minorHAnsi"/>
        </w:rPr>
        <w:t xml:space="preserve"> at</w:t>
      </w:r>
      <w:r w:rsidR="00C36515">
        <w:rPr>
          <w:rFonts w:asciiTheme="minorHAnsi" w:hAnsiTheme="minorHAnsi" w:cstheme="minorHAnsi"/>
        </w:rPr>
        <w:t xml:space="preserve"> Wuhan University</w:t>
      </w:r>
      <w:r w:rsidR="00B8595D">
        <w:rPr>
          <w:rFonts w:asciiTheme="minorHAnsi" w:hAnsiTheme="minorHAnsi" w:cstheme="minorHAnsi"/>
        </w:rPr>
        <w:t xml:space="preserve"> (top 5%</w:t>
      </w:r>
      <w:r w:rsidR="003554C3">
        <w:rPr>
          <w:rFonts w:asciiTheme="minorHAnsi" w:hAnsiTheme="minorHAnsi" w:cstheme="minorHAnsi"/>
        </w:rPr>
        <w:t xml:space="preserve"> students</w:t>
      </w:r>
      <w:r w:rsidR="00B8595D">
        <w:rPr>
          <w:rFonts w:asciiTheme="minorHAnsi" w:hAnsiTheme="minorHAnsi" w:cstheme="minorHAnsi"/>
        </w:rPr>
        <w:t>)</w:t>
      </w:r>
      <w:r w:rsidR="00C36515" w:rsidRPr="00DC0230">
        <w:rPr>
          <w:rFonts w:asciiTheme="minorHAnsi" w:hAnsiTheme="minorHAnsi" w:cstheme="minorHAnsi"/>
        </w:rPr>
        <w:tab/>
      </w:r>
      <w:r w:rsidR="00C36515">
        <w:rPr>
          <w:rFonts w:asciiTheme="minorHAnsi" w:hAnsiTheme="minorHAnsi" w:cstheme="minorHAnsi"/>
        </w:rPr>
        <w:t>20</w:t>
      </w:r>
      <w:r w:rsidR="00706B26">
        <w:rPr>
          <w:rFonts w:asciiTheme="minorHAnsi" w:hAnsiTheme="minorHAnsi" w:cstheme="minorHAnsi"/>
        </w:rPr>
        <w:t>1</w:t>
      </w:r>
      <w:r w:rsidR="00A0616F">
        <w:rPr>
          <w:rFonts w:asciiTheme="minorHAnsi" w:hAnsiTheme="minorHAnsi" w:cstheme="minorHAnsi"/>
        </w:rPr>
        <w:t>5</w:t>
      </w:r>
      <w:r w:rsidR="00C36515">
        <w:rPr>
          <w:rFonts w:asciiTheme="minorHAnsi" w:hAnsiTheme="minorHAnsi" w:cstheme="minorHAnsi"/>
        </w:rPr>
        <w:t>.</w:t>
      </w:r>
      <w:r w:rsidR="00706B26">
        <w:rPr>
          <w:rFonts w:asciiTheme="minorHAnsi" w:hAnsiTheme="minorHAnsi" w:cstheme="minorHAnsi"/>
        </w:rPr>
        <w:t>10</w:t>
      </w:r>
    </w:p>
    <w:p w14:paraId="4014CB64" w14:textId="3563D5E4" w:rsidR="00706B26" w:rsidRPr="00706B26" w:rsidRDefault="00706B26" w:rsidP="00706B26">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National Scholarship</w:t>
      </w:r>
      <w:r w:rsidR="001751C0">
        <w:rPr>
          <w:rFonts w:asciiTheme="minorHAnsi" w:hAnsiTheme="minorHAnsi" w:cstheme="minorHAnsi"/>
        </w:rPr>
        <w:t>, Wuhan University</w:t>
      </w:r>
      <w:r w:rsidR="00D343C5">
        <w:rPr>
          <w:rFonts w:asciiTheme="minorHAnsi" w:hAnsiTheme="minorHAnsi" w:cstheme="minorHAnsi"/>
        </w:rPr>
        <w:t xml:space="preserve"> (top 1% students)</w:t>
      </w:r>
      <w:r w:rsidRPr="00DC0230">
        <w:rPr>
          <w:rFonts w:asciiTheme="minorHAnsi" w:hAnsiTheme="minorHAnsi" w:cstheme="minorHAnsi"/>
        </w:rPr>
        <w:tab/>
      </w:r>
      <w:r>
        <w:rPr>
          <w:rFonts w:asciiTheme="minorHAnsi" w:hAnsiTheme="minorHAnsi" w:cstheme="minorHAnsi"/>
        </w:rPr>
        <w:t>201</w:t>
      </w:r>
      <w:r w:rsidR="00A0616F">
        <w:rPr>
          <w:rFonts w:asciiTheme="minorHAnsi" w:hAnsiTheme="minorHAnsi" w:cstheme="minorHAnsi"/>
        </w:rPr>
        <w:t>4</w:t>
      </w:r>
      <w:r>
        <w:rPr>
          <w:rFonts w:asciiTheme="minorHAnsi" w:hAnsiTheme="minorHAnsi" w:cstheme="minorHAnsi"/>
        </w:rPr>
        <w:t>.10</w:t>
      </w:r>
    </w:p>
    <w:p w14:paraId="6A7EC012" w14:textId="146D1814" w:rsidR="007E174A" w:rsidRPr="00706B26" w:rsidRDefault="007E174A" w:rsidP="007E174A">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Third Class Scholarship at Wuhan University (top 30% students)</w:t>
      </w:r>
      <w:r w:rsidRPr="00DC0230">
        <w:rPr>
          <w:rFonts w:asciiTheme="minorHAnsi" w:hAnsiTheme="minorHAnsi" w:cstheme="minorHAnsi"/>
        </w:rPr>
        <w:tab/>
      </w:r>
      <w:r>
        <w:rPr>
          <w:rFonts w:asciiTheme="minorHAnsi" w:hAnsiTheme="minorHAnsi" w:cstheme="minorHAnsi"/>
        </w:rPr>
        <w:t>201</w:t>
      </w:r>
      <w:r w:rsidR="00953C52">
        <w:rPr>
          <w:rFonts w:asciiTheme="minorHAnsi" w:hAnsiTheme="minorHAnsi" w:cstheme="minorHAnsi"/>
        </w:rPr>
        <w:t>3</w:t>
      </w:r>
      <w:r>
        <w:rPr>
          <w:rFonts w:asciiTheme="minorHAnsi" w:hAnsiTheme="minorHAnsi" w:cstheme="minorHAnsi"/>
        </w:rPr>
        <w:t>.10</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5E8E" w14:textId="77777777" w:rsidR="009275FF" w:rsidRDefault="009275FF" w:rsidP="005A7565">
      <w:r>
        <w:separator/>
      </w:r>
    </w:p>
  </w:endnote>
  <w:endnote w:type="continuationSeparator" w:id="0">
    <w:p w14:paraId="35AD4324" w14:textId="77777777" w:rsidR="009275FF" w:rsidRDefault="009275F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27ED" w14:textId="77777777" w:rsidR="009275FF" w:rsidRDefault="009275FF" w:rsidP="005A7565">
      <w:r>
        <w:separator/>
      </w:r>
    </w:p>
  </w:footnote>
  <w:footnote w:type="continuationSeparator" w:id="0">
    <w:p w14:paraId="6E4EDFEE" w14:textId="77777777" w:rsidR="009275FF" w:rsidRDefault="009275F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4A3B"/>
    <w:rsid w:val="00044F20"/>
    <w:rsid w:val="0004507B"/>
    <w:rsid w:val="00051AA3"/>
    <w:rsid w:val="00052379"/>
    <w:rsid w:val="00061B70"/>
    <w:rsid w:val="00062EA0"/>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76553"/>
    <w:rsid w:val="00283FE2"/>
    <w:rsid w:val="00292655"/>
    <w:rsid w:val="002A1B76"/>
    <w:rsid w:val="002A4979"/>
    <w:rsid w:val="002A6436"/>
    <w:rsid w:val="002B5C85"/>
    <w:rsid w:val="002C16F4"/>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DEA"/>
    <w:rsid w:val="004829B5"/>
    <w:rsid w:val="004853E3"/>
    <w:rsid w:val="004869FB"/>
    <w:rsid w:val="00487D13"/>
    <w:rsid w:val="004A38E8"/>
    <w:rsid w:val="004B4934"/>
    <w:rsid w:val="004B5F1D"/>
    <w:rsid w:val="004B6666"/>
    <w:rsid w:val="004C476B"/>
    <w:rsid w:val="004C4A7A"/>
    <w:rsid w:val="004C7116"/>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84EF7"/>
    <w:rsid w:val="0068627A"/>
    <w:rsid w:val="006A15D1"/>
    <w:rsid w:val="006A1669"/>
    <w:rsid w:val="006A59FA"/>
    <w:rsid w:val="006B0407"/>
    <w:rsid w:val="006B0E02"/>
    <w:rsid w:val="006B1012"/>
    <w:rsid w:val="006C2147"/>
    <w:rsid w:val="006D21F2"/>
    <w:rsid w:val="006D2328"/>
    <w:rsid w:val="006E2A6A"/>
    <w:rsid w:val="006E3164"/>
    <w:rsid w:val="006F2D45"/>
    <w:rsid w:val="006F58B9"/>
    <w:rsid w:val="0070284A"/>
    <w:rsid w:val="00705621"/>
    <w:rsid w:val="00706B26"/>
    <w:rsid w:val="00715812"/>
    <w:rsid w:val="007172AC"/>
    <w:rsid w:val="00726E3E"/>
    <w:rsid w:val="00734807"/>
    <w:rsid w:val="00735F4C"/>
    <w:rsid w:val="00737CCA"/>
    <w:rsid w:val="0074095A"/>
    <w:rsid w:val="00743C1C"/>
    <w:rsid w:val="00745489"/>
    <w:rsid w:val="00767279"/>
    <w:rsid w:val="00767D7C"/>
    <w:rsid w:val="0077137C"/>
    <w:rsid w:val="00773FEB"/>
    <w:rsid w:val="007819BD"/>
    <w:rsid w:val="00790530"/>
    <w:rsid w:val="007957CD"/>
    <w:rsid w:val="007A04FE"/>
    <w:rsid w:val="007A5C1E"/>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4B13"/>
    <w:rsid w:val="00831D4D"/>
    <w:rsid w:val="00837BB1"/>
    <w:rsid w:val="008402B6"/>
    <w:rsid w:val="008428E5"/>
    <w:rsid w:val="008464A1"/>
    <w:rsid w:val="008508BA"/>
    <w:rsid w:val="00850BCA"/>
    <w:rsid w:val="0085234D"/>
    <w:rsid w:val="008524B4"/>
    <w:rsid w:val="008553E7"/>
    <w:rsid w:val="00865044"/>
    <w:rsid w:val="00876066"/>
    <w:rsid w:val="00881BA2"/>
    <w:rsid w:val="00883717"/>
    <w:rsid w:val="00885DEB"/>
    <w:rsid w:val="0089019E"/>
    <w:rsid w:val="008A57C6"/>
    <w:rsid w:val="008A70B5"/>
    <w:rsid w:val="008B362E"/>
    <w:rsid w:val="008D2623"/>
    <w:rsid w:val="008D41CD"/>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7821"/>
    <w:rsid w:val="00F2138F"/>
    <w:rsid w:val="00F23105"/>
    <w:rsid w:val="00F33DF9"/>
    <w:rsid w:val="00F357C6"/>
    <w:rsid w:val="00F376E5"/>
    <w:rsid w:val="00F41E0C"/>
    <w:rsid w:val="00F42D78"/>
    <w:rsid w:val="00F54C46"/>
    <w:rsid w:val="00F61891"/>
    <w:rsid w:val="00F65D40"/>
    <w:rsid w:val="00F71A97"/>
    <w:rsid w:val="00F74D8F"/>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9468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43</cp:revision>
  <cp:lastPrinted>2022-09-19T15:06:00Z</cp:lastPrinted>
  <dcterms:created xsi:type="dcterms:W3CDTF">2022-09-19T15:06:00Z</dcterms:created>
  <dcterms:modified xsi:type="dcterms:W3CDTF">2023-05-15T19:17:00Z</dcterms:modified>
</cp:coreProperties>
</file>