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03E01">
      <w:pPr>
        <w:jc w:val="center"/>
        <w:rPr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函数拟合实验报告</w:t>
      </w:r>
    </w:p>
    <w:p w14:paraId="58AEB3A5"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一、函数定义</w:t>
      </w:r>
    </w:p>
    <w:p w14:paraId="0623724D">
      <w:pPr>
        <w:ind w:firstLine="420" w:firstLineChars="200"/>
        <w:rPr>
          <w:rFonts w:hint="default"/>
        </w:rPr>
      </w:pPr>
      <w:r>
        <w:rPr>
          <w:rFonts w:hint="default"/>
        </w:rPr>
        <w:t>我选择拟合以下复杂函数：</w:t>
      </w:r>
    </w:p>
    <w:p w14:paraId="6269F96B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f(x)=0.5sin(5x)+0.3cos(3x)+0.2</m:t>
          </m:r>
          <m:sSup>
            <m:sSup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−0.1x,x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∈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[−2,2]</m:t>
          </m:r>
        </m:oMath>
      </m:oMathPara>
      <w:r>
        <w:rPr>
          <w:rFonts w:hint="default"/>
        </w:rPr>
        <w:br w:type="textWrapping"/>
      </w:r>
      <w:r>
        <w:rPr>
          <w:rFonts w:hint="default"/>
        </w:rPr>
        <w:t>这个函数具有以下特点：</w:t>
      </w:r>
    </w:p>
    <w:p w14:paraId="5B469557">
      <w:pPr>
        <w:ind w:firstLine="630" w:firstLineChars="300"/>
        <w:rPr>
          <w:rFonts w:hint="eastAsia" w:eastAsiaTheme="minorEastAsia"/>
          <w:lang w:eastAsia="zh-CN"/>
        </w:rPr>
      </w:pPr>
      <w:r>
        <w:rPr>
          <w:rFonts w:hint="default"/>
        </w:rPr>
        <w:t>包含正弦、余弦等非线性成分</w:t>
      </w:r>
      <w:r>
        <w:rPr>
          <w:rFonts w:hint="eastAsia"/>
          <w:lang w:eastAsia="zh-CN"/>
        </w:rPr>
        <w:t>；</w:t>
      </w:r>
    </w:p>
    <w:p w14:paraId="5068531B">
      <w:pPr>
        <w:ind w:firstLine="630" w:firstLineChars="300"/>
        <w:rPr>
          <w:rFonts w:hint="eastAsia" w:eastAsiaTheme="minorEastAsia"/>
          <w:lang w:eastAsia="zh-CN"/>
        </w:rPr>
      </w:pPr>
      <w:r>
        <w:rPr>
          <w:rFonts w:hint="default"/>
        </w:rPr>
        <w:t>包含二次项，具有非周期性特征</w:t>
      </w:r>
      <w:r>
        <w:rPr>
          <w:rFonts w:hint="eastAsia"/>
          <w:lang w:eastAsia="zh-CN"/>
        </w:rPr>
        <w:t>；</w:t>
      </w:r>
    </w:p>
    <w:p w14:paraId="6FBD0D2A">
      <w:pPr>
        <w:ind w:firstLine="630" w:firstLineChars="300"/>
        <w:rPr>
          <w:rFonts w:hint="eastAsia" w:eastAsiaTheme="minorEastAsia"/>
          <w:lang w:eastAsia="zh-CN"/>
        </w:rPr>
      </w:pPr>
      <w:r>
        <w:rPr>
          <w:rFonts w:hint="default"/>
        </w:rPr>
        <w:t>包含线性项，</w:t>
      </w:r>
      <w:r>
        <w:rPr>
          <w:rFonts w:hint="eastAsia"/>
          <w:lang w:val="en-US" w:eastAsia="zh-CN"/>
        </w:rPr>
        <w:t>具有非对称性，</w:t>
      </w:r>
      <w:r>
        <w:rPr>
          <w:rFonts w:hint="default"/>
        </w:rPr>
        <w:t>整体呈现复杂形态</w:t>
      </w:r>
      <w:r>
        <w:rPr>
          <w:rFonts w:hint="eastAsia"/>
          <w:lang w:eastAsia="zh-CN"/>
        </w:rPr>
        <w:t>；</w:t>
      </w:r>
    </w:p>
    <w:p w14:paraId="3E803112">
      <w:pPr>
        <w:ind w:firstLine="630" w:firstLineChars="300"/>
        <w:rPr>
          <w:rFonts w:hint="eastAsia"/>
          <w:lang w:eastAsia="zh-CN"/>
        </w:rPr>
      </w:pPr>
      <w:r>
        <w:rPr>
          <w:rFonts w:hint="default"/>
        </w:rPr>
        <w:t>在定义域[-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, 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]上具有丰富的波形变化</w:t>
      </w:r>
      <w:r>
        <w:rPr>
          <w:rFonts w:hint="eastAsia"/>
          <w:lang w:eastAsia="zh-CN"/>
        </w:rPr>
        <w:t>。</w:t>
      </w:r>
    </w:p>
    <w:p w14:paraId="3D4CE492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因此，该函数具有较高的拟合难度，适合用于验证神经网络的表达能力。</w:t>
      </w:r>
    </w:p>
    <w:p w14:paraId="34EF969F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8"/>
          <w:szCs w:val="36"/>
        </w:rPr>
        <w:t>二、数据采集</w:t>
      </w:r>
    </w:p>
    <w:p w14:paraId="3A07D9F4">
      <w:pPr>
        <w:ind w:firstLine="420" w:firstLineChars="200"/>
        <w:rPr/>
      </w:pPr>
      <w:r>
        <w:t>在区间 ([-2, 2]) 上进行采样，构建训练集和测试集：</w:t>
      </w:r>
    </w:p>
    <w:p w14:paraId="15CAA04E">
      <w:pPr>
        <w:ind w:firstLine="630" w:firstLineChars="300"/>
        <w:rPr/>
      </w:pPr>
      <w:r>
        <w:t>训练集：从区间内随机采样 2000 个点</w:t>
      </w:r>
    </w:p>
    <w:p w14:paraId="1FCA0002">
      <w:pPr>
        <w:ind w:firstLine="630" w:firstLineChars="300"/>
      </w:pPr>
      <w:r>
        <w:t>测试集：均匀采样 500 个点</w:t>
      </w:r>
    </w:p>
    <w:p w14:paraId="5B1E222F">
      <w:pPr>
        <w:rPr/>
      </w:pPr>
      <w:r>
        <w:drawing>
          <wp:inline distT="0" distB="0" distL="114300" distR="114300">
            <wp:extent cx="5273040" cy="123825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EE00">
      <w:pPr>
        <w:rPr/>
      </w:pPr>
      <w:r>
        <w:t>同时，为提高训练稳定性，对数据进行了如下预处理：</w:t>
      </w:r>
    </w:p>
    <w:p w14:paraId="253399DF">
      <w:pPr>
        <w:ind w:firstLine="420" w:firstLineChars="200"/>
        <w:rPr/>
      </w:pPr>
      <w:r>
        <w:t>输入归一化：将 (x) 缩放至 ([-1,1])</w:t>
      </w:r>
    </w:p>
    <w:p w14:paraId="68ED0A83">
      <w:pPr>
        <w:ind w:firstLine="420" w:firstLineChars="200"/>
        <w:rPr>
          <w:rFonts w:hint="eastAsia" w:eastAsiaTheme="minorEastAsia"/>
          <w:lang w:val="en-US" w:eastAsia="zh-CN"/>
        </w:rPr>
      </w:pPr>
      <w:r>
        <w:t>输出归一化：对函数值进行尺度缩放</w:t>
      </w:r>
      <w:r>
        <w:rPr>
          <w:rFonts w:hint="eastAsia"/>
          <w:lang w:eastAsia="zh-CN"/>
        </w:rPr>
        <w:t>。</w:t>
      </w:r>
    </w:p>
    <w:p w14:paraId="0D711E64">
      <w:r>
        <w:drawing>
          <wp:inline distT="0" distB="0" distL="114300" distR="114300">
            <wp:extent cx="5267960" cy="119634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C45F"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三、模型描述</w:t>
      </w:r>
    </w:p>
    <w:p w14:paraId="789CE85C">
      <w:pPr>
        <w:rPr>
          <w:rFonts w:hint="default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</w:t>
      </w:r>
      <w:r>
        <w:rPr>
          <w:rFonts w:hint="default"/>
          <w:b/>
          <w:bCs/>
          <w:sz w:val="24"/>
          <w:szCs w:val="32"/>
        </w:rPr>
        <w:t>.1 网络结构</w:t>
      </w:r>
    </w:p>
    <w:p w14:paraId="401C9B24">
      <w:pPr>
        <w:rPr/>
      </w:pPr>
      <w:r>
        <w:t>本文采用一个多层前馈神经网络，其结构如下：</w:t>
      </w:r>
    </w:p>
    <w:p w14:paraId="24E2489B">
      <w:pPr>
        <w:ind w:firstLine="420" w:firstLineChars="200"/>
        <w:rPr/>
      </w:pPr>
      <w:r>
        <w:t>输入层：1维（输入变量 (x)）</w:t>
      </w:r>
    </w:p>
    <w:p w14:paraId="02D13F51">
      <w:pPr>
        <w:ind w:firstLine="420" w:firstLineChars="200"/>
        <w:rPr/>
      </w:pPr>
      <w:r>
        <w:t>隐藏层1：128个神经元 + ReLU激活函数</w:t>
      </w:r>
    </w:p>
    <w:p w14:paraId="5E1B68F5">
      <w:pPr>
        <w:ind w:firstLine="420" w:firstLineChars="200"/>
        <w:rPr/>
      </w:pPr>
      <w:r>
        <w:t>隐藏层2：128个神经元 + ReLU激活函数</w:t>
      </w:r>
    </w:p>
    <w:p w14:paraId="730FC820">
      <w:pPr>
        <w:ind w:firstLine="420" w:firstLineChars="200"/>
        <w:rPr/>
      </w:pPr>
      <w:r>
        <w:t>输出层：1维</w:t>
      </w:r>
    </w:p>
    <w:p w14:paraId="656158C1">
      <w:r>
        <w:t>此外，为提升模型的拟合能力，引入残差结构：</w:t>
      </w:r>
    </w:p>
    <w:p w14:paraId="2EA9D70B">
      <w:pPr>
        <w:rPr/>
      </w:pPr>
      <m:oMathPara>
        <m:oMath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y</m:t>
              </m:r>
            </m:e>
          </m:acc>
          <m:r>
            <m:rPr/>
            <w:rPr>
              <w:rFonts w:hint="default" w:ascii="Cambria Math"/>
            </w:rPr>
            <m:t>=F(x)+x</m:t>
          </m:r>
        </m:oMath>
      </m:oMathPara>
    </w:p>
    <w:p w14:paraId="17EEA9B1">
      <w:r>
        <w:t>其中F(x)为神经网络输出。</w:t>
      </w:r>
    </w:p>
    <w:p w14:paraId="1F63959E">
      <w:r>
        <w:drawing>
          <wp:inline distT="0" distB="0" distL="114300" distR="114300">
            <wp:extent cx="5269865" cy="1028065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2B2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3.2 参数初始化</w:t>
      </w:r>
    </w:p>
    <w:p w14:paraId="4DB69000">
      <w:pPr>
        <w:ind w:firstLine="420" w:firstLineChars="200"/>
        <w:rPr/>
      </w:pPr>
      <w:r>
        <w:t>采用He初始化方法：</w:t>
      </w:r>
      <w:r>
        <w:rPr/>
        <w:br w:type="textWrapping"/>
      </w:r>
      <m:oMathPara>
        <m:oMath>
          <m:r>
            <m:rPr/>
            <w:rPr>
              <w:rFonts w:hint="default" w:ascii="Cambria Math"/>
            </w:rPr>
            <m:t>W∼</m:t>
          </m:r>
          <m:r>
            <m:rPr>
              <m:scr m:val="script"/>
            </m:rPr>
            <w:rPr>
              <w:rFonts w:hint="default" w:ascii="Cambria Math"/>
            </w:rPr>
            <m:t>N</m:t>
          </m:r>
          <m:r>
            <m:rPr/>
            <w:rPr>
              <w:rFonts w:hint="default" w:ascii="Cambria Math"/>
            </w:rPr>
            <m:t>(0,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2</m:t>
              </m:r>
            </m:num>
            <m:den>
              <m:r>
                <m:rPr/>
                <w:rPr>
                  <w:rFonts w:hint="default" w:ascii="Cambria Math"/>
                </w:rPr>
                <m:t>n</m:t>
              </m:r>
            </m:den>
          </m:f>
          <m:r>
            <m:rPr/>
            <w:rPr>
              <w:rFonts w:hint="default" w:ascii="Cambria Math"/>
            </w:rPr>
            <m:t>)</m:t>
          </m:r>
        </m:oMath>
      </m:oMathPara>
      <w:r>
        <w:t>]</w:t>
      </w:r>
    </w:p>
    <w:p w14:paraId="01EE5EA0">
      <w:pPr>
        <w:rPr/>
      </w:pPr>
      <w:r>
        <w:t>以适应ReLU激活函数，避免梯度消失或爆炸。</w:t>
      </w:r>
    </w:p>
    <w:p w14:paraId="6421DEC1">
      <w:r>
        <w:drawing>
          <wp:inline distT="0" distB="0" distL="114300" distR="114300">
            <wp:extent cx="5267960" cy="144018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0B4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 损失函数</w:t>
      </w:r>
    </w:p>
    <w:p w14:paraId="7A2F5ED4">
      <w:pPr>
        <w:ind w:firstLine="420" w:firstLineChars="200"/>
      </w:pPr>
      <w:r>
        <w:t>采用均方误差（MSE）：</w:t>
      </w:r>
    </w:p>
    <w:p w14:paraId="352942D7">
      <w:pPr>
        <w:rPr/>
      </w:pPr>
      <m:oMathPara>
        <m:oMath>
          <m:r>
            <m:rPr/>
            <w:rPr>
              <w:rFonts w:hint="default" w:ascii="Cambria Math"/>
            </w:rPr>
            <m:t>L=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</m:num>
            <m:den>
              <m:r>
                <m:rPr/>
                <w:rPr>
                  <w:rFonts w:hint="default" w:asci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/>
            <m:sup/>
            <m:e>
              <m:r>
                <m:rPr/>
                <w:rPr>
                  <w:rFonts w:hint="default" w:ascii="Cambria Math"/>
                </w:rPr>
                <m:t>(</m:t>
              </m:r>
            </m:e>
          </m:nary>
          <m:r>
            <m:rPr/>
            <w:rPr>
              <w:rFonts w:hint="default" w:ascii="Cambria Math"/>
            </w:rPr>
            <m:t>y−</m:t>
          </m:r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y</m:t>
              </m:r>
            </m:e>
          </m:acc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)</m:t>
              </m:r>
            </m:e>
            <m:sup>
              <m:r>
                <m:rPr/>
                <w:rPr>
                  <w:rFonts w:hint="default" w:ascii="Cambria Math"/>
                </w:rPr>
                <m:t>2</m:t>
              </m:r>
            </m:sup>
          </m:sSup>
        </m:oMath>
      </m:oMathPara>
    </w:p>
    <w:p w14:paraId="4F9358CB">
      <w:r>
        <w:drawing>
          <wp:inline distT="0" distB="0" distL="114300" distR="114300">
            <wp:extent cx="5268595" cy="71628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6664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</w:t>
      </w:r>
      <w:r>
        <w:rPr>
          <w:rFonts w:hint="default"/>
          <w:b/>
          <w:bCs/>
          <w:sz w:val="28"/>
          <w:szCs w:val="36"/>
        </w:rPr>
        <w:t>、</w:t>
      </w:r>
      <w:r>
        <w:rPr>
          <w:rFonts w:hint="eastAsia"/>
          <w:b/>
          <w:bCs/>
          <w:sz w:val="28"/>
          <w:szCs w:val="36"/>
          <w:lang w:val="en-US" w:eastAsia="zh-CN"/>
        </w:rPr>
        <w:t>实验结果</w:t>
      </w:r>
    </w:p>
    <w:p w14:paraId="27F79983">
      <w:pPr>
        <w:ind w:firstLine="420" w:firstLineChars="200"/>
      </w:pPr>
      <w:r>
        <w:t>采用MSE、MAE和R²作为评价指标</w:t>
      </w:r>
      <w:r>
        <w:rPr>
          <w:rFonts w:hint="eastAsia"/>
          <w:lang w:eastAsia="zh-CN"/>
        </w:rPr>
        <w:t>，</w:t>
      </w:r>
      <w:r>
        <w:t>实验结果如下：</w:t>
      </w:r>
    </w:p>
    <w:p w14:paraId="7650AE4F">
      <w:pPr>
        <w:jc w:val="center"/>
        <w:rPr/>
      </w:pPr>
      <w:r>
        <w:drawing>
          <wp:inline distT="0" distB="0" distL="114300" distR="114300">
            <wp:extent cx="3600450" cy="847725"/>
            <wp:effectExtent l="0" t="0" r="1143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D852">
      <w:pPr>
        <w:rPr>
          <w:rFonts w:hint="eastAsia"/>
          <w:lang w:eastAsia="zh-CN"/>
        </w:rPr>
      </w:pPr>
      <w:r>
        <w:t>结果表明：MSE和MAE较小，说明误差较低</w:t>
      </w:r>
      <w:r>
        <w:rPr>
          <w:rFonts w:hint="eastAsia"/>
          <w:lang w:eastAsia="zh-CN"/>
        </w:rPr>
        <w:t>；</w:t>
      </w:r>
      <w:r>
        <w:t>R²接近1，说明模型具有良好的拟合能力</w:t>
      </w:r>
      <w:r>
        <w:rPr>
          <w:rFonts w:hint="eastAsia"/>
          <w:lang w:eastAsia="zh-CN"/>
        </w:rPr>
        <w:t>。</w:t>
      </w:r>
    </w:p>
    <w:p w14:paraId="55E80AC8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下图是函数拟合效果图，</w:t>
      </w:r>
      <w:r>
        <w:t>从图中可以看出：神经网络预测曲线与真实函数高度重合</w:t>
      </w:r>
      <w:r>
        <w:rPr>
          <w:rFonts w:hint="eastAsia"/>
          <w:lang w:eastAsia="zh-CN"/>
        </w:rPr>
        <w:t>；</w:t>
      </w:r>
      <w:r>
        <w:t>在高频振荡区域仍能保持较高拟合精度</w:t>
      </w:r>
      <w:r>
        <w:rPr>
          <w:rFonts w:hint="eastAsia"/>
          <w:lang w:eastAsia="zh-CN"/>
        </w:rPr>
        <w:t>，</w:t>
      </w:r>
      <w:r>
        <w:t>整体拟合效果良好</w:t>
      </w:r>
      <w:r>
        <w:rPr>
          <w:rFonts w:hint="eastAsia"/>
          <w:lang w:eastAsia="zh-CN"/>
        </w:rPr>
        <w:t>。</w:t>
      </w:r>
    </w:p>
    <w:p w14:paraId="737C74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0600" cy="2999740"/>
            <wp:effectExtent l="0" t="0" r="0" b="0"/>
            <wp:docPr id="7" name="图片 7" descr="Q2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2_result"/>
                    <pic:cNvPicPr>
                      <a:picLocks noChangeAspect="1"/>
                    </pic:cNvPicPr>
                  </pic:nvPicPr>
                  <pic:blipFill>
                    <a:blip r:embed="rId10"/>
                    <a:srcRect l="4503" t="5259" r="4479" b="37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25C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在初始实验中，模型仅在局部区域（如0附近）拟合效果较好，而在区间边界处误差较大。通过分析发现，主要原因包括：ReLU网络为分段线性模型，表达能力有限，输入数据未归一化导致训练不稳定，网络层数不足，难以拟合高频函数</w:t>
      </w:r>
      <w:r>
        <w:rPr>
          <w:rFonts w:hint="eastAsia"/>
          <w:lang w:val="en-US" w:eastAsia="zh-CN"/>
        </w:rPr>
        <w:t>等。</w:t>
      </w:r>
    </w:p>
    <w:p w14:paraId="097A26A2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针对上述问题，</w:t>
      </w:r>
      <w:r>
        <w:rPr>
          <w:rFonts w:hint="eastAsia"/>
          <w:lang w:val="en-US" w:eastAsia="zh-CN"/>
        </w:rPr>
        <w:t>我</w:t>
      </w:r>
      <w:r>
        <w:rPr>
          <w:rFonts w:hint="eastAsia"/>
          <w:lang w:eastAsia="zh-CN"/>
        </w:rPr>
        <w:t>进行了如下优化：对输入输出进行归一化；增加网络深度（两层隐藏层）；引入残差结构；使用Adam优化器。优化后模型在整个区间内均取得了良好的拟合效果。</w:t>
      </w:r>
    </w:p>
    <w:p w14:paraId="55771820">
      <w:p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</w:t>
      </w:r>
      <w:r>
        <w:rPr>
          <w:rFonts w:hint="default"/>
          <w:b/>
          <w:bCs/>
          <w:sz w:val="28"/>
          <w:szCs w:val="36"/>
        </w:rPr>
        <w:t>、</w:t>
      </w:r>
      <w:r>
        <w:rPr>
          <w:rFonts w:hint="eastAsia"/>
          <w:b/>
          <w:bCs/>
          <w:sz w:val="28"/>
          <w:szCs w:val="36"/>
          <w:lang w:val="en-US" w:eastAsia="zh-CN"/>
        </w:rPr>
        <w:t>结论</w:t>
      </w:r>
    </w:p>
    <w:p w14:paraId="1CCF1F3F">
      <w:pPr>
        <w:ind w:firstLine="420" w:firstLineChars="200"/>
        <w:rPr/>
      </w:pPr>
      <w:r>
        <w:t>本文通过构建基于ReLU激活函数的神经网络，实现了对复杂非线性函数的高精度拟合。实验结果表明：</w:t>
      </w:r>
    </w:p>
    <w:p w14:paraId="77749D38">
      <w:pPr>
        <w:ind w:firstLine="630" w:firstLineChars="300"/>
        <w:rPr/>
      </w:pPr>
      <w:r>
        <w:t>多层ReLU网络具有较强的函数逼近能力</w:t>
      </w:r>
    </w:p>
    <w:p w14:paraId="1687FFB1">
      <w:pPr>
        <w:ind w:firstLine="630" w:firstLineChars="300"/>
        <w:rPr/>
      </w:pPr>
      <w:r>
        <w:t>合理的网络结构和优化方法对拟合效果至关重要</w:t>
      </w:r>
    </w:p>
    <w:p w14:paraId="2532E245">
      <w:pPr>
        <w:ind w:firstLine="630" w:firstLineChars="300"/>
        <w:rPr/>
      </w:pPr>
      <w:r>
        <w:t>在适当条件下，神经网络可以逼近任意连续函数</w:t>
      </w:r>
    </w:p>
    <w:p w14:paraId="4D029D18">
      <w:pPr>
        <w:ind w:firstLine="420" w:firstLineChars="200"/>
        <w:rPr/>
      </w:pPr>
      <w:r>
        <w:t>本实验验证了神经网络在函数拟合任务中的有效性</w:t>
      </w:r>
      <w:bookmarkStart w:id="0" w:name="_GoBack"/>
      <w:bookmarkEnd w:id="0"/>
      <w:r>
        <w:t>。</w:t>
      </w:r>
    </w:p>
    <w:p w14:paraId="6006ED6B">
      <w:pPr>
        <w:rPr>
          <w:rFonts w:hint="eastAsia"/>
          <w:lang w:eastAsia="zh-CN"/>
        </w:rPr>
      </w:pPr>
    </w:p>
    <w:p w14:paraId="183249FE">
      <w:pPr>
        <w:rPr>
          <w:rFonts w:hint="eastAsia"/>
          <w:lang w:eastAsia="zh-CN"/>
        </w:rPr>
      </w:pPr>
    </w:p>
    <w:p w14:paraId="1FC8D6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66B73"/>
    <w:rsid w:val="18316485"/>
    <w:rsid w:val="258904E7"/>
    <w:rsid w:val="2D9E13BF"/>
    <w:rsid w:val="741C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</Words>
  <Characters>801</Characters>
  <Lines>0</Lines>
  <Paragraphs>0</Paragraphs>
  <TotalTime>15</TotalTime>
  <ScaleCrop>false</ScaleCrop>
  <LinksUpToDate>false</LinksUpToDate>
  <CharactersWithSpaces>813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2026-03-21T11:09:00Z</dcterms:created>
  <dc:creator>Zzz</dc:creator>
  <cp:lastModifiedBy>张静敏</cp:lastModifiedBy>
  <dcterms:modified xsi:type="dcterms:W3CDTF">2026-03-22T11:50:37Z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eyJoZGlkIjoiY2Y3MjU4YTE0ZmE5ZjQyNTdiMmNhYzkxODY2NzhmM2YiLCJ1c2VySWQiOiI4ODU5Mjg4MTUifQ==</vt:lpwstr>
  </property>
  <property fmtid="{D5CDD505-2E9C-101B-9397-08002B2CF9AE}" pid="4" name="ICV">
    <vt:lpwstr>AFE4254D0A2647B593E786E516DF65D5_12</vt:lpwstr>
  </property>
</Properties>
</file>