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  <w:widowControl/>
        <w:spacing w:line="288" w:lineRule="auto" w:before="0" w:after="20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血常规参数联合C反应蛋白鉴别细菌性与病毒性上呼吸道感染的回顾性分析</w:t>
      </w:r>
    </w:p>
    <w:p>
      <w:pPr>
        <w:keepNext w:val="0"/>
        <w:keepLines w:val="0"/>
        <w:pageBreakBefore w:val="0"/>
        <w:widowControl/>
        <w:spacing w:line="312" w:lineRule="auto" w:before="0" w:after="100"/>
        <w:ind w:firstLine="0"/>
        <w:jc w:val="both"/>
      </w:pPr>
      <w:r>
        <w:rPr>
          <w:rFonts w:ascii="Times New Roman" w:hAnsi="Times New Roman" w:eastAsia="宋体"/>
          <w:sz w:val="21"/>
        </w:rPr>
        <w:t>【摘要】目的  探讨血常规参数联合C反应蛋白（CRP）对细菌性与病毒性上呼吸道感染的辅助鉴别价值。方法  回顾性纳入2024年5月—2025年8月收治的300例上呼吸道感染患者，以病历记录中的最终病原学结论为参照，分为细菌组168例和病毒组132例。比较两组白细胞计数（WBC）、中性粒细胞百分比（NEUT%）、淋巴细胞百分比（LYMPH%）及CRP水平，并依据既有联合判定结果复核诊断效能。结果  细菌组WBC、NEUT%和CRP高于病毒组，LYMPH%低于病毒组，差异均有统计学意义（均P＜0.001）。既有联合判定的准确率、灵敏度和特异度分别为94.00%（282/300，95%置信区间：90.72%～96.17%）、95.24%（160/168，95%置信区间：90.89%～97.57%）和92.42%（122/132，95%置信区间：86.62%～95.83%）。结论  在本组病例及既定判定规则下，血常规参数联合CRP显示出较好的辅助鉴别效能。鉴于联合阈值、病原学平台和外部验证资料缺失，该结果尚不能作为单独决定抗菌治疗的依据，仍需结合临床表现和规范病原学检查解释。</w:t>
      </w:r>
    </w:p>
    <w:p>
      <w:pPr>
        <w:keepNext w:val="0"/>
        <w:keepLines w:val="0"/>
        <w:pageBreakBefore w:val="0"/>
        <w:widowControl/>
        <w:spacing w:line="312" w:lineRule="auto" w:before="0" w:after="160"/>
        <w:ind w:firstLine="0"/>
        <w:jc w:val="both"/>
      </w:pPr>
      <w:r>
        <w:rPr>
          <w:rFonts w:ascii="Times New Roman" w:hAnsi="Times New Roman" w:eastAsia="宋体"/>
          <w:sz w:val="21"/>
        </w:rPr>
        <w:t>【关键词】上呼吸道感染；细菌感染；病毒感染；血常规；C反应蛋白；鉴别诊断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细菌性与病毒性上呼吸道感染常有相似的发热、咽痛和咳嗽表现，仅凭症状作出病原学判断容易产生偏差。病原培养、抗原检测或核酸检测能够提供较直接的病原学证据，但在部分门急诊场景中，检测可及性、周转时间及病原谱覆盖范围仍会限制其即时应用。WBC及白细胞分类计数获取便捷，CRP则反映炎症反应强度；两者均属于宿主反应指标，而非病原体特异性指标[1-2]。因此，临床真正需要回答的并不是某一指标是否“升高”，而是多项指标在明确参照标准下能否提供可重复的增量信息。基于既有病例汇总资料，本研究比较细菌性与病毒性上呼吸道感染患者的WBC、NEUT%、LYMPH%及CRP，并复核原联合判定结果的诊断效能，以评价其适用范围和局限。</w:t>
      </w:r>
    </w:p>
    <w:p>
      <w:pPr>
        <w:keepNext/>
        <w:keepLines w:val="0"/>
        <w:pageBreakBefore w:val="0"/>
        <w:widowControl/>
        <w:spacing w:line="360" w:lineRule="auto" w:before="160" w:after="8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  资料与方法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1.1  研究对象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回顾性收集2024年5月—2025年8月收治的300例上呼吸道感染患者资料。患者年龄3～68岁，平均（35.12±4.26）岁；男158例，女142例；病程1～7 d，平均（3.25±1.05）d。依据病历记录中的最终病原学结论，细菌组168例，病毒组132例。纳入标准：符合上呼吸道感染的临床诊断要求；有发热、咽痛或咳嗽等相关表现；发病时间≤7 d；检测前未自行使用抗菌药物或抗病毒药物；临床及检验资料完整。排除标准：合并下呼吸道或其他部位感染；合并自身免疫性疾病、血液系统疾病或恶性肿瘤；严重肝肾功能不全；近期手术、创伤或明显应激；妊娠期或哺乳期。现有材料仅记载研究遵循医学伦理原则，未载明伦理审查机构、审批编号及知情同意豁免情况，正式投稿前须依据原始伦理文件补录。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1.2  检测方法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采集外周静脉血2 mL，按检测项目要求分样。WBC、NEUT%和LYMPH%使用全自动血细胞分析仪（深圳市迈瑞生物医疗电子股份有限公司，BC-5385CRP）测定；CRP按现有资料记载采用干式免疫荧光法测定。原始材料列示的参考范围为WBC 4.0～10.0×10⁹/L、NEUT% 50%～70%、LYMPH% 20%～40%、CRP 0～10 mg/L。由于研究对象包含未成年人，结果解释原则上应采用本实验室经验证且与年龄、样本类型及检测系统相匹配的参考区间[2]。现有资料未提供CRP试剂厂家、批号、分析性能及室间质量评价结果，相关信息需在投稿前从检验系统原始记录中核实。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1.3  参照标准与联合判定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以病历中的最终病原学检测结论作为参照标准：细菌性感染定义为阳性类别，病毒性感染定义为阴性类别。将既有联合判定结果与参照标准逐例对照，获得真阳性、假阳性、真阴性和假阴性例数。现有资料未记录病原学检测平台、采样部位、试剂信息以及联合判定的变量权重和阈值，故本研究仅对已形成的分组和效能结果进行复核，不补设缺乏原始依据的判定规则。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1.4  观察指标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观察两组WBC、NEUT%、LYMPH%和CRP水平。联合判定效能以准确率、灵敏度、特异度、阳性预测值和阴性预测值表示。准确率=（真阳性+真阴性）/总例数×100%；灵敏度=真阳性/细菌性感染例数×100%；特异度=真阴性/病毒性感染例数×100%；阳性预测值=真阳性/联合判定为细菌性感染例数×100%；阴性预测值=真阴性/联合判定为病毒性感染例数×100%。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1.5  统计学方法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采用SPSS 22.0进行统计分析。计量资料以均值±标准差表示；依据现有汇总数据，组间比较采用合并方差的两独立样本t检验。计数资料以例数和百分比表示，诊断效能的95%置信区间采用威尔逊法计算。检验均为双侧，P＜0.05为差异有统计学意义。因病例级数据不可得，本研究无法重新检验正态性、方差齐性、异常值及缺失数据处理过程。</w:t>
      </w:r>
    </w:p>
    <w:p>
      <w:pPr>
        <w:keepNext/>
        <w:keepLines w:val="0"/>
        <w:pageBreakBefore w:val="0"/>
        <w:widowControl/>
        <w:spacing w:line="360" w:lineRule="auto" w:before="160" w:after="8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2  结果</w:t>
      </w:r>
    </w:p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2.1  两组血常规参数及CRP水平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细菌组WBC、NEUT%和CRP均高于病毒组，LYMPH%低于病毒组。按汇总数据复核，四项指标的组间差异均达到统计学显著水平（均P＜0.001），见表1。</w:t>
      </w:r>
    </w:p>
    <w:p>
      <w:pPr>
        <w:keepNext/>
        <w:keepLines w:val="0"/>
        <w:pageBreakBefore w:val="0"/>
        <w:widowControl/>
        <w:spacing w:line="360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20"/>
        </w:rPr>
        <w:t>表1  两组血常规参数及CRP水平比较（均值±标准差）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1100"/>
        <w:gridCol w:w="520"/>
        <w:gridCol w:w="1750"/>
        <w:gridCol w:w="1500"/>
        <w:gridCol w:w="1550"/>
        <w:gridCol w:w="1880"/>
      </w:tblGrid>
      <w:tr>
        <w:trPr>
          <w:tblHeader w:val="true"/>
          <w:tblHeader w:val="true"/>
        </w:trPr>
        <w:tc>
          <w:tcPr>
            <w:tcW w:type="dxa" w:w="1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感染类型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  <w:tc>
          <w:tcPr>
            <w:tcW w:type="dxa" w:w="17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WBC（×10⁹/L）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NEUT%（%）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LYMPH%（%）</w:t>
            </w:r>
          </w:p>
        </w:tc>
        <w:tc>
          <w:tcPr>
            <w:tcW w:type="dxa" w:w="1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CRP（mg/L）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细菌组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168</w:t>
            </w:r>
          </w:p>
        </w:tc>
        <w:tc>
          <w:tcPr>
            <w:tcW w:type="dxa" w:w="17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13.56±2.12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78.25±5.36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18.36±4.12</w:t>
            </w:r>
          </w:p>
        </w:tc>
        <w:tc>
          <w:tcPr>
            <w:tcW w:type="dxa" w:w="1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35.62±8.56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病毒组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132</w:t>
            </w:r>
          </w:p>
        </w:tc>
        <w:tc>
          <w:tcPr>
            <w:tcW w:type="dxa" w:w="17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6.85±1.53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55.36±4.85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36.52±5.23</w:t>
            </w:r>
          </w:p>
        </w:tc>
        <w:tc>
          <w:tcPr>
            <w:tcW w:type="dxa" w:w="1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6.35±2.12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t值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30.629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38.273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33.644</w:t>
            </w:r>
          </w:p>
        </w:tc>
        <w:tc>
          <w:tcPr>
            <w:tcW w:type="dxa" w:w="1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38.360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P值</w:t>
            </w:r>
          </w:p>
        </w:tc>
        <w:tc>
          <w:tcPr>
            <w:tcW w:type="dxa" w:w="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7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＜0.001</w:t>
            </w:r>
          </w:p>
        </w:tc>
        <w:tc>
          <w:tcPr>
            <w:tcW w:type="dxa" w:w="1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＜0.001</w:t>
            </w:r>
          </w:p>
        </w:tc>
        <w:tc>
          <w:tcPr>
            <w:tcW w:type="dxa" w:w="1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＜0.001</w:t>
            </w:r>
          </w:p>
        </w:tc>
        <w:tc>
          <w:tcPr>
            <w:tcW w:type="dxa" w:w="1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＜0.001</w:t>
            </w:r>
          </w:p>
        </w:tc>
      </w:tr>
    </w:tbl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2.2  联合判定与病原学结果的对应关系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既有联合判定结果中，170例被判为细菌性感染，其中160例与病原学结论一致，10例为假阳性；130例被判为病毒性感染，其中122例与病原学结论一致，8例为假阴性。具体构成见表2。</w:t>
      </w:r>
    </w:p>
    <w:p>
      <w:pPr>
        <w:keepNext/>
        <w:keepLines w:val="0"/>
        <w:pageBreakBefore w:val="0"/>
        <w:widowControl/>
        <w:spacing w:line="360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20"/>
        </w:rPr>
        <w:t>表2  联合判定结果与病原学结论的四格表（例）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000"/>
        <w:gridCol w:w="2300"/>
        <w:gridCol w:w="2300"/>
        <w:gridCol w:w="1700"/>
      </w:tblGrid>
      <w:tr>
        <w:trPr>
          <w:tblHeader w:val="true"/>
          <w:tblHeader w:val="true"/>
        </w:trPr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联合检测结果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病原学：细菌性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病原学：病毒性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细菌性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160（真阳性）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10（假阳性）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170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病毒性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8（假阴性）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122（真阴性）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168</w:t>
            </w:r>
          </w:p>
        </w:tc>
        <w:tc>
          <w:tcPr>
            <w:tcW w:type="dxa" w:w="23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132</w:t>
            </w:r>
          </w:p>
        </w:tc>
        <w:tc>
          <w:tcPr>
            <w:tcW w:type="dxa" w:w="17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300</w:t>
            </w:r>
          </w:p>
        </w:tc>
      </w:tr>
    </w:tbl>
    <w:p>
      <w:pPr>
        <w:keepNext/>
        <w:keepLines w:val="0"/>
        <w:pageBreakBefore w:val="0"/>
        <w:widowControl/>
        <w:spacing w:line="360" w:lineRule="auto" w:before="100" w:after="40"/>
        <w:ind w:firstLine="0"/>
        <w:jc w:val="left"/>
      </w:pPr>
      <w:r>
        <w:rPr>
          <w:rFonts w:ascii="Times New Roman" w:hAnsi="Times New Roman" w:eastAsia="黑体"/>
          <w:b/>
          <w:sz w:val="21"/>
        </w:rPr>
        <w:t>2.3  联合判定的诊断效能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联合判定的准确率为94.00%，灵敏度为95.24%，特异度为92.42%；阳性预测值和阴性预测值分别为94.12%和93.85%。各指标的分子、分母及95%置信区间见表3。</w:t>
      </w:r>
    </w:p>
    <w:p>
      <w:pPr>
        <w:keepNext/>
        <w:keepLines w:val="0"/>
        <w:pageBreakBefore w:val="0"/>
        <w:widowControl/>
        <w:spacing w:line="360" w:lineRule="auto" w:before="100" w:after="60"/>
        <w:ind w:firstLine="0"/>
        <w:jc w:val="center"/>
      </w:pPr>
      <w:r>
        <w:rPr>
          <w:rFonts w:ascii="Times New Roman" w:hAnsi="Times New Roman" w:eastAsia="宋体"/>
          <w:b w:val="0"/>
          <w:sz w:val="20"/>
        </w:rPr>
        <w:t>表3  血常规参数联合CRP的诊断效能</w:t>
      </w:r>
    </w:p>
    <w:tbl>
      <w:tblPr>
        <w:tblW w:type="dxa" w:w="83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100"/>
        <w:gridCol w:w="1800"/>
        <w:gridCol w:w="1900"/>
        <w:gridCol w:w="2500"/>
      </w:tblGrid>
      <w:tr>
        <w:trPr>
          <w:tblHeader w:val="true"/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分子/分母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估计值（%）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95%置信区间（%）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准确率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282/300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94.00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90.72～96.17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灵敏度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160/168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95.24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90.89～97.57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特异度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122/132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92.42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86.62～95.83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阳性预测值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160/170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94.12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89.51～96.77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阴性预测值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122/130</w:t>
            </w:r>
          </w:p>
        </w:tc>
        <w:tc>
          <w:tcPr>
            <w:tcW w:type="dxa" w:w="19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93.85</w:t>
            </w:r>
          </w:p>
        </w:tc>
        <w:tc>
          <w:tcPr>
            <w:tcW w:type="dxa" w:w="25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88.33～96.85</w:t>
            </w:r>
          </w:p>
        </w:tc>
      </w:tr>
    </w:tbl>
    <w:p>
      <w:pPr>
        <w:keepNext/>
        <w:keepLines w:val="0"/>
        <w:pageBreakBefore w:val="0"/>
        <w:widowControl/>
        <w:spacing w:line="360" w:lineRule="auto" w:before="160" w:after="8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  讨论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本组资料中，细菌组的WBC、NEUT%和CRP较高，而LYMPH%较低。这一方向与感染后的宿主反应特征相符：细菌感染可伴中性粒细胞反应增强，病毒感染时外周血细胞构成则受病毒种类、病程阶段和个体免疫状态共同影响。CRP由肝细胞在炎症介质刺激下合成，细菌感染时往往升高更明显，但创伤、自身免疫性炎症及其他非感染因素同样可使其升高[1-2]。上述差异说明这些指标具有分层价值，却不能据此推断其具有病原体特异性。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两组CRP均值分别为（35.62±8.56）mg/L和（6.35±2.12）mg/L，组间差异较大；WBC和白细胞分类也呈一致方向。既往研究同样观察到CRP、WBC或其他炎症指标联合分析能够增加呼吸道感染评估的信息量[3-5]。然而，本研究只有汇总均值和标准差，无法展示个体数值的重叠程度，也不能据此推导最佳截断值。换言之，组间均值差异显著并不等同于单例患者能够被无误分类，临床解释仍需回到具体病程和检测背景。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既有联合判定在本样本中的灵敏度为95.24%，特异度为92.42%，表面上具有较好的区分能力，但其适用边界必须结合研究设计理解。首先，联合规则的阈值及建模过程未被记录，其他机构无法据此复现；其次，效能指标来自同一批病例，未经过独立验证，可能高估真实应用表现；再次，阳性预测值和阴性预测值会随细菌性感染比例改变，本研究结果不能直接移用于病原谱和就诊人群不同的场景。相关随机试验对CRP辅助抗菌药物决策的结果亦不完全一致，提示检测的价值取决于应用流程、阈值设置和临床情境[6-7]。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对首次结果位于重叠区间、症状持续或病情进展的患者，更合理的做法是结合病程复查血常规和CRP，并按临床需要完善抗原、核酸或培养等病原学检查。我国流行性感冒和人偏肺病毒感染诊疗方案均强调结合临床表现、流行病学信息及病原学证据进行诊断[8-9]。因此，血常规与CRP更适合作为快速风险分层的一部分，而不宜被解释为启动、维持或排除抗菌治疗的单一门槛。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本研究存在若干限制。其一，缺少病例级数据，无法核查分布假设、异常值、缺失值及潜在混杂因素；其二，病原学平台、采样部位和联合判定阈值未记录，研究可重复性受限；其三，资料来自单一来源，且未设置内部验证或外部验证；其四，研究对象年龄跨度为3～68岁，未按儿童和成人分层，不同年龄参考区间及免疫反应差异可能影响结果；其五，伦理审批信息及部分试剂质量控制资料缺失。正式投稿前，应依据原始病历、检验信息系统和伦理文件逐项补齐，而不应以推测性内容替代。</w:t>
      </w:r>
    </w:p>
    <w:p>
      <w:pPr>
        <w:keepNext w:val="0"/>
        <w:keepLines w:val="0"/>
        <w:pageBreakBefore w:val="0"/>
        <w:widowControl/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综上，本组细菌性与病毒性上呼吸道感染患者的WBC、NEUT%、LYMPH%及CRP水平存在统计学差异，既有联合判定在本样本中表现出较高的灵敏度和特异度。由于关键阈值和验证信息尚不完整，目前证据仅支持其用于辅助判断和风险分层。后续研究应预先明确病原学参照标准与联合算法，并在年龄分层和独立样本中验证后，再评价其临床推广价值。</w:t>
      </w:r>
    </w:p>
    <w:p>
      <w:pPr>
        <w:keepNext/>
        <w:keepLines w:val="0"/>
        <w:pageBreakBefore w:val="0"/>
        <w:widowControl/>
        <w:spacing w:line="360" w:lineRule="auto" w:before="160" w:after="8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参考文献：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[1] 葛均波，王辰，王建安. 内科学[M]. 10版. 北京：人民卫生出版社，2024.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[2] 中华人民共和国国家卫生健康委员会. WS/T 404.9—2018 临床常用生化检验项目参考区间 第9部分：血清C-反应蛋白、前白蛋白、转铁蛋白、β2-微球蛋白[S]. 2018.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[3] 左晶，陈海鹰. SAA、CRP及血常规检测在急性病毒性呼吸道感染中的临床诊断价值[J]. 生命科学仪器，2025，23（6）：25-27.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[4] 练德峰，王勇. 血清降钙素原、C反应蛋白与白细胞总数联合检测在感染疾病中的诊断应用[J]. 湖北中医杂志，2015，37（11）：18-19.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[5] 张晓敏，陈清勇. 降钙素原、C反应蛋白在社区获得性肺炎细菌感染中的诊断价值[J]. 全科医学临床与教育，2014，12（2）：138-141.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[6] Do N T T, Ta N T D, Tran N T H, et al. Implementation of point-of-care testing of C-reactive protein concentrations to improve antibiotic targeting in respiratory illness in Vietnamese primary care: a pragmatic cluster-randomised controlled trial[J]. Lancet Infectious Diseases, 2023, 23(9): 1085-1094. DOI:10.1016/S1473-3099(23)00125-1.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[7] Jung C, Levy C, Béchet S, et al. Impact of C-reactive protein point-of-care testing on antibiotic prescriptions for children and adults with suspected respiratory tract infections in primary care: a patient-level randomized controlled trial[J]. Clinical Microbiology and Infection, 2024, 30(12): 1553-1558. DOI:10.1016/j.cmi.2024.07.014.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[8] 中华人民共和国国家卫生健康委员会，国家中医药管理局. 流行性感冒诊疗方案（2018年版修订版）[S]. 2018.</w:t>
      </w:r>
    </w:p>
    <w:p>
      <w:pPr>
        <w:keepLines w:val="0"/>
        <w:pageBreakBefore w:val="0"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宋体"/>
          <w:sz w:val="19"/>
        </w:rPr>
        <w:t>[9] 中华人民共和国国家卫生健康委员会，国家中医药局. 人偏肺病毒感染诊疗方案（2023年版）[S]. 2023.</w:t>
      </w:r>
    </w:p>
    <w:sectPr w:rsidR="00FC693F" w:rsidRPr="0006063C" w:rsidSect="00034616">
      <w:footerReference w:type="default" r:id="rId1"/>
      <w:pgSz w:w="11906" w:h="16838"/>
      <w:pgMar w:top="1417" w:right="1361" w:bottom="1417" w:left="147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血常规参数联合C反应蛋白鉴别细菌性与病毒性上呼吸道感染的回顾性分析</dc:title>
  <dc:subject>血常规参数联合CRP辅助鉴别细菌性与病毒性上呼吸道感染</dc:subject>
  <dc:creator/>
  <cp:keywords>上呼吸道感染; 血常规; C反应蛋白; 细菌感染; 病毒感染</cp:keywords>
  <dc:description>在不补造原始信息的前提下完成学术规范修订。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