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F625B">
      <w:pPr>
        <w:spacing w:after="156" w:afterLines="50"/>
        <w:rPr>
          <w:rFonts w:hint="eastAsia" w:ascii="黑体" w:hAnsi="黑体" w:eastAsia="黑体"/>
          <w:sz w:val="32"/>
          <w:szCs w:val="32"/>
          <w:lang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1-2</w:t>
      </w:r>
    </w:p>
    <w:p w14:paraId="4FB0DD9E">
      <w:pPr>
        <w:spacing w:line="520" w:lineRule="exact"/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长江财产保险股份有限公司</w:t>
      </w:r>
    </w:p>
    <w:p w14:paraId="554BFA9F">
      <w:pPr>
        <w:spacing w:line="520" w:lineRule="exact"/>
        <w:jc w:val="center"/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山东省（不含青岛地区）雇主责任保险附加猝死责任保险（2026）</w:t>
      </w:r>
      <w:r>
        <w:rPr>
          <w:rFonts w:hint="eastAsia" w:ascii="宋体" w:hAnsi="宋体" w:eastAsia="宋体"/>
          <w:b/>
          <w:sz w:val="32"/>
          <w:szCs w:val="32"/>
        </w:rPr>
        <w:t>费率</w:t>
      </w: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表</w:t>
      </w:r>
      <w:bookmarkStart w:id="0" w:name="_GoBack"/>
      <w:bookmarkEnd w:id="0"/>
    </w:p>
    <w:p w14:paraId="332268E9">
      <w:pPr>
        <w:spacing w:after="156" w:afterLines="50"/>
        <w:jc w:val="center"/>
        <w:rPr>
          <w:rFonts w:ascii="宋体" w:hAnsi="宋体" w:eastAsia="宋体" w:cs="Times New Roman"/>
          <w:b/>
          <w:color w:val="000000"/>
          <w:sz w:val="32"/>
          <w:szCs w:val="32"/>
        </w:rPr>
      </w:pPr>
    </w:p>
    <w:p w14:paraId="70121071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ind w:left="-440" w:leftChars="0" w:firstLine="843" w:firstLineChars="400"/>
        <w:jc w:val="left"/>
        <w:textAlignment w:val="auto"/>
        <w:rPr>
          <w:rFonts w:ascii="宋体" w:hAnsi="宋体" w:eastAsia="宋体" w:cs="Calibri"/>
          <w:b/>
          <w:bCs/>
          <w:color w:val="000000"/>
          <w:kern w:val="0"/>
          <w:szCs w:val="21"/>
        </w:rPr>
      </w:pPr>
      <w:r>
        <w:rPr>
          <w:rFonts w:hint="eastAsia" w:ascii="宋体" w:hAnsi="宋体" w:eastAsia="宋体" w:cs="Calibri"/>
          <w:b/>
          <w:bCs/>
          <w:color w:val="000000"/>
          <w:kern w:val="0"/>
          <w:szCs w:val="21"/>
          <w:lang w:val="en-US" w:eastAsia="zh-CN"/>
        </w:rPr>
        <w:t>一、</w:t>
      </w:r>
      <w:r>
        <w:rPr>
          <w:rFonts w:hint="eastAsia" w:ascii="宋体" w:hAnsi="宋体" w:eastAsia="宋体" w:cs="Calibri"/>
          <w:b/>
          <w:bCs/>
          <w:color w:val="000000"/>
          <w:kern w:val="0"/>
          <w:szCs w:val="21"/>
        </w:rPr>
        <w:t>费率计算公式</w:t>
      </w:r>
    </w:p>
    <w:p w14:paraId="61EB5C64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ind w:left="0" w:firstLine="420" w:firstLineChars="200"/>
        <w:jc w:val="left"/>
        <w:textAlignment w:val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每人</w:t>
      </w:r>
      <w:r>
        <w:rPr>
          <w:rFonts w:hint="eastAsia" w:ascii="宋体" w:hAnsi="宋体" w:eastAsia="宋体"/>
        </w:rPr>
        <w:t>保费</w:t>
      </w:r>
      <w:r>
        <w:rPr>
          <w:rFonts w:ascii="宋体" w:hAnsi="宋体" w:eastAsia="宋体"/>
        </w:rPr>
        <w:t>=</w:t>
      </w:r>
      <w:r>
        <w:rPr>
          <w:rFonts w:hint="eastAsia" w:ascii="宋体" w:hAnsi="宋体" w:eastAsia="宋体"/>
          <w:lang w:val="en-US" w:eastAsia="zh-CN"/>
        </w:rPr>
        <w:t>每人猝死责任限额</w:t>
      </w:r>
      <w:r>
        <w:rPr>
          <w:rFonts w:hint="eastAsia" w:ascii="宋体" w:hAnsi="宋体" w:eastAsia="宋体"/>
          <w:szCs w:val="21"/>
        </w:rPr>
        <w:t>×</w:t>
      </w:r>
      <w:r>
        <w:rPr>
          <w:rFonts w:hint="eastAsia" w:ascii="宋体" w:hAnsi="宋体" w:eastAsia="宋体"/>
          <w:szCs w:val="21"/>
          <w:lang w:val="en-US" w:eastAsia="zh-CN"/>
        </w:rPr>
        <w:t>基准费率</w:t>
      </w:r>
      <w:r>
        <w:rPr>
          <w:rFonts w:hint="eastAsia" w:ascii="宋体" w:hAnsi="宋体" w:eastAsia="宋体"/>
          <w:szCs w:val="21"/>
        </w:rPr>
        <w:t>×费率调整系数</w:t>
      </w:r>
    </w:p>
    <w:p w14:paraId="0114EBB1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57" w:afterLines="50" w:afterAutospacing="0" w:line="240" w:lineRule="auto"/>
        <w:ind w:firstLine="422" w:firstLineChars="200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二、基准费率</w:t>
      </w:r>
    </w:p>
    <w:p w14:paraId="3E592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jc w:val="left"/>
        <w:textAlignment w:val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 xml:space="preserve">    0.014%</w:t>
      </w:r>
    </w:p>
    <w:p w14:paraId="3FC9613F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57" w:afterLines="50" w:afterAutospacing="0" w:line="240" w:lineRule="auto"/>
        <w:ind w:leftChars="0" w:firstLine="422" w:firstLineChars="200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三、</w:t>
      </w:r>
      <w:r>
        <w:rPr>
          <w:rFonts w:hint="eastAsia"/>
          <w:b/>
          <w:bCs/>
          <w:sz w:val="21"/>
          <w:szCs w:val="21"/>
        </w:rPr>
        <w:t>费率调整系数</w:t>
      </w:r>
    </w:p>
    <w:p w14:paraId="78EE297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57" w:afterLines="50" w:afterAutospacing="0" w:line="240" w:lineRule="auto"/>
        <w:ind w:leftChars="0" w:firstLine="420" w:firstLineChars="200"/>
        <w:textAlignment w:val="auto"/>
        <w:rPr>
          <w:rFonts w:hint="default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费率调整系数为以下系数之积：</w:t>
      </w:r>
    </w:p>
    <w:p w14:paraId="3F6CE2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1.年龄系数</w:t>
      </w:r>
    </w:p>
    <w:p w14:paraId="387512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157" w:afterLines="50" w:line="240" w:lineRule="auto"/>
        <w:ind w:firstLine="420" w:firstLineChars="200"/>
        <w:jc w:val="left"/>
        <w:textAlignment w:val="auto"/>
        <w:rPr>
          <w:rFonts w:hint="default" w:ascii="宋体" w:hAnsi="宋体" w:eastAsia="宋体"/>
          <w:color w:val="000000"/>
          <w:szCs w:val="21"/>
          <w:lang w:val="en-US" w:eastAsia="zh-CN"/>
        </w:rPr>
      </w:pPr>
      <w:r>
        <w:rPr>
          <w:rFonts w:hint="eastAsia" w:ascii="宋体" w:hAnsi="宋体" w:eastAsia="宋体"/>
          <w:bCs/>
          <w:kern w:val="0"/>
          <w:szCs w:val="21"/>
          <w:lang w:val="en-US" w:eastAsia="zh-CN"/>
        </w:rPr>
        <w:t>根据</w:t>
      </w:r>
      <w:r>
        <w:rPr>
          <w:rFonts w:ascii="宋体" w:hAnsi="宋体" w:eastAsia="宋体"/>
          <w:bCs/>
          <w:kern w:val="0"/>
          <w:szCs w:val="21"/>
        </w:rPr>
        <w:t>赔付经验</w:t>
      </w:r>
      <w:r>
        <w:rPr>
          <w:rFonts w:hint="eastAsia" w:ascii="宋体" w:hAnsi="宋体" w:eastAsia="宋体"/>
          <w:bCs/>
          <w:kern w:val="0"/>
          <w:szCs w:val="21"/>
          <w:lang w:eastAsia="zh-CN"/>
        </w:rPr>
        <w:t>，</w:t>
      </w:r>
      <w:r>
        <w:rPr>
          <w:rFonts w:hint="eastAsia" w:ascii="宋体" w:hAnsi="宋体" w:eastAsia="宋体"/>
          <w:bCs/>
          <w:kern w:val="0"/>
          <w:szCs w:val="21"/>
          <w:lang w:val="en-US" w:eastAsia="zh-CN"/>
        </w:rPr>
        <w:t>年龄越高，事故率相比较高</w:t>
      </w:r>
      <w:r>
        <w:rPr>
          <w:rFonts w:ascii="宋体" w:hAnsi="宋体" w:eastAsia="宋体"/>
          <w:bCs/>
          <w:kern w:val="0"/>
          <w:szCs w:val="21"/>
        </w:rPr>
        <w:t>。</w:t>
      </w:r>
      <w:r>
        <w:rPr>
          <w:rFonts w:hint="eastAsia" w:ascii="宋体" w:hAnsi="宋体" w:eastAsia="宋体"/>
          <w:bCs/>
          <w:kern w:val="0"/>
          <w:szCs w:val="21"/>
          <w:lang w:val="en-US" w:eastAsia="zh-CN"/>
        </w:rPr>
        <w:t>对投保人员年龄占比较高的投保人，</w:t>
      </w:r>
      <w:r>
        <w:rPr>
          <w:rFonts w:ascii="宋体" w:hAnsi="宋体" w:eastAsia="宋体"/>
          <w:bCs/>
          <w:kern w:val="0"/>
          <w:szCs w:val="21"/>
        </w:rPr>
        <w:t>可适当</w:t>
      </w:r>
      <w:r>
        <w:rPr>
          <w:rFonts w:hint="eastAsia" w:ascii="宋体" w:hAnsi="宋体" w:eastAsia="宋体"/>
          <w:bCs/>
          <w:kern w:val="0"/>
          <w:szCs w:val="21"/>
          <w:lang w:val="en-US" w:eastAsia="zh-CN"/>
        </w:rPr>
        <w:t>提高</w:t>
      </w:r>
      <w:r>
        <w:rPr>
          <w:rFonts w:ascii="宋体" w:hAnsi="宋体" w:eastAsia="宋体"/>
          <w:bCs/>
          <w:kern w:val="0"/>
          <w:szCs w:val="21"/>
        </w:rPr>
        <w:t>费率。</w:t>
      </w:r>
    </w:p>
    <w:tbl>
      <w:tblPr>
        <w:tblStyle w:val="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8"/>
        <w:gridCol w:w="2324"/>
      </w:tblGrid>
      <w:tr w14:paraId="3F11A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198" w:type="dxa"/>
            <w:noWrap/>
            <w:vAlign w:val="bottom"/>
          </w:tcPr>
          <w:p w14:paraId="60C644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  <w:t>年龄段（周岁）</w:t>
            </w:r>
          </w:p>
        </w:tc>
        <w:tc>
          <w:tcPr>
            <w:tcW w:w="2324" w:type="dxa"/>
            <w:noWrap/>
            <w:vAlign w:val="bottom"/>
          </w:tcPr>
          <w:p w14:paraId="3C520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  <w:t>调整系数</w:t>
            </w:r>
          </w:p>
        </w:tc>
      </w:tr>
      <w:tr w14:paraId="6713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198" w:type="dxa"/>
            <w:noWrap/>
            <w:vAlign w:val="bottom"/>
          </w:tcPr>
          <w:p w14:paraId="528330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＜</w:t>
            </w:r>
            <w:r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  <w:t>50</w:t>
            </w:r>
          </w:p>
        </w:tc>
        <w:tc>
          <w:tcPr>
            <w:tcW w:w="2324" w:type="dxa"/>
            <w:noWrap/>
            <w:vAlign w:val="bottom"/>
          </w:tcPr>
          <w:p w14:paraId="5D2853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szCs w:val="21"/>
                <w:lang w:val="en-US" w:eastAsia="zh-CN"/>
              </w:rPr>
              <w:t>[1.00,2</w:t>
            </w:r>
            <w:r>
              <w:rPr>
                <w:rFonts w:hint="default" w:ascii="宋体" w:hAnsi="宋体" w:eastAsia="宋体"/>
                <w:bCs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/>
                <w:bCs/>
                <w:szCs w:val="21"/>
                <w:lang w:val="en-US" w:eastAsia="zh-CN"/>
              </w:rPr>
              <w:t>00）</w:t>
            </w:r>
          </w:p>
        </w:tc>
      </w:tr>
      <w:tr w14:paraId="33BD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198" w:type="dxa"/>
            <w:noWrap/>
            <w:vAlign w:val="bottom"/>
          </w:tcPr>
          <w:p w14:paraId="53F9D0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  <w:t>50（含）-65</w:t>
            </w:r>
          </w:p>
        </w:tc>
        <w:tc>
          <w:tcPr>
            <w:tcW w:w="2324" w:type="dxa"/>
            <w:noWrap/>
            <w:vAlign w:val="bottom"/>
          </w:tcPr>
          <w:p w14:paraId="3D1F58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szCs w:val="21"/>
                <w:lang w:val="en-US" w:eastAsia="zh-CN"/>
              </w:rPr>
              <w:t>[2.00,4</w:t>
            </w:r>
            <w:r>
              <w:rPr>
                <w:rFonts w:hint="default" w:ascii="宋体" w:hAnsi="宋体" w:eastAsia="宋体"/>
                <w:bCs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/>
                <w:bCs/>
                <w:szCs w:val="21"/>
                <w:lang w:val="en-US" w:eastAsia="zh-CN"/>
              </w:rPr>
              <w:t>00）</w:t>
            </w:r>
          </w:p>
        </w:tc>
      </w:tr>
      <w:tr w14:paraId="2900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198" w:type="dxa"/>
            <w:noWrap/>
            <w:vAlign w:val="bottom"/>
          </w:tcPr>
          <w:p w14:paraId="5396EA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/>
                <w:color w:val="000000"/>
                <w:szCs w:val="21"/>
                <w:lang w:val="en-US"/>
              </w:rPr>
            </w:pPr>
            <w:r>
              <w:rPr>
                <w:rFonts w:hint="eastAsia" w:ascii="Arial" w:hAnsi="Arial" w:eastAsia="宋体" w:cs="Arial"/>
                <w:color w:val="000000"/>
                <w:sz w:val="18"/>
                <w:szCs w:val="18"/>
                <w:lang w:val="en-US" w:eastAsia="zh-CN"/>
              </w:rPr>
              <w:t>≥</w:t>
            </w:r>
            <w:r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  <w:t>65</w:t>
            </w:r>
          </w:p>
        </w:tc>
        <w:tc>
          <w:tcPr>
            <w:tcW w:w="2324" w:type="dxa"/>
            <w:noWrap/>
            <w:vAlign w:val="bottom"/>
          </w:tcPr>
          <w:p w14:paraId="4CB923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szCs w:val="21"/>
                <w:lang w:val="en-US" w:eastAsia="zh-CN"/>
              </w:rPr>
              <w:t>[4.00,7</w:t>
            </w:r>
            <w:r>
              <w:rPr>
                <w:rFonts w:hint="default" w:ascii="宋体" w:hAnsi="宋体" w:eastAsia="宋体"/>
                <w:bCs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/>
                <w:bCs/>
                <w:szCs w:val="21"/>
                <w:lang w:val="en-US" w:eastAsia="zh-CN"/>
              </w:rPr>
              <w:t>00]</w:t>
            </w:r>
          </w:p>
        </w:tc>
      </w:tr>
    </w:tbl>
    <w:p w14:paraId="17D02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firstLine="420" w:firstLineChars="200"/>
        <w:jc w:val="left"/>
        <w:textAlignment w:val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color w:val="000000"/>
          <w:szCs w:val="21"/>
          <w:lang w:val="en-US" w:eastAsia="zh-CN"/>
        </w:rPr>
        <w:t>注：以投保时雇员的年龄计算，不同年龄段适用于不同的基准费率。</w:t>
      </w:r>
    </w:p>
    <w:p w14:paraId="7879BB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2.岗位调整系数</w:t>
      </w:r>
    </w:p>
    <w:p w14:paraId="1BE65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firstLine="420" w:firstLineChars="200"/>
        <w:jc w:val="left"/>
        <w:textAlignment w:val="auto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bCs/>
          <w:kern w:val="0"/>
          <w:szCs w:val="21"/>
          <w:lang w:val="en-US" w:eastAsia="zh-CN"/>
        </w:rPr>
        <w:t>特殊岗位的工作性质不同，根据</w:t>
      </w:r>
      <w:r>
        <w:rPr>
          <w:rFonts w:ascii="宋体" w:hAnsi="宋体" w:eastAsia="宋体"/>
          <w:bCs/>
          <w:kern w:val="0"/>
          <w:szCs w:val="21"/>
        </w:rPr>
        <w:t>赔付经验</w:t>
      </w:r>
      <w:r>
        <w:rPr>
          <w:rFonts w:hint="eastAsia" w:ascii="宋体" w:hAnsi="宋体" w:eastAsia="宋体"/>
          <w:bCs/>
          <w:kern w:val="0"/>
          <w:szCs w:val="21"/>
          <w:lang w:val="en-US" w:eastAsia="zh-CN"/>
        </w:rPr>
        <w:t>猝死事故率相比较高</w:t>
      </w:r>
      <w:r>
        <w:rPr>
          <w:rFonts w:ascii="宋体" w:hAnsi="宋体" w:eastAsia="宋体"/>
          <w:bCs/>
          <w:kern w:val="0"/>
          <w:szCs w:val="21"/>
        </w:rPr>
        <w:t>。</w:t>
      </w:r>
      <w:r>
        <w:rPr>
          <w:rFonts w:hint="eastAsia" w:ascii="宋体" w:hAnsi="宋体" w:eastAsia="宋体"/>
          <w:bCs/>
          <w:kern w:val="0"/>
          <w:szCs w:val="21"/>
          <w:lang w:val="en-US" w:eastAsia="zh-CN"/>
        </w:rPr>
        <w:t>对特定岗位或职业，</w:t>
      </w:r>
      <w:r>
        <w:rPr>
          <w:rFonts w:ascii="宋体" w:hAnsi="宋体" w:eastAsia="宋体"/>
          <w:bCs/>
          <w:kern w:val="0"/>
          <w:szCs w:val="21"/>
        </w:rPr>
        <w:t>可适当</w:t>
      </w:r>
      <w:r>
        <w:rPr>
          <w:rFonts w:hint="eastAsia" w:ascii="宋体" w:hAnsi="宋体" w:eastAsia="宋体"/>
          <w:bCs/>
          <w:kern w:val="0"/>
          <w:szCs w:val="21"/>
          <w:lang w:val="en-US" w:eastAsia="zh-CN"/>
        </w:rPr>
        <w:t>提高</w:t>
      </w:r>
      <w:r>
        <w:rPr>
          <w:rFonts w:ascii="宋体" w:hAnsi="宋体" w:eastAsia="宋体"/>
          <w:bCs/>
          <w:kern w:val="0"/>
          <w:szCs w:val="21"/>
        </w:rPr>
        <w:t>费率。</w:t>
      </w:r>
    </w:p>
    <w:tbl>
      <w:tblPr>
        <w:tblStyle w:val="5"/>
        <w:tblW w:w="84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6"/>
        <w:gridCol w:w="2276"/>
      </w:tblGrid>
      <w:tr w14:paraId="3AE5B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6206" w:type="dxa"/>
            <w:noWrap/>
            <w:vAlign w:val="center"/>
          </w:tcPr>
          <w:p w14:paraId="30C9C9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岗位调整系数</w:t>
            </w:r>
          </w:p>
        </w:tc>
        <w:tc>
          <w:tcPr>
            <w:tcW w:w="2276" w:type="dxa"/>
            <w:noWrap/>
            <w:vAlign w:val="center"/>
          </w:tcPr>
          <w:p w14:paraId="28B7B7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调整系数</w:t>
            </w:r>
          </w:p>
        </w:tc>
      </w:tr>
      <w:tr w14:paraId="7F47E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6206" w:type="dxa"/>
            <w:noWrap/>
            <w:vAlign w:val="center"/>
          </w:tcPr>
          <w:p w14:paraId="305D9B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保安、保洁、道路清洁</w:t>
            </w:r>
          </w:p>
        </w:tc>
        <w:tc>
          <w:tcPr>
            <w:tcW w:w="2276" w:type="dxa"/>
            <w:noWrap/>
            <w:vAlign w:val="center"/>
          </w:tcPr>
          <w:p w14:paraId="62FD02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Cs/>
                <w:szCs w:val="21"/>
                <w:lang w:val="en-US" w:eastAsia="zh-CN"/>
              </w:rPr>
              <w:t>1.40</w:t>
            </w:r>
          </w:p>
        </w:tc>
      </w:tr>
      <w:tr w14:paraId="2B06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6206" w:type="dxa"/>
            <w:noWrap/>
            <w:vAlign w:val="center"/>
          </w:tcPr>
          <w:p w14:paraId="34BA6D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货车司机</w:t>
            </w:r>
          </w:p>
        </w:tc>
        <w:tc>
          <w:tcPr>
            <w:tcW w:w="2276" w:type="dxa"/>
            <w:noWrap/>
            <w:vAlign w:val="center"/>
          </w:tcPr>
          <w:p w14:paraId="23DE67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Cs/>
                <w:szCs w:val="21"/>
                <w:lang w:val="en-US" w:eastAsia="zh-CN"/>
              </w:rPr>
              <w:t>1.20</w:t>
            </w:r>
          </w:p>
        </w:tc>
      </w:tr>
      <w:tr w14:paraId="76FED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6206" w:type="dxa"/>
            <w:noWrap/>
            <w:vAlign w:val="center"/>
          </w:tcPr>
          <w:p w14:paraId="024EE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  <w:lang w:val="en-US" w:eastAsia="zh-CN"/>
              </w:rPr>
              <w:t>其他</w:t>
            </w:r>
          </w:p>
        </w:tc>
        <w:tc>
          <w:tcPr>
            <w:tcW w:w="2276" w:type="dxa"/>
            <w:noWrap/>
            <w:vAlign w:val="center"/>
          </w:tcPr>
          <w:p w14:paraId="5870BC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7" w:afterLines="50" w:line="240" w:lineRule="auto"/>
              <w:jc w:val="center"/>
              <w:textAlignment w:val="auto"/>
              <w:rPr>
                <w:rFonts w:hint="default" w:ascii="宋体" w:hAns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szCs w:val="21"/>
                <w:lang w:val="en-US" w:eastAsia="zh-CN"/>
              </w:rPr>
              <w:t>1.00</w:t>
            </w:r>
          </w:p>
        </w:tc>
      </w:tr>
    </w:tbl>
    <w:p w14:paraId="0859FA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after="157" w:afterLines="50" w:line="24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34851"/>
    <w:rsid w:val="0034174E"/>
    <w:rsid w:val="008E1990"/>
    <w:rsid w:val="00A734EB"/>
    <w:rsid w:val="00D80FCC"/>
    <w:rsid w:val="012B6D49"/>
    <w:rsid w:val="013F7581"/>
    <w:rsid w:val="01CC46F7"/>
    <w:rsid w:val="01EC0EE8"/>
    <w:rsid w:val="02F81AA2"/>
    <w:rsid w:val="03743E88"/>
    <w:rsid w:val="03BA00E4"/>
    <w:rsid w:val="04051B37"/>
    <w:rsid w:val="0415215D"/>
    <w:rsid w:val="04326046"/>
    <w:rsid w:val="0438778D"/>
    <w:rsid w:val="04505BC5"/>
    <w:rsid w:val="04A00627"/>
    <w:rsid w:val="056A45BF"/>
    <w:rsid w:val="059333E0"/>
    <w:rsid w:val="05993E51"/>
    <w:rsid w:val="06622973"/>
    <w:rsid w:val="066826A6"/>
    <w:rsid w:val="06947544"/>
    <w:rsid w:val="07027DC1"/>
    <w:rsid w:val="07136A51"/>
    <w:rsid w:val="077B09C7"/>
    <w:rsid w:val="079D7506"/>
    <w:rsid w:val="07FA7EE7"/>
    <w:rsid w:val="07FB0C83"/>
    <w:rsid w:val="09595177"/>
    <w:rsid w:val="098125D4"/>
    <w:rsid w:val="09AB1B3A"/>
    <w:rsid w:val="0A121384"/>
    <w:rsid w:val="0A2520BF"/>
    <w:rsid w:val="0A35138E"/>
    <w:rsid w:val="0AD15325"/>
    <w:rsid w:val="0B0E058D"/>
    <w:rsid w:val="0B1C6C18"/>
    <w:rsid w:val="0B4043E1"/>
    <w:rsid w:val="0B406833"/>
    <w:rsid w:val="0B8B010B"/>
    <w:rsid w:val="0C18018D"/>
    <w:rsid w:val="0CB94CDA"/>
    <w:rsid w:val="0D2D1468"/>
    <w:rsid w:val="0D82494C"/>
    <w:rsid w:val="0EC73C32"/>
    <w:rsid w:val="0ED001F8"/>
    <w:rsid w:val="0F021EDC"/>
    <w:rsid w:val="0F126E3C"/>
    <w:rsid w:val="0F42622E"/>
    <w:rsid w:val="10AE3783"/>
    <w:rsid w:val="10E81A4C"/>
    <w:rsid w:val="110907CF"/>
    <w:rsid w:val="11715141"/>
    <w:rsid w:val="126121DE"/>
    <w:rsid w:val="12A1599E"/>
    <w:rsid w:val="12AB798C"/>
    <w:rsid w:val="12BB5EFC"/>
    <w:rsid w:val="12C839D5"/>
    <w:rsid w:val="12C86D9C"/>
    <w:rsid w:val="13156428"/>
    <w:rsid w:val="14A95CFE"/>
    <w:rsid w:val="14AD2021"/>
    <w:rsid w:val="150776A2"/>
    <w:rsid w:val="157061D1"/>
    <w:rsid w:val="173A2910"/>
    <w:rsid w:val="176F5957"/>
    <w:rsid w:val="18135E83"/>
    <w:rsid w:val="18652440"/>
    <w:rsid w:val="18B41F47"/>
    <w:rsid w:val="18B7175E"/>
    <w:rsid w:val="18FE2A25"/>
    <w:rsid w:val="195169D6"/>
    <w:rsid w:val="19C4563F"/>
    <w:rsid w:val="1A3030CA"/>
    <w:rsid w:val="1A4B452A"/>
    <w:rsid w:val="1A640AD3"/>
    <w:rsid w:val="1B5857A0"/>
    <w:rsid w:val="1B640396"/>
    <w:rsid w:val="1B9E10C7"/>
    <w:rsid w:val="1C6759F7"/>
    <w:rsid w:val="1D8316FC"/>
    <w:rsid w:val="1DB30EFE"/>
    <w:rsid w:val="1EC87736"/>
    <w:rsid w:val="1EFE4A01"/>
    <w:rsid w:val="1F0D652D"/>
    <w:rsid w:val="1FFB59B5"/>
    <w:rsid w:val="201D5E11"/>
    <w:rsid w:val="20532576"/>
    <w:rsid w:val="20FA6AF6"/>
    <w:rsid w:val="2197238A"/>
    <w:rsid w:val="21E91A2C"/>
    <w:rsid w:val="221F2997"/>
    <w:rsid w:val="224C42C9"/>
    <w:rsid w:val="22683C48"/>
    <w:rsid w:val="22AF6888"/>
    <w:rsid w:val="23380615"/>
    <w:rsid w:val="23A14D08"/>
    <w:rsid w:val="253C19C4"/>
    <w:rsid w:val="254F705C"/>
    <w:rsid w:val="25516282"/>
    <w:rsid w:val="25F64244"/>
    <w:rsid w:val="25F656AC"/>
    <w:rsid w:val="260A6AD2"/>
    <w:rsid w:val="26225A17"/>
    <w:rsid w:val="264E564D"/>
    <w:rsid w:val="265C0083"/>
    <w:rsid w:val="2696398D"/>
    <w:rsid w:val="27024C9A"/>
    <w:rsid w:val="27066486"/>
    <w:rsid w:val="27307BB6"/>
    <w:rsid w:val="27852CA8"/>
    <w:rsid w:val="27EF421F"/>
    <w:rsid w:val="28FA509F"/>
    <w:rsid w:val="29C10780"/>
    <w:rsid w:val="29E461A5"/>
    <w:rsid w:val="2A5B3F21"/>
    <w:rsid w:val="2A625BEA"/>
    <w:rsid w:val="2B225907"/>
    <w:rsid w:val="2B3B3BF6"/>
    <w:rsid w:val="2B911F6C"/>
    <w:rsid w:val="2BE47D26"/>
    <w:rsid w:val="2BFD3267"/>
    <w:rsid w:val="2DA939FD"/>
    <w:rsid w:val="2DD41FC5"/>
    <w:rsid w:val="2E052EA9"/>
    <w:rsid w:val="2E4E4EB0"/>
    <w:rsid w:val="2F1D3239"/>
    <w:rsid w:val="2F2D1145"/>
    <w:rsid w:val="2F604C9B"/>
    <w:rsid w:val="2F813141"/>
    <w:rsid w:val="2F8E0052"/>
    <w:rsid w:val="30100A29"/>
    <w:rsid w:val="30681AC0"/>
    <w:rsid w:val="30F8561C"/>
    <w:rsid w:val="315E3444"/>
    <w:rsid w:val="31D754C0"/>
    <w:rsid w:val="34B449C3"/>
    <w:rsid w:val="34D62EF6"/>
    <w:rsid w:val="34EB459B"/>
    <w:rsid w:val="36040F66"/>
    <w:rsid w:val="3628697B"/>
    <w:rsid w:val="36701DDD"/>
    <w:rsid w:val="36731BFA"/>
    <w:rsid w:val="3731408B"/>
    <w:rsid w:val="374C11CA"/>
    <w:rsid w:val="38631983"/>
    <w:rsid w:val="389721C4"/>
    <w:rsid w:val="38B8255F"/>
    <w:rsid w:val="39415118"/>
    <w:rsid w:val="394F1184"/>
    <w:rsid w:val="3A062005"/>
    <w:rsid w:val="3A3A1BF6"/>
    <w:rsid w:val="3A556B0D"/>
    <w:rsid w:val="3A5D68AC"/>
    <w:rsid w:val="3A935BEA"/>
    <w:rsid w:val="3AAA43AC"/>
    <w:rsid w:val="3ACE393F"/>
    <w:rsid w:val="3AEC504A"/>
    <w:rsid w:val="3B0151F1"/>
    <w:rsid w:val="3B060247"/>
    <w:rsid w:val="3BB441D7"/>
    <w:rsid w:val="3C0175C1"/>
    <w:rsid w:val="3CAE0A0E"/>
    <w:rsid w:val="3E2D4388"/>
    <w:rsid w:val="3E5F295A"/>
    <w:rsid w:val="3E7C1975"/>
    <w:rsid w:val="3F3C5204"/>
    <w:rsid w:val="3F9523CC"/>
    <w:rsid w:val="3FC0676B"/>
    <w:rsid w:val="3FCA3917"/>
    <w:rsid w:val="3FCF400F"/>
    <w:rsid w:val="3FE0439A"/>
    <w:rsid w:val="3FF34308"/>
    <w:rsid w:val="417F2045"/>
    <w:rsid w:val="41AC00A4"/>
    <w:rsid w:val="42066F32"/>
    <w:rsid w:val="43377704"/>
    <w:rsid w:val="436A1293"/>
    <w:rsid w:val="43A32C83"/>
    <w:rsid w:val="43D05A4D"/>
    <w:rsid w:val="43EE19E4"/>
    <w:rsid w:val="44341081"/>
    <w:rsid w:val="44835CBC"/>
    <w:rsid w:val="448B298D"/>
    <w:rsid w:val="449B2077"/>
    <w:rsid w:val="44A42B26"/>
    <w:rsid w:val="45615589"/>
    <w:rsid w:val="456B0477"/>
    <w:rsid w:val="45C20436"/>
    <w:rsid w:val="45E25049"/>
    <w:rsid w:val="45F24766"/>
    <w:rsid w:val="46114493"/>
    <w:rsid w:val="46150B00"/>
    <w:rsid w:val="46805476"/>
    <w:rsid w:val="46AA29F9"/>
    <w:rsid w:val="477C3EEA"/>
    <w:rsid w:val="47834D0E"/>
    <w:rsid w:val="47881235"/>
    <w:rsid w:val="486B2A28"/>
    <w:rsid w:val="487D5D14"/>
    <w:rsid w:val="48BF11FA"/>
    <w:rsid w:val="49515376"/>
    <w:rsid w:val="49591BD4"/>
    <w:rsid w:val="4A3A12ED"/>
    <w:rsid w:val="4A4E18E1"/>
    <w:rsid w:val="4A8F0250"/>
    <w:rsid w:val="4AEB5D1D"/>
    <w:rsid w:val="4C5E016A"/>
    <w:rsid w:val="4CBD1DD9"/>
    <w:rsid w:val="4CE35027"/>
    <w:rsid w:val="4CFB282F"/>
    <w:rsid w:val="4D3155BA"/>
    <w:rsid w:val="4D3F670D"/>
    <w:rsid w:val="4D402BF7"/>
    <w:rsid w:val="4D5F7A47"/>
    <w:rsid w:val="4D974811"/>
    <w:rsid w:val="4E0E3698"/>
    <w:rsid w:val="4E504424"/>
    <w:rsid w:val="4E567A4B"/>
    <w:rsid w:val="4E6A51BC"/>
    <w:rsid w:val="4E8502AB"/>
    <w:rsid w:val="4F223593"/>
    <w:rsid w:val="4FB44C09"/>
    <w:rsid w:val="502B3419"/>
    <w:rsid w:val="503B3EF4"/>
    <w:rsid w:val="50422E32"/>
    <w:rsid w:val="506C2484"/>
    <w:rsid w:val="508D3027"/>
    <w:rsid w:val="51343C94"/>
    <w:rsid w:val="51813E59"/>
    <w:rsid w:val="519E0730"/>
    <w:rsid w:val="51A0262B"/>
    <w:rsid w:val="51DB5D93"/>
    <w:rsid w:val="51DE0023"/>
    <w:rsid w:val="52863114"/>
    <w:rsid w:val="535B46EA"/>
    <w:rsid w:val="53AA51B7"/>
    <w:rsid w:val="54375298"/>
    <w:rsid w:val="548E12BC"/>
    <w:rsid w:val="55073B10"/>
    <w:rsid w:val="550D52EC"/>
    <w:rsid w:val="55C94D2C"/>
    <w:rsid w:val="561C2871"/>
    <w:rsid w:val="56392F4B"/>
    <w:rsid w:val="568A7A3A"/>
    <w:rsid w:val="56D760FC"/>
    <w:rsid w:val="575309CD"/>
    <w:rsid w:val="578E784C"/>
    <w:rsid w:val="57B45538"/>
    <w:rsid w:val="57D94DCC"/>
    <w:rsid w:val="57E5027F"/>
    <w:rsid w:val="58552EE7"/>
    <w:rsid w:val="589930C4"/>
    <w:rsid w:val="58B91DDD"/>
    <w:rsid w:val="58D76E52"/>
    <w:rsid w:val="590F1E40"/>
    <w:rsid w:val="59283DA0"/>
    <w:rsid w:val="59BB53CD"/>
    <w:rsid w:val="5A4E461A"/>
    <w:rsid w:val="5A504488"/>
    <w:rsid w:val="5B9538AD"/>
    <w:rsid w:val="5BF13BD1"/>
    <w:rsid w:val="5C1901B0"/>
    <w:rsid w:val="5CCC7EB1"/>
    <w:rsid w:val="5D3D0E1C"/>
    <w:rsid w:val="5D921AFD"/>
    <w:rsid w:val="5DA147C9"/>
    <w:rsid w:val="5E2C2F1A"/>
    <w:rsid w:val="605B45EE"/>
    <w:rsid w:val="608C237B"/>
    <w:rsid w:val="60AE7FC0"/>
    <w:rsid w:val="60D30CD1"/>
    <w:rsid w:val="61692AFE"/>
    <w:rsid w:val="617540BD"/>
    <w:rsid w:val="61C72FE9"/>
    <w:rsid w:val="62176E46"/>
    <w:rsid w:val="62412AEB"/>
    <w:rsid w:val="626844EC"/>
    <w:rsid w:val="62AA4372"/>
    <w:rsid w:val="62E20291"/>
    <w:rsid w:val="630820D7"/>
    <w:rsid w:val="63373B3D"/>
    <w:rsid w:val="63E01B4A"/>
    <w:rsid w:val="641D42A0"/>
    <w:rsid w:val="64587B51"/>
    <w:rsid w:val="646D0C8D"/>
    <w:rsid w:val="64720519"/>
    <w:rsid w:val="64834851"/>
    <w:rsid w:val="64854009"/>
    <w:rsid w:val="64F8187F"/>
    <w:rsid w:val="65160254"/>
    <w:rsid w:val="65734CC5"/>
    <w:rsid w:val="65995DEE"/>
    <w:rsid w:val="65C879D0"/>
    <w:rsid w:val="66775074"/>
    <w:rsid w:val="67043377"/>
    <w:rsid w:val="67FC550B"/>
    <w:rsid w:val="68437320"/>
    <w:rsid w:val="684674F9"/>
    <w:rsid w:val="68A9247F"/>
    <w:rsid w:val="68DD52AD"/>
    <w:rsid w:val="69283094"/>
    <w:rsid w:val="69C67CB5"/>
    <w:rsid w:val="6A1B7A63"/>
    <w:rsid w:val="6A5F0092"/>
    <w:rsid w:val="6AB67ADF"/>
    <w:rsid w:val="6AB82D82"/>
    <w:rsid w:val="6ADB389E"/>
    <w:rsid w:val="6B6D0551"/>
    <w:rsid w:val="6B88012A"/>
    <w:rsid w:val="6B897DB5"/>
    <w:rsid w:val="6C0330EC"/>
    <w:rsid w:val="6CD349DF"/>
    <w:rsid w:val="6EA57033"/>
    <w:rsid w:val="6EE419E9"/>
    <w:rsid w:val="6FB25242"/>
    <w:rsid w:val="6FE40ED5"/>
    <w:rsid w:val="70CA39C0"/>
    <w:rsid w:val="71F157A1"/>
    <w:rsid w:val="726F6965"/>
    <w:rsid w:val="72776EBA"/>
    <w:rsid w:val="72845D25"/>
    <w:rsid w:val="73121FA7"/>
    <w:rsid w:val="73AF2CBA"/>
    <w:rsid w:val="73BD6940"/>
    <w:rsid w:val="74335A70"/>
    <w:rsid w:val="747464D1"/>
    <w:rsid w:val="74974E07"/>
    <w:rsid w:val="757A6DAB"/>
    <w:rsid w:val="761C0049"/>
    <w:rsid w:val="763E5D22"/>
    <w:rsid w:val="76632017"/>
    <w:rsid w:val="76745113"/>
    <w:rsid w:val="770466A5"/>
    <w:rsid w:val="77097538"/>
    <w:rsid w:val="77267AD4"/>
    <w:rsid w:val="77A173F7"/>
    <w:rsid w:val="78251A69"/>
    <w:rsid w:val="78292035"/>
    <w:rsid w:val="78AF5921"/>
    <w:rsid w:val="7977324E"/>
    <w:rsid w:val="7A3F6719"/>
    <w:rsid w:val="7A5F2948"/>
    <w:rsid w:val="7B8D265F"/>
    <w:rsid w:val="7B947CAF"/>
    <w:rsid w:val="7BB32481"/>
    <w:rsid w:val="7C8D409F"/>
    <w:rsid w:val="7CB31473"/>
    <w:rsid w:val="7D7267D1"/>
    <w:rsid w:val="7DAE5809"/>
    <w:rsid w:val="7E5157F3"/>
    <w:rsid w:val="7F837487"/>
    <w:rsid w:val="7FE1701F"/>
    <w:rsid w:val="7FF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iPriority="99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5"/>
    <w:basedOn w:val="1"/>
    <w:next w:val="1"/>
    <w:qFormat/>
    <w:uiPriority w:val="0"/>
    <w:pPr>
      <w:keepNext/>
      <w:keepLines/>
      <w:widowControl w:val="0"/>
      <w:tabs>
        <w:tab w:val="left" w:pos="1008"/>
      </w:tabs>
      <w:snapToGrid/>
      <w:spacing w:before="280" w:after="290" w:line="376" w:lineRule="auto"/>
      <w:ind w:left="1008" w:hanging="1008"/>
      <w:jc w:val="both"/>
      <w:textAlignment w:val="baseline"/>
      <w:outlineLvl w:val="4"/>
    </w:pPr>
    <w:rPr>
      <w:rFonts w:ascii="Times New Roman" w:hAnsi="Times New Roman" w:eastAsia="宋体"/>
      <w:b/>
      <w:kern w:val="2"/>
      <w:sz w:val="28"/>
      <w:szCs w:val="20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essage Header"/>
    <w:basedOn w:val="1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307</Words>
  <Characters>361</Characters>
  <Lines>0</Lines>
  <Paragraphs>0</Paragraphs>
  <TotalTime>3</TotalTime>
  <ScaleCrop>false</ScaleCrop>
  <LinksUpToDate>false</LinksUpToDate>
  <CharactersWithSpaces>365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2025-02-20T07:52:00Z</dcterms:created>
  <dc:creator> </dc:creator>
  <cp:lastModifiedBy>WPS_1657511633</cp:lastModifiedBy>
  <dcterms:modified xsi:type="dcterms:W3CDTF">2026-03-26T06:31:08Z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8F197D4FA6D84015AA18914877EE3FB0</vt:lpwstr>
  </property>
  <property fmtid="{D5CDD505-2E9C-101B-9397-08002B2CF9AE}" pid="4" name="KSOTemplateDocerSaveRecord">
    <vt:lpwstr>eyJoZGlkIjoiN2MwNWYwZWQwMGFjNmI1OTUwODdiOGIyMTkyN2M5ZDkiLCJ1c2VySWQiOiIxMzkxNzIwMjU1In0=</vt:lpwstr>
  </property>
</Properties>
</file>