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40826">
      <w:pPr>
        <w:pStyle w:val="5"/>
        <w:jc w:val="left"/>
        <w:rPr>
          <w:rFonts w:hint="eastAsia" w:ascii="黑体" w:hAnsi="黑体" w:eastAsia="黑体"/>
          <w:b w:val="0"/>
          <w:lang w:eastAsia="zh-CN"/>
        </w:rPr>
      </w:pPr>
      <w:r>
        <w:rPr>
          <w:rFonts w:hint="eastAsia" w:ascii="黑体" w:hAnsi="黑体" w:eastAsia="黑体"/>
          <w:b w:val="0"/>
        </w:rPr>
        <w:t>附件</w:t>
      </w:r>
      <w:r>
        <w:rPr>
          <w:rFonts w:hint="eastAsia" w:ascii="黑体" w:hAnsi="黑体" w:eastAsia="黑体"/>
          <w:b w:val="0"/>
          <w:lang w:val="en-US" w:eastAsia="zh-CN"/>
        </w:rPr>
        <w:t>2</w:t>
      </w:r>
    </w:p>
    <w:p w14:paraId="001362EB">
      <w:pPr>
        <w:spacing w:line="520" w:lineRule="exact"/>
        <w:jc w:val="center"/>
        <w:rPr>
          <w:rFonts w:hint="eastAsia" w:ascii="宋体" w:hAnsi="宋体" w:eastAsia="宋体" w:cstheme="minorBidi"/>
          <w:b/>
          <w:sz w:val="32"/>
          <w:szCs w:val="32"/>
        </w:rPr>
      </w:pPr>
      <w:r>
        <w:rPr>
          <w:rFonts w:hint="eastAsia" w:ascii="宋体" w:hAnsi="宋体" w:eastAsia="宋体" w:cstheme="minorBidi"/>
          <w:b/>
          <w:sz w:val="32"/>
          <w:szCs w:val="32"/>
        </w:rPr>
        <w:t>长江财产保险股份有限公司</w:t>
      </w:r>
    </w:p>
    <w:p w14:paraId="05CA7AA3">
      <w:pPr>
        <w:spacing w:line="520" w:lineRule="exact"/>
        <w:jc w:val="center"/>
        <w:rPr>
          <w:rFonts w:hint="eastAsia" w:ascii="宋体" w:hAnsi="宋体" w:eastAsia="宋体" w:cstheme="minorBidi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theme="minorBidi"/>
          <w:b/>
          <w:sz w:val="32"/>
          <w:szCs w:val="32"/>
          <w:lang w:val="en-US" w:eastAsia="zh-CN"/>
        </w:rPr>
        <w:t>山东省（不含青岛地区）雇主责任保险（2026）</w:t>
      </w:r>
    </w:p>
    <w:p w14:paraId="2F39F21E">
      <w:pPr>
        <w:spacing w:line="520" w:lineRule="exact"/>
        <w:jc w:val="center"/>
        <w:rPr>
          <w:rFonts w:hint="eastAsia" w:ascii="宋体" w:hAnsi="宋体" w:eastAsia="宋体" w:cstheme="minorBidi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theme="minorBidi"/>
          <w:b/>
          <w:sz w:val="32"/>
          <w:szCs w:val="32"/>
          <w:lang w:val="en-US" w:eastAsia="zh-CN"/>
        </w:rPr>
        <w:t>费率</w:t>
      </w:r>
      <w:r>
        <w:rPr>
          <w:rFonts w:hint="eastAsia" w:ascii="宋体" w:hAnsi="宋体" w:cstheme="minorBidi"/>
          <w:b/>
          <w:sz w:val="32"/>
          <w:szCs w:val="32"/>
          <w:lang w:val="en-US" w:eastAsia="zh-CN"/>
        </w:rPr>
        <w:t>表</w:t>
      </w:r>
    </w:p>
    <w:p w14:paraId="5B2B32C9">
      <w:pPr>
        <w:pStyle w:val="5"/>
        <w:widowControl/>
        <w:adjustRightInd w:val="0"/>
        <w:snapToGrid w:val="0"/>
        <w:rPr>
          <w:rFonts w:hint="eastAsia"/>
          <w:kern w:val="0"/>
          <w:lang w:val="en-US" w:eastAsia="zh-CN"/>
        </w:rPr>
      </w:pPr>
    </w:p>
    <w:p w14:paraId="366867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157" w:afterLines="50" w:line="240" w:lineRule="auto"/>
        <w:ind w:firstLine="422" w:firstLineChars="200"/>
        <w:jc w:val="left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一、费率计算公式</w:t>
      </w:r>
      <w:bookmarkStart w:id="0" w:name="_GoBack"/>
      <w:bookmarkEnd w:id="0"/>
    </w:p>
    <w:p w14:paraId="2EB9A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firstLine="407" w:firstLineChars="194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每人保费=（</w:t>
      </w:r>
      <w:r>
        <w:rPr>
          <w:rFonts w:hint="eastAsia" w:ascii="宋体" w:hAnsi="宋体" w:eastAsia="宋体" w:cs="宋体"/>
          <w:sz w:val="21"/>
          <w:szCs w:val="21"/>
        </w:rPr>
        <w:t>每人死亡伤残责任限额×死亡伤残责任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基准费率+</w:t>
      </w:r>
      <w:r>
        <w:rPr>
          <w:rFonts w:hint="eastAsia" w:ascii="宋体" w:hAnsi="宋体" w:eastAsia="宋体" w:cs="宋体"/>
          <w:sz w:val="21"/>
          <w:szCs w:val="21"/>
        </w:rPr>
        <w:t>医疗费用责任基准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保费</w:t>
      </w:r>
      <w:r>
        <w:rPr>
          <w:rFonts w:hint="eastAsia" w:ascii="宋体" w:hAnsi="宋体" w:eastAsia="宋体" w:cs="宋体"/>
          <w:sz w:val="21"/>
          <w:szCs w:val="21"/>
        </w:rPr>
        <w:t>×每人医疗费用限额系数×每次事故医疗费用免赔系数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+误工费用基准保费）</w:t>
      </w:r>
      <w:r>
        <w:rPr>
          <w:rFonts w:hint="eastAsia" w:ascii="宋体" w:hAnsi="宋体" w:eastAsia="宋体" w:cs="宋体"/>
          <w:sz w:val="21"/>
          <w:szCs w:val="21"/>
        </w:rPr>
        <w:t>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高危岗位系数</w:t>
      </w:r>
      <w:r>
        <w:rPr>
          <w:rFonts w:hint="eastAsia" w:ascii="宋体" w:hAnsi="宋体" w:eastAsia="宋体" w:cs="宋体"/>
          <w:sz w:val="21"/>
          <w:szCs w:val="21"/>
        </w:rPr>
        <w:t>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投保人数系数</w:t>
      </w:r>
      <w:r>
        <w:rPr>
          <w:rFonts w:hint="eastAsia" w:ascii="宋体" w:hAnsi="宋体" w:eastAsia="宋体" w:cs="宋体"/>
          <w:sz w:val="21"/>
          <w:szCs w:val="21"/>
        </w:rPr>
        <w:t>×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lang w:val="en-US" w:eastAsia="zh-CN"/>
        </w:rPr>
        <w:t>高龄人员占比系数</w:t>
      </w:r>
      <w:r>
        <w:rPr>
          <w:rFonts w:hint="eastAsia" w:ascii="宋体" w:hAnsi="宋体" w:eastAsia="宋体" w:cs="宋体"/>
          <w:sz w:val="21"/>
          <w:szCs w:val="21"/>
        </w:rPr>
        <w:t>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历史赔付系数</w:t>
      </w:r>
      <w:r>
        <w:rPr>
          <w:rFonts w:hint="eastAsia" w:ascii="宋体" w:hAnsi="宋体" w:eastAsia="宋体" w:cs="宋体"/>
          <w:sz w:val="21"/>
          <w:szCs w:val="21"/>
        </w:rPr>
        <w:t>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保险期间系数</w:t>
      </w:r>
    </w:p>
    <w:p w14:paraId="28FABF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157" w:afterLines="50" w:line="240" w:lineRule="auto"/>
        <w:ind w:firstLine="422" w:firstLineChars="200"/>
        <w:jc w:val="left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二、基准费率</w:t>
      </w:r>
    </w:p>
    <w:p w14:paraId="1D9A71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157" w:afterLines="50" w:line="240" w:lineRule="auto"/>
        <w:ind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1．死亡伤残责任基准费率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不同职业类别人员使用对应的基准费率</w:t>
      </w:r>
    </w:p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8"/>
        <w:gridCol w:w="3424"/>
      </w:tblGrid>
      <w:tr w14:paraId="16561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98" w:type="dxa"/>
            <w:noWrap/>
            <w:vAlign w:val="bottom"/>
          </w:tcPr>
          <w:p w14:paraId="707E4D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职业类别</w:t>
            </w:r>
          </w:p>
        </w:tc>
        <w:tc>
          <w:tcPr>
            <w:tcW w:w="3424" w:type="dxa"/>
            <w:noWrap/>
            <w:vAlign w:val="center"/>
          </w:tcPr>
          <w:p w14:paraId="46237D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基准费率</w:t>
            </w:r>
          </w:p>
        </w:tc>
      </w:tr>
      <w:tr w14:paraId="35B3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98" w:type="dxa"/>
            <w:noWrap/>
            <w:vAlign w:val="center"/>
          </w:tcPr>
          <w:p w14:paraId="264C5B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一类职业</w:t>
            </w:r>
          </w:p>
        </w:tc>
        <w:tc>
          <w:tcPr>
            <w:tcW w:w="3424" w:type="dxa"/>
            <w:noWrap/>
            <w:vAlign w:val="center"/>
          </w:tcPr>
          <w:p w14:paraId="7C3732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0.28‰</w:t>
            </w:r>
          </w:p>
        </w:tc>
      </w:tr>
      <w:tr w14:paraId="33EA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98" w:type="dxa"/>
            <w:noWrap/>
            <w:vAlign w:val="center"/>
          </w:tcPr>
          <w:p w14:paraId="79E7B5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二类职业</w:t>
            </w:r>
          </w:p>
        </w:tc>
        <w:tc>
          <w:tcPr>
            <w:tcW w:w="3424" w:type="dxa"/>
            <w:noWrap/>
            <w:vAlign w:val="center"/>
          </w:tcPr>
          <w:p w14:paraId="6AB354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0.38‰</w:t>
            </w:r>
          </w:p>
        </w:tc>
      </w:tr>
      <w:tr w14:paraId="296D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98" w:type="dxa"/>
            <w:noWrap/>
            <w:vAlign w:val="center"/>
          </w:tcPr>
          <w:p w14:paraId="698CF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三类职业</w:t>
            </w:r>
          </w:p>
        </w:tc>
        <w:tc>
          <w:tcPr>
            <w:tcW w:w="3424" w:type="dxa"/>
            <w:noWrap/>
            <w:vAlign w:val="center"/>
          </w:tcPr>
          <w:p w14:paraId="1FFF29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0.57‰</w:t>
            </w:r>
          </w:p>
        </w:tc>
      </w:tr>
      <w:tr w14:paraId="24755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98" w:type="dxa"/>
            <w:noWrap/>
            <w:vAlign w:val="center"/>
          </w:tcPr>
          <w:p w14:paraId="16C3E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四类职业</w:t>
            </w:r>
          </w:p>
        </w:tc>
        <w:tc>
          <w:tcPr>
            <w:tcW w:w="3424" w:type="dxa"/>
            <w:noWrap/>
            <w:vAlign w:val="center"/>
          </w:tcPr>
          <w:p w14:paraId="27949B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0.94‰</w:t>
            </w:r>
          </w:p>
        </w:tc>
      </w:tr>
      <w:tr w14:paraId="42CCA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98" w:type="dxa"/>
            <w:noWrap/>
            <w:vAlign w:val="center"/>
          </w:tcPr>
          <w:p w14:paraId="4A31BF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五类职业</w:t>
            </w:r>
          </w:p>
        </w:tc>
        <w:tc>
          <w:tcPr>
            <w:tcW w:w="3424" w:type="dxa"/>
            <w:noWrap/>
            <w:vAlign w:val="center"/>
          </w:tcPr>
          <w:p w14:paraId="1B11EF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1.36‰</w:t>
            </w:r>
          </w:p>
        </w:tc>
      </w:tr>
      <w:tr w14:paraId="5FBE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98" w:type="dxa"/>
            <w:noWrap/>
            <w:vAlign w:val="center"/>
          </w:tcPr>
          <w:p w14:paraId="13B798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六类职业</w:t>
            </w:r>
          </w:p>
        </w:tc>
        <w:tc>
          <w:tcPr>
            <w:tcW w:w="3424" w:type="dxa"/>
            <w:noWrap/>
            <w:vAlign w:val="center"/>
          </w:tcPr>
          <w:p w14:paraId="0BC57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1.79‰</w:t>
            </w:r>
          </w:p>
        </w:tc>
      </w:tr>
    </w:tbl>
    <w:p w14:paraId="3982B1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注：职业类别参照《山东省保险行业协会关于发布&lt;山东省保险行业协会雇主责任险示范条款（试行）&gt;的通知》（鲁保协〔2025〕64号）执行，若该职业分类表更新，则以最新版本为准。</w:t>
      </w:r>
    </w:p>
    <w:p w14:paraId="64169A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157" w:afterLines="50" w:line="240" w:lineRule="auto"/>
        <w:ind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．医疗费用责任基准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保费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不同职业类别人员使用对应的基准保费</w:t>
      </w:r>
    </w:p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6"/>
        <w:gridCol w:w="3436"/>
      </w:tblGrid>
      <w:tr w14:paraId="5F36E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86" w:type="dxa"/>
            <w:noWrap/>
            <w:vAlign w:val="bottom"/>
          </w:tcPr>
          <w:p w14:paraId="32F205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职业类别</w:t>
            </w:r>
          </w:p>
        </w:tc>
        <w:tc>
          <w:tcPr>
            <w:tcW w:w="3436" w:type="dxa"/>
            <w:noWrap/>
            <w:vAlign w:val="center"/>
          </w:tcPr>
          <w:p w14:paraId="1C64C0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每人基准保费（元）</w:t>
            </w:r>
          </w:p>
        </w:tc>
      </w:tr>
      <w:tr w14:paraId="47D51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86" w:type="dxa"/>
            <w:noWrap/>
            <w:vAlign w:val="center"/>
          </w:tcPr>
          <w:p w14:paraId="302131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一类职业</w:t>
            </w:r>
          </w:p>
        </w:tc>
        <w:tc>
          <w:tcPr>
            <w:tcW w:w="3436" w:type="dxa"/>
            <w:noWrap/>
            <w:vAlign w:val="center"/>
          </w:tcPr>
          <w:p w14:paraId="252731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58</w:t>
            </w:r>
          </w:p>
        </w:tc>
      </w:tr>
      <w:tr w14:paraId="289E0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86" w:type="dxa"/>
            <w:noWrap/>
            <w:vAlign w:val="center"/>
          </w:tcPr>
          <w:p w14:paraId="6E61C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二类职业</w:t>
            </w:r>
          </w:p>
        </w:tc>
        <w:tc>
          <w:tcPr>
            <w:tcW w:w="3436" w:type="dxa"/>
            <w:noWrap/>
            <w:vAlign w:val="center"/>
          </w:tcPr>
          <w:p w14:paraId="3C75DD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62</w:t>
            </w:r>
          </w:p>
        </w:tc>
      </w:tr>
      <w:tr w14:paraId="0D47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86" w:type="dxa"/>
            <w:noWrap/>
            <w:vAlign w:val="center"/>
          </w:tcPr>
          <w:p w14:paraId="4FEFC3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三类职业</w:t>
            </w:r>
          </w:p>
        </w:tc>
        <w:tc>
          <w:tcPr>
            <w:tcW w:w="3436" w:type="dxa"/>
            <w:noWrap/>
            <w:vAlign w:val="center"/>
          </w:tcPr>
          <w:p w14:paraId="2FE08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74</w:t>
            </w:r>
          </w:p>
        </w:tc>
      </w:tr>
      <w:tr w14:paraId="5612D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86" w:type="dxa"/>
            <w:noWrap/>
            <w:vAlign w:val="center"/>
          </w:tcPr>
          <w:p w14:paraId="5E511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四类职业</w:t>
            </w:r>
          </w:p>
        </w:tc>
        <w:tc>
          <w:tcPr>
            <w:tcW w:w="3436" w:type="dxa"/>
            <w:noWrap/>
            <w:vAlign w:val="center"/>
          </w:tcPr>
          <w:p w14:paraId="01F853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85</w:t>
            </w:r>
          </w:p>
        </w:tc>
      </w:tr>
      <w:tr w14:paraId="1B131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86" w:type="dxa"/>
            <w:noWrap/>
            <w:vAlign w:val="center"/>
          </w:tcPr>
          <w:p w14:paraId="4EA6F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五类职业</w:t>
            </w:r>
          </w:p>
        </w:tc>
        <w:tc>
          <w:tcPr>
            <w:tcW w:w="3436" w:type="dxa"/>
            <w:noWrap/>
            <w:vAlign w:val="center"/>
          </w:tcPr>
          <w:p w14:paraId="25BE5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107</w:t>
            </w:r>
          </w:p>
        </w:tc>
      </w:tr>
      <w:tr w14:paraId="64724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86" w:type="dxa"/>
            <w:noWrap/>
            <w:vAlign w:val="center"/>
          </w:tcPr>
          <w:p w14:paraId="4CCB54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六类职业</w:t>
            </w:r>
          </w:p>
        </w:tc>
        <w:tc>
          <w:tcPr>
            <w:tcW w:w="3436" w:type="dxa"/>
            <w:noWrap/>
            <w:vAlign w:val="center"/>
          </w:tcPr>
          <w:p w14:paraId="50A2D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135</w:t>
            </w:r>
          </w:p>
        </w:tc>
      </w:tr>
    </w:tbl>
    <w:p w14:paraId="5BC093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注：职业类别参照《山东省保险行业协会关于发布&lt;山东省保险行业协会雇主责任险示范条款（试行）&gt;的通知》（鲁保协〔2025〕64号）执行，若该职业分类表更新，则以最新版本为准。</w:t>
      </w:r>
    </w:p>
    <w:p w14:paraId="09E88F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157" w:afterLines="50" w:line="240" w:lineRule="auto"/>
        <w:ind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．误工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费用</w:t>
      </w:r>
      <w:r>
        <w:rPr>
          <w:rFonts w:hint="eastAsia" w:ascii="宋体" w:hAnsi="宋体" w:eastAsia="宋体" w:cs="宋体"/>
          <w:sz w:val="21"/>
          <w:szCs w:val="21"/>
        </w:rPr>
        <w:t>基准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保费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5元</w:t>
      </w:r>
      <w:r>
        <w:rPr>
          <w:rFonts w:hint="eastAsia" w:ascii="宋体" w:hAnsi="宋体" w:cs="宋体"/>
          <w:sz w:val="21"/>
          <w:szCs w:val="21"/>
          <w:lang w:val="en-US" w:eastAsia="zh-CN"/>
        </w:rPr>
        <w:t>。</w:t>
      </w:r>
    </w:p>
    <w:p w14:paraId="39C321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157" w:afterLines="50" w:line="240" w:lineRule="auto"/>
        <w:ind w:firstLine="422" w:firstLineChars="200"/>
        <w:jc w:val="left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三、费率调整系数</w:t>
      </w:r>
    </w:p>
    <w:p w14:paraId="1C13DC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157" w:afterLines="50" w:line="240" w:lineRule="auto"/>
        <w:ind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每人医疗费用限额系数（仅适用于医疗费用责任）</w:t>
      </w:r>
    </w:p>
    <w:tbl>
      <w:tblPr>
        <w:tblStyle w:val="6"/>
        <w:tblW w:w="85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3458"/>
      </w:tblGrid>
      <w:tr w14:paraId="54239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083" w:type="dxa"/>
            <w:noWrap/>
            <w:vAlign w:val="center"/>
          </w:tcPr>
          <w:p w14:paraId="2BFA95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每人医疗费用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责任限额（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万元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3458" w:type="dxa"/>
            <w:noWrap/>
            <w:vAlign w:val="center"/>
          </w:tcPr>
          <w:p w14:paraId="55254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调整系数</w:t>
            </w:r>
          </w:p>
        </w:tc>
      </w:tr>
      <w:tr w14:paraId="32286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083" w:type="dxa"/>
            <w:noWrap/>
            <w:vAlign w:val="bottom"/>
          </w:tcPr>
          <w:p w14:paraId="67F3E4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</w:rPr>
              <w:t>每人医疗费用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责任限额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0.5</w:t>
            </w:r>
          </w:p>
        </w:tc>
        <w:tc>
          <w:tcPr>
            <w:tcW w:w="3458" w:type="dxa"/>
            <w:noWrap/>
            <w:vAlign w:val="bottom"/>
          </w:tcPr>
          <w:p w14:paraId="3AD577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0.80≤调整系数＜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0.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0</w:t>
            </w:r>
          </w:p>
        </w:tc>
      </w:tr>
      <w:tr w14:paraId="4DF7B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083" w:type="dxa"/>
            <w:noWrap/>
            <w:vAlign w:val="bottom"/>
          </w:tcPr>
          <w:p w14:paraId="6E1CC5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0.5≤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</w:rPr>
              <w:t>每人医疗费用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责任限额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</w:t>
            </w:r>
          </w:p>
        </w:tc>
        <w:tc>
          <w:tcPr>
            <w:tcW w:w="3458" w:type="dxa"/>
            <w:noWrap/>
            <w:vAlign w:val="bottom"/>
          </w:tcPr>
          <w:p w14:paraId="0B93F4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0.90≤调整系数＜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1.00</w:t>
            </w:r>
          </w:p>
        </w:tc>
      </w:tr>
      <w:tr w14:paraId="32B5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083" w:type="dxa"/>
            <w:noWrap/>
            <w:vAlign w:val="bottom"/>
          </w:tcPr>
          <w:p w14:paraId="433179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1≤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</w:rPr>
              <w:t>每人医疗费用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责任限额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2</w:t>
            </w:r>
          </w:p>
        </w:tc>
        <w:tc>
          <w:tcPr>
            <w:tcW w:w="3458" w:type="dxa"/>
            <w:noWrap/>
            <w:vAlign w:val="bottom"/>
          </w:tcPr>
          <w:p w14:paraId="47DA80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1.00≤调整系数＜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1.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35</w:t>
            </w:r>
          </w:p>
        </w:tc>
      </w:tr>
      <w:tr w14:paraId="4779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083" w:type="dxa"/>
            <w:noWrap/>
            <w:vAlign w:val="bottom"/>
          </w:tcPr>
          <w:p w14:paraId="3C9379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2≤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</w:rPr>
              <w:t>每人医疗费用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责任限额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3</w:t>
            </w:r>
          </w:p>
        </w:tc>
        <w:tc>
          <w:tcPr>
            <w:tcW w:w="3458" w:type="dxa"/>
            <w:noWrap/>
            <w:vAlign w:val="bottom"/>
          </w:tcPr>
          <w:p w14:paraId="6C65E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1.35≤调整系数＜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1.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48</w:t>
            </w:r>
          </w:p>
        </w:tc>
      </w:tr>
      <w:tr w14:paraId="44407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083" w:type="dxa"/>
            <w:noWrap/>
            <w:vAlign w:val="bottom"/>
          </w:tcPr>
          <w:p w14:paraId="652D03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3≤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</w:rPr>
              <w:t>每人医疗费用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责任限额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5</w:t>
            </w:r>
          </w:p>
        </w:tc>
        <w:tc>
          <w:tcPr>
            <w:tcW w:w="3458" w:type="dxa"/>
            <w:noWrap/>
            <w:vAlign w:val="bottom"/>
          </w:tcPr>
          <w:p w14:paraId="429AA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1.48≤调整系数＜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1.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60</w:t>
            </w:r>
          </w:p>
        </w:tc>
      </w:tr>
      <w:tr w14:paraId="66DBA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083" w:type="dxa"/>
            <w:noWrap/>
            <w:vAlign w:val="bottom"/>
          </w:tcPr>
          <w:p w14:paraId="1B2314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5≤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</w:rPr>
              <w:t>每人医疗费用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责任限额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/>
              </w:rPr>
              <w:t>8</w:t>
            </w:r>
          </w:p>
        </w:tc>
        <w:tc>
          <w:tcPr>
            <w:tcW w:w="3458" w:type="dxa"/>
            <w:noWrap/>
            <w:vAlign w:val="bottom"/>
          </w:tcPr>
          <w:p w14:paraId="32308B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1.60≤调整系数＜1.78</w:t>
            </w:r>
          </w:p>
        </w:tc>
      </w:tr>
      <w:tr w14:paraId="774EA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083" w:type="dxa"/>
            <w:noWrap/>
            <w:vAlign w:val="bottom"/>
          </w:tcPr>
          <w:p w14:paraId="5D95E6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8≤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</w:rPr>
              <w:t>每人医疗费用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责任限额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10</w:t>
            </w:r>
          </w:p>
        </w:tc>
        <w:tc>
          <w:tcPr>
            <w:tcW w:w="3458" w:type="dxa"/>
            <w:noWrap/>
            <w:vAlign w:val="bottom"/>
          </w:tcPr>
          <w:p w14:paraId="6E155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1.78≤调整系数＜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1.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85</w:t>
            </w:r>
          </w:p>
        </w:tc>
      </w:tr>
      <w:tr w14:paraId="11F0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083" w:type="dxa"/>
            <w:noWrap/>
            <w:vAlign w:val="bottom"/>
          </w:tcPr>
          <w:p w14:paraId="35DC8F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10≤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</w:rPr>
              <w:t>每人医疗费用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责任限额</w:t>
            </w:r>
          </w:p>
        </w:tc>
        <w:tc>
          <w:tcPr>
            <w:tcW w:w="3458" w:type="dxa"/>
            <w:noWrap/>
            <w:vAlign w:val="bottom"/>
          </w:tcPr>
          <w:p w14:paraId="01D9BF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1.85≤调整系数≤2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.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0</w:t>
            </w:r>
          </w:p>
        </w:tc>
      </w:tr>
    </w:tbl>
    <w:p w14:paraId="6F9504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每次事故医疗费用免赔系数（仅适用于医疗费用责任）</w:t>
      </w:r>
    </w:p>
    <w:p w14:paraId="4D3BCC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如设置医疗免赔，降低了赔付金额，可以适当降低保费。</w:t>
      </w:r>
    </w:p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1"/>
        <w:gridCol w:w="3461"/>
      </w:tblGrid>
      <w:tr w14:paraId="71381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61" w:type="dxa"/>
            <w:noWrap/>
            <w:vAlign w:val="bottom"/>
          </w:tcPr>
          <w:p w14:paraId="7BE0F8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每次事故医疗费用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绝对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免赔</w:t>
            </w:r>
          </w:p>
        </w:tc>
        <w:tc>
          <w:tcPr>
            <w:tcW w:w="3461" w:type="dxa"/>
            <w:noWrap/>
            <w:vAlign w:val="center"/>
          </w:tcPr>
          <w:p w14:paraId="140763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调整系数</w:t>
            </w:r>
          </w:p>
        </w:tc>
      </w:tr>
      <w:tr w14:paraId="29679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61" w:type="dxa"/>
            <w:noWrap/>
            <w:vAlign w:val="center"/>
          </w:tcPr>
          <w:p w14:paraId="6FF242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3461" w:type="dxa"/>
            <w:noWrap/>
            <w:vAlign w:val="center"/>
          </w:tcPr>
          <w:p w14:paraId="471DEC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15</w:t>
            </w:r>
          </w:p>
        </w:tc>
      </w:tr>
      <w:tr w14:paraId="41195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61" w:type="dxa"/>
            <w:noWrap/>
            <w:vAlign w:val="center"/>
          </w:tcPr>
          <w:p w14:paraId="2DB1F2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00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元</w:t>
            </w:r>
          </w:p>
        </w:tc>
        <w:tc>
          <w:tcPr>
            <w:tcW w:w="3461" w:type="dxa"/>
            <w:noWrap/>
            <w:vAlign w:val="center"/>
          </w:tcPr>
          <w:p w14:paraId="04FC7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10</w:t>
            </w:r>
          </w:p>
        </w:tc>
      </w:tr>
      <w:tr w14:paraId="58ED4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61" w:type="dxa"/>
            <w:noWrap/>
            <w:vAlign w:val="center"/>
          </w:tcPr>
          <w:p w14:paraId="705BD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200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元后90%赔付</w:t>
            </w:r>
          </w:p>
        </w:tc>
        <w:tc>
          <w:tcPr>
            <w:tcW w:w="3461" w:type="dxa"/>
            <w:noWrap/>
            <w:vAlign w:val="center"/>
          </w:tcPr>
          <w:p w14:paraId="3F88CA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00</w:t>
            </w:r>
          </w:p>
        </w:tc>
      </w:tr>
      <w:tr w14:paraId="433D8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61" w:type="dxa"/>
            <w:noWrap/>
            <w:vAlign w:val="center"/>
          </w:tcPr>
          <w:p w14:paraId="6233D3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200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元后85%赔付</w:t>
            </w:r>
          </w:p>
        </w:tc>
        <w:tc>
          <w:tcPr>
            <w:tcW w:w="3461" w:type="dxa"/>
            <w:noWrap/>
            <w:vAlign w:val="center"/>
          </w:tcPr>
          <w:p w14:paraId="16148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95</w:t>
            </w:r>
          </w:p>
        </w:tc>
      </w:tr>
      <w:tr w14:paraId="53192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61" w:type="dxa"/>
            <w:noWrap/>
            <w:vAlign w:val="center"/>
          </w:tcPr>
          <w:p w14:paraId="2CF758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200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元后80%赔付</w:t>
            </w:r>
          </w:p>
        </w:tc>
        <w:tc>
          <w:tcPr>
            <w:tcW w:w="3461" w:type="dxa"/>
            <w:noWrap/>
            <w:vAlign w:val="center"/>
          </w:tcPr>
          <w:p w14:paraId="6F60C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90</w:t>
            </w:r>
          </w:p>
        </w:tc>
      </w:tr>
      <w:tr w14:paraId="6A8B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5061" w:type="dxa"/>
            <w:noWrap/>
            <w:vAlign w:val="center"/>
          </w:tcPr>
          <w:p w14:paraId="1C68C7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200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元后70%赔付</w:t>
            </w:r>
          </w:p>
        </w:tc>
        <w:tc>
          <w:tcPr>
            <w:tcW w:w="3461" w:type="dxa"/>
            <w:noWrap/>
            <w:vAlign w:val="center"/>
          </w:tcPr>
          <w:p w14:paraId="22D10D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80</w:t>
            </w:r>
          </w:p>
        </w:tc>
      </w:tr>
    </w:tbl>
    <w:p w14:paraId="5BF0AB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注：每次事故医疗费用绝对免赔，是指符合条款中赔偿范围内的医疗费用，在扣除200元后，再按照上述约定比例赔付。</w:t>
      </w:r>
    </w:p>
    <w:p w14:paraId="765CEC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高危岗位系数</w:t>
      </w:r>
    </w:p>
    <w:p w14:paraId="614552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157" w:afterLines="50" w:line="240" w:lineRule="auto"/>
        <w:ind w:firstLine="409" w:firstLineChars="195"/>
        <w:jc w:val="left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高危岗位因</w:t>
      </w:r>
      <w:r>
        <w:rPr>
          <w:rFonts w:hint="eastAsia" w:ascii="宋体" w:hAnsi="宋体" w:eastAsia="宋体" w:cs="宋体"/>
          <w:sz w:val="21"/>
          <w:szCs w:val="21"/>
        </w:rPr>
        <w:t>工作性质、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工艺、</w:t>
      </w:r>
      <w:r>
        <w:rPr>
          <w:rFonts w:hint="eastAsia" w:ascii="宋体" w:hAnsi="宋体" w:eastAsia="宋体" w:cs="宋体"/>
          <w:sz w:val="21"/>
          <w:szCs w:val="21"/>
        </w:rPr>
        <w:t>环境的不同，对员工可能遭受的工伤风险概率有直接影响。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对高危岗位</w:t>
      </w:r>
      <w:r>
        <w:rPr>
          <w:rFonts w:hint="eastAsia" w:ascii="宋体" w:hAnsi="宋体" w:eastAsia="宋体" w:cs="宋体"/>
          <w:sz w:val="21"/>
          <w:szCs w:val="21"/>
        </w:rPr>
        <w:t>适当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提升</w:t>
      </w:r>
      <w:r>
        <w:rPr>
          <w:rFonts w:hint="eastAsia" w:ascii="宋体" w:hAnsi="宋体" w:eastAsia="宋体" w:cs="宋体"/>
          <w:sz w:val="21"/>
          <w:szCs w:val="21"/>
        </w:rPr>
        <w:t>费率。</w:t>
      </w:r>
    </w:p>
    <w:tbl>
      <w:tblPr>
        <w:tblStyle w:val="6"/>
        <w:tblW w:w="8488" w:type="dxa"/>
        <w:tblInd w:w="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0"/>
        <w:gridCol w:w="3438"/>
      </w:tblGrid>
      <w:tr w14:paraId="30085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24A2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岗位名称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52E3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调整系数</w:t>
            </w:r>
          </w:p>
        </w:tc>
      </w:tr>
      <w:tr w14:paraId="41624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4353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搬运、装卸工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C8DB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1.17</w:t>
            </w:r>
          </w:p>
        </w:tc>
      </w:tr>
      <w:tr w14:paraId="6F452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51C2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玻璃、陶瓷、搪瓷制造加工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2EDB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1.25</w:t>
            </w:r>
          </w:p>
        </w:tc>
      </w:tr>
      <w:tr w14:paraId="1EB92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B41F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船舶制造维修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76DC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1.51</w:t>
            </w:r>
          </w:p>
        </w:tc>
      </w:tr>
      <w:tr w14:paraId="73FA9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86ED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打磨抛光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D334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1.30</w:t>
            </w:r>
          </w:p>
        </w:tc>
      </w:tr>
      <w:tr w14:paraId="26208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7AD6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电梯安装维修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A0DB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1.22</w:t>
            </w:r>
          </w:p>
        </w:tc>
      </w:tr>
      <w:tr w14:paraId="581E1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E3C4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电线架设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11F2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1.30</w:t>
            </w:r>
          </w:p>
        </w:tc>
      </w:tr>
      <w:tr w14:paraId="7D86E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51F5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钢骨结构工人、工业安装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1266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1.30</w:t>
            </w:r>
          </w:p>
        </w:tc>
      </w:tr>
      <w:tr w14:paraId="29CF3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21C9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道路清洁工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322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1.25</w:t>
            </w:r>
          </w:p>
        </w:tc>
      </w:tr>
      <w:tr w14:paraId="4459A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615B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井下作业人员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A95E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1.95</w:t>
            </w:r>
          </w:p>
        </w:tc>
      </w:tr>
      <w:tr w14:paraId="5B51E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146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木制品生产加工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522A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1.35</w:t>
            </w:r>
          </w:p>
        </w:tc>
      </w:tr>
      <w:tr w14:paraId="0F0D7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DEF0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采伐及木材初加工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C39F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1.40</w:t>
            </w:r>
          </w:p>
        </w:tc>
      </w:tr>
      <w:tr w14:paraId="287A0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0218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网约配送员(骑手)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0BBC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1.25</w:t>
            </w:r>
          </w:p>
        </w:tc>
      </w:tr>
      <w:tr w14:paraId="41E4F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E40B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石材生产加工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FDDD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1.25</w:t>
            </w:r>
          </w:p>
        </w:tc>
      </w:tr>
      <w:tr w14:paraId="109F3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40EC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筑路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32BE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1.30</w:t>
            </w:r>
          </w:p>
        </w:tc>
      </w:tr>
      <w:tr w14:paraId="4F418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819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砖瓦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CE7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1.45</w:t>
            </w:r>
          </w:p>
        </w:tc>
      </w:tr>
      <w:tr w14:paraId="63468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DBD9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肉制品加工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0B0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1.25</w:t>
            </w:r>
          </w:p>
        </w:tc>
      </w:tr>
      <w:tr w14:paraId="22C25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B8B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营业货车驾驶员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AB4E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1.20</w:t>
            </w:r>
          </w:p>
        </w:tc>
      </w:tr>
      <w:tr w14:paraId="5CA7A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9D09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近海养殖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A08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1.70</w:t>
            </w:r>
          </w:p>
        </w:tc>
      </w:tr>
      <w:tr w14:paraId="6DB11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3617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渔业捕捞</w:t>
            </w:r>
          </w:p>
        </w:tc>
        <w:tc>
          <w:tcPr>
            <w:tcW w:w="3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363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2.55</w:t>
            </w:r>
          </w:p>
        </w:tc>
      </w:tr>
    </w:tbl>
    <w:p w14:paraId="60C45E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．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投保人数系数</w:t>
      </w:r>
    </w:p>
    <w:p w14:paraId="6E4036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157" w:afterLines="50" w:line="240" w:lineRule="auto"/>
        <w:ind w:firstLine="420" w:firstLineChars="200"/>
        <w:jc w:val="left"/>
        <w:rPr>
          <w:rFonts w:hint="eastAsia" w:ascii="宋体" w:hAnsi="宋体" w:eastAsia="宋体" w:cs="宋体"/>
          <w:bCs/>
          <w:color w:val="auto"/>
          <w:kern w:val="0"/>
          <w:sz w:val="21"/>
          <w:szCs w:val="21"/>
        </w:rPr>
      </w:pPr>
      <w:r>
        <w:rPr>
          <w:rFonts w:hint="eastAsia" w:ascii="宋体" w:hAnsi="宋体" w:eastAsia="宋体" w:cs="宋体"/>
          <w:bCs/>
          <w:color w:val="auto"/>
          <w:kern w:val="0"/>
          <w:sz w:val="21"/>
          <w:szCs w:val="21"/>
        </w:rPr>
        <w:t>投保人数规模的大小对赔付经验和费用成本的水平都产生影响。人数规模越大，赔付数据越稳定，数据可信度越高，人均展业成本越低，可适当降低费率；反之亦然。</w:t>
      </w:r>
    </w:p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9"/>
        <w:gridCol w:w="3423"/>
      </w:tblGrid>
      <w:tr w14:paraId="36F6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99" w:type="dxa"/>
            <w:noWrap/>
            <w:vAlign w:val="bottom"/>
          </w:tcPr>
          <w:p w14:paraId="3D5E82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投保人数</w:t>
            </w:r>
          </w:p>
        </w:tc>
        <w:tc>
          <w:tcPr>
            <w:tcW w:w="3423" w:type="dxa"/>
            <w:noWrap/>
            <w:vAlign w:val="bottom"/>
          </w:tcPr>
          <w:p w14:paraId="0837AE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调整系数</w:t>
            </w:r>
          </w:p>
        </w:tc>
      </w:tr>
      <w:tr w14:paraId="09CC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99" w:type="dxa"/>
            <w:noWrap/>
            <w:vAlign w:val="bottom"/>
          </w:tcPr>
          <w:p w14:paraId="54C23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投保人数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10</w:t>
            </w:r>
          </w:p>
        </w:tc>
        <w:tc>
          <w:tcPr>
            <w:tcW w:w="3423" w:type="dxa"/>
            <w:noWrap/>
            <w:vAlign w:val="bottom"/>
          </w:tcPr>
          <w:p w14:paraId="262BC8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1.25≤调整系数≤1.45</w:t>
            </w:r>
          </w:p>
        </w:tc>
      </w:tr>
      <w:tr w14:paraId="6BFD6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99" w:type="dxa"/>
            <w:noWrap/>
            <w:vAlign w:val="bottom"/>
          </w:tcPr>
          <w:p w14:paraId="7E7C9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10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投保人数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50</w:t>
            </w:r>
          </w:p>
        </w:tc>
        <w:tc>
          <w:tcPr>
            <w:tcW w:w="3423" w:type="dxa"/>
            <w:noWrap/>
            <w:vAlign w:val="bottom"/>
          </w:tcPr>
          <w:p w14:paraId="72BF8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1.15≤调整系数＜1.25</w:t>
            </w:r>
          </w:p>
        </w:tc>
      </w:tr>
      <w:tr w14:paraId="24DF5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99" w:type="dxa"/>
            <w:noWrap/>
            <w:vAlign w:val="bottom"/>
          </w:tcPr>
          <w:p w14:paraId="5D4AC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50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投保人数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100</w:t>
            </w:r>
          </w:p>
        </w:tc>
        <w:tc>
          <w:tcPr>
            <w:tcW w:w="3423" w:type="dxa"/>
            <w:noWrap/>
            <w:vAlign w:val="bottom"/>
          </w:tcPr>
          <w:p w14:paraId="5542FC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1.00≤调整系数＜1.15</w:t>
            </w:r>
          </w:p>
        </w:tc>
      </w:tr>
      <w:tr w14:paraId="0E01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99" w:type="dxa"/>
            <w:noWrap/>
            <w:vAlign w:val="bottom"/>
          </w:tcPr>
          <w:p w14:paraId="093CB4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100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投保人数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≤2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00</w:t>
            </w:r>
          </w:p>
        </w:tc>
        <w:tc>
          <w:tcPr>
            <w:tcW w:w="3423" w:type="dxa"/>
            <w:noWrap/>
            <w:vAlign w:val="bottom"/>
          </w:tcPr>
          <w:p w14:paraId="0CC0EF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/>
              </w:rPr>
              <w:t>96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≤调整系数＜1.00</w:t>
            </w:r>
          </w:p>
        </w:tc>
      </w:tr>
      <w:tr w14:paraId="7151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99" w:type="dxa"/>
            <w:noWrap/>
            <w:vAlign w:val="bottom"/>
          </w:tcPr>
          <w:p w14:paraId="7C7665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00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投保人数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≤5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00</w:t>
            </w:r>
          </w:p>
        </w:tc>
        <w:tc>
          <w:tcPr>
            <w:tcW w:w="3423" w:type="dxa"/>
            <w:noWrap/>
            <w:vAlign w:val="bottom"/>
          </w:tcPr>
          <w:p w14:paraId="0A3B1E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/>
              </w:rPr>
              <w:t>92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≤调整系数＜0.96</w:t>
            </w:r>
          </w:p>
        </w:tc>
      </w:tr>
      <w:tr w14:paraId="6B164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99" w:type="dxa"/>
            <w:noWrap/>
            <w:vAlign w:val="bottom"/>
          </w:tcPr>
          <w:p w14:paraId="488C1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500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投保人数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≤1000</w:t>
            </w:r>
          </w:p>
        </w:tc>
        <w:tc>
          <w:tcPr>
            <w:tcW w:w="3423" w:type="dxa"/>
            <w:noWrap/>
            <w:vAlign w:val="bottom"/>
          </w:tcPr>
          <w:p w14:paraId="4070BE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/>
              </w:rPr>
              <w:t>88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≤调整系数＜0.92</w:t>
            </w:r>
          </w:p>
        </w:tc>
      </w:tr>
      <w:tr w14:paraId="2F897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99" w:type="dxa"/>
            <w:noWrap/>
            <w:vAlign w:val="bottom"/>
          </w:tcPr>
          <w:p w14:paraId="27E0D4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1000＜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投保人数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≤3000</w:t>
            </w:r>
          </w:p>
        </w:tc>
        <w:tc>
          <w:tcPr>
            <w:tcW w:w="3423" w:type="dxa"/>
            <w:noWrap/>
            <w:vAlign w:val="bottom"/>
          </w:tcPr>
          <w:p w14:paraId="2594B7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/>
              </w:rPr>
              <w:t>85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≤调整系数＜0.88</w:t>
            </w:r>
          </w:p>
        </w:tc>
      </w:tr>
      <w:tr w14:paraId="679E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99" w:type="dxa"/>
            <w:noWrap/>
            <w:vAlign w:val="bottom"/>
          </w:tcPr>
          <w:p w14:paraId="509C9C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3000＜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投保人数</w:t>
            </w:r>
          </w:p>
        </w:tc>
        <w:tc>
          <w:tcPr>
            <w:tcW w:w="3423" w:type="dxa"/>
            <w:noWrap/>
            <w:vAlign w:val="bottom"/>
          </w:tcPr>
          <w:p w14:paraId="6A638A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/>
              </w:rPr>
              <w:t>70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≤调整系数＜0.85</w:t>
            </w:r>
          </w:p>
        </w:tc>
      </w:tr>
    </w:tbl>
    <w:p w14:paraId="4F504C0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after="157" w:afterLines="50" w:line="240" w:lineRule="auto"/>
        <w:ind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注：投保人数系数采用单张保单投保时实际投保人数计算。</w:t>
      </w:r>
    </w:p>
    <w:p w14:paraId="46DBE8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．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lang w:val="en-US" w:eastAsia="zh-CN"/>
        </w:rPr>
        <w:t>高龄人员占比系数</w:t>
      </w:r>
    </w:p>
    <w:p w14:paraId="4E38C7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157" w:afterLines="50" w:line="240" w:lineRule="auto"/>
        <w:ind w:firstLine="420" w:firstLineChars="200"/>
        <w:jc w:val="left"/>
        <w:rPr>
          <w:rFonts w:hint="eastAsia" w:ascii="宋体" w:hAnsi="宋体" w:eastAsia="宋体" w:cs="宋体"/>
          <w:bCs/>
          <w:kern w:val="0"/>
          <w:sz w:val="21"/>
          <w:szCs w:val="21"/>
        </w:rPr>
      </w:pPr>
      <w:r>
        <w:rPr>
          <w:rFonts w:hint="eastAsia" w:ascii="宋体" w:hAnsi="宋体" w:eastAsia="宋体" w:cs="宋体"/>
          <w:bCs/>
          <w:kern w:val="0"/>
          <w:sz w:val="21"/>
          <w:szCs w:val="21"/>
        </w:rPr>
        <w:t>投保人数</w:t>
      </w:r>
      <w:r>
        <w:rPr>
          <w:rFonts w:hint="eastAsia" w:ascii="宋体" w:hAnsi="宋体" w:eastAsia="宋体" w:cs="宋体"/>
          <w:bCs/>
          <w:kern w:val="0"/>
          <w:sz w:val="21"/>
          <w:szCs w:val="21"/>
          <w:lang w:val="en-US" w:eastAsia="zh-CN"/>
        </w:rPr>
        <w:t>年龄与意外风险存在一定的相关性，根据</w:t>
      </w:r>
      <w:r>
        <w:rPr>
          <w:rFonts w:hint="eastAsia" w:ascii="宋体" w:hAnsi="宋体" w:eastAsia="宋体" w:cs="宋体"/>
          <w:bCs/>
          <w:kern w:val="0"/>
          <w:sz w:val="21"/>
          <w:szCs w:val="21"/>
        </w:rPr>
        <w:t>赔付经验</w:t>
      </w:r>
      <w:r>
        <w:rPr>
          <w:rFonts w:hint="eastAsia" w:ascii="宋体" w:hAnsi="宋体" w:eastAsia="宋体" w:cs="宋体"/>
          <w:bCs/>
          <w:kern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Cs/>
          <w:kern w:val="0"/>
          <w:sz w:val="21"/>
          <w:szCs w:val="21"/>
          <w:lang w:val="en-US" w:eastAsia="zh-CN"/>
        </w:rPr>
        <w:t>年龄越高，事故率相比较高，损失程度更大</w:t>
      </w:r>
      <w:r>
        <w:rPr>
          <w:rFonts w:hint="eastAsia" w:ascii="宋体" w:hAnsi="宋体" w:eastAsia="宋体" w:cs="宋体"/>
          <w:bCs/>
          <w:kern w:val="0"/>
          <w:sz w:val="21"/>
          <w:szCs w:val="21"/>
        </w:rPr>
        <w:t>。</w:t>
      </w:r>
      <w:r>
        <w:rPr>
          <w:rFonts w:hint="eastAsia" w:ascii="宋体" w:hAnsi="宋体" w:eastAsia="宋体" w:cs="宋体"/>
          <w:bCs/>
          <w:kern w:val="0"/>
          <w:sz w:val="21"/>
          <w:szCs w:val="21"/>
          <w:lang w:val="en-US" w:eastAsia="zh-CN"/>
        </w:rPr>
        <w:t>对投保人员年龄占比较高的投保人，</w:t>
      </w:r>
      <w:r>
        <w:rPr>
          <w:rFonts w:hint="eastAsia" w:ascii="宋体" w:hAnsi="宋体" w:eastAsia="宋体" w:cs="宋体"/>
          <w:bCs/>
          <w:kern w:val="0"/>
          <w:sz w:val="21"/>
          <w:szCs w:val="21"/>
        </w:rPr>
        <w:t>可适当</w:t>
      </w:r>
      <w:r>
        <w:rPr>
          <w:rFonts w:hint="eastAsia" w:ascii="宋体" w:hAnsi="宋体" w:eastAsia="宋体" w:cs="宋体"/>
          <w:bCs/>
          <w:kern w:val="0"/>
          <w:sz w:val="21"/>
          <w:szCs w:val="21"/>
          <w:lang w:val="en-US" w:eastAsia="zh-CN"/>
        </w:rPr>
        <w:t>提高</w:t>
      </w:r>
      <w:r>
        <w:rPr>
          <w:rFonts w:hint="eastAsia" w:ascii="宋体" w:hAnsi="宋体" w:eastAsia="宋体" w:cs="宋体"/>
          <w:bCs/>
          <w:kern w:val="0"/>
          <w:sz w:val="21"/>
          <w:szCs w:val="21"/>
        </w:rPr>
        <w:t>费率。</w:t>
      </w:r>
    </w:p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7"/>
        <w:gridCol w:w="3435"/>
      </w:tblGrid>
      <w:tr w14:paraId="1EA1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87" w:type="dxa"/>
            <w:noWrap/>
            <w:vAlign w:val="bottom"/>
          </w:tcPr>
          <w:p w14:paraId="5B55F3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高龄人员占比</w:t>
            </w:r>
          </w:p>
        </w:tc>
        <w:tc>
          <w:tcPr>
            <w:tcW w:w="3435" w:type="dxa"/>
            <w:noWrap/>
            <w:vAlign w:val="bottom"/>
          </w:tcPr>
          <w:p w14:paraId="73438A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调整系数</w:t>
            </w:r>
          </w:p>
        </w:tc>
      </w:tr>
      <w:tr w14:paraId="3AEC1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87" w:type="dxa"/>
            <w:noWrap/>
            <w:vAlign w:val="bottom"/>
          </w:tcPr>
          <w:p w14:paraId="7A0C7F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高龄人员占比＜5%</w:t>
            </w:r>
          </w:p>
        </w:tc>
        <w:tc>
          <w:tcPr>
            <w:tcW w:w="3435" w:type="dxa"/>
            <w:noWrap/>
            <w:vAlign w:val="bottom"/>
          </w:tcPr>
          <w:p w14:paraId="2F1906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0.90≤调整系数＜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1.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00</w:t>
            </w:r>
          </w:p>
        </w:tc>
      </w:tr>
      <w:tr w14:paraId="18AE0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87" w:type="dxa"/>
            <w:noWrap/>
            <w:vAlign w:val="bottom"/>
          </w:tcPr>
          <w:p w14:paraId="7C783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5%≤高龄人员占比＜20%</w:t>
            </w:r>
          </w:p>
        </w:tc>
        <w:tc>
          <w:tcPr>
            <w:tcW w:w="3435" w:type="dxa"/>
            <w:noWrap/>
            <w:vAlign w:val="bottom"/>
          </w:tcPr>
          <w:p w14:paraId="609999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1.00≤调整系数＜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1.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15</w:t>
            </w:r>
          </w:p>
        </w:tc>
      </w:tr>
      <w:tr w14:paraId="6F9C4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87" w:type="dxa"/>
            <w:noWrap/>
            <w:vAlign w:val="bottom"/>
          </w:tcPr>
          <w:p w14:paraId="5B8E0D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20%≤高龄人员占比＜50%</w:t>
            </w:r>
          </w:p>
        </w:tc>
        <w:tc>
          <w:tcPr>
            <w:tcW w:w="3435" w:type="dxa"/>
            <w:noWrap/>
            <w:vAlign w:val="bottom"/>
          </w:tcPr>
          <w:p w14:paraId="61559E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1.15≤调整系数＜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1.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35</w:t>
            </w:r>
          </w:p>
        </w:tc>
      </w:tr>
      <w:tr w14:paraId="4F87D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87" w:type="dxa"/>
            <w:noWrap/>
            <w:vAlign w:val="bottom"/>
          </w:tcPr>
          <w:p w14:paraId="0A6B58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50%≤高龄人员占比</w:t>
            </w:r>
          </w:p>
        </w:tc>
        <w:tc>
          <w:tcPr>
            <w:tcW w:w="3435" w:type="dxa"/>
            <w:noWrap/>
            <w:vAlign w:val="bottom"/>
          </w:tcPr>
          <w:p w14:paraId="44C4C5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1.35≤调整系数≤2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0</w:t>
            </w:r>
          </w:p>
        </w:tc>
      </w:tr>
    </w:tbl>
    <w:p w14:paraId="7E776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注：高龄人员为60周岁以上（含）员工；投保人员60周岁以上（含）占比以投保时为准。</w:t>
      </w:r>
    </w:p>
    <w:p w14:paraId="0AF92B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历史赔付系数</w:t>
      </w:r>
    </w:p>
    <w:p w14:paraId="656BB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续保业务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历史赔付在一定程度上反映了该业务的风险水平。</w:t>
      </w:r>
      <w:r>
        <w:rPr>
          <w:rFonts w:hint="eastAsia" w:ascii="宋体" w:hAnsi="宋体" w:eastAsia="宋体" w:cs="宋体"/>
          <w:sz w:val="21"/>
          <w:szCs w:val="21"/>
        </w:rPr>
        <w:t>通过经验数据的不断积累也可相对降低风险保费判断的不确定性。故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根据历史赔付增加费率调整系数。</w:t>
      </w:r>
    </w:p>
    <w:tbl>
      <w:tblPr>
        <w:tblStyle w:val="6"/>
        <w:tblW w:w="84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6"/>
        <w:gridCol w:w="3412"/>
      </w:tblGrid>
      <w:tr w14:paraId="35647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86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214B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ind w:firstLine="420"/>
              <w:jc w:val="center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历史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赔付率</w:t>
            </w:r>
          </w:p>
        </w:tc>
        <w:tc>
          <w:tcPr>
            <w:tcW w:w="34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9859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调整系数</w:t>
            </w:r>
          </w:p>
        </w:tc>
      </w:tr>
      <w:tr w14:paraId="5E67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86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6E41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累计满期赔付率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＜40%</w:t>
            </w:r>
          </w:p>
        </w:tc>
        <w:tc>
          <w:tcPr>
            <w:tcW w:w="34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DD91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0.90≤调整系数＜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1.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0</w:t>
            </w:r>
          </w:p>
        </w:tc>
      </w:tr>
      <w:tr w14:paraId="2F6E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86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E4A6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40%≤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累计满期赔付率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0%</w:t>
            </w:r>
          </w:p>
        </w:tc>
        <w:tc>
          <w:tcPr>
            <w:tcW w:w="34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3E36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1.00≤调整系数＜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1.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0</w:t>
            </w:r>
          </w:p>
        </w:tc>
      </w:tr>
      <w:tr w14:paraId="78F9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86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50DF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70%≤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累计满期赔付率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0%</w:t>
            </w:r>
          </w:p>
        </w:tc>
        <w:tc>
          <w:tcPr>
            <w:tcW w:w="34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70A0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1.20≤调整系数＜1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0</w:t>
            </w:r>
          </w:p>
        </w:tc>
      </w:tr>
      <w:tr w14:paraId="3DE9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86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DE55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100%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≤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累计满期赔付率</w:t>
            </w:r>
          </w:p>
        </w:tc>
        <w:tc>
          <w:tcPr>
            <w:tcW w:w="341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4925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1.60≤调整系数≤5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.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highlight w:val="none"/>
              </w:rPr>
              <w:t>0</w:t>
            </w:r>
          </w:p>
        </w:tc>
      </w:tr>
    </w:tbl>
    <w:p w14:paraId="4C58C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注：以上历史赔付情况，应使用山东省行业数据，无法获取行业数据时仅可使用本公司承保理赔数据。</w:t>
      </w:r>
    </w:p>
    <w:p w14:paraId="375C3F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保险期间系数</w:t>
      </w:r>
    </w:p>
    <w:tbl>
      <w:tblPr>
        <w:tblStyle w:val="6"/>
        <w:tblpPr w:leftFromText="180" w:rightFromText="180" w:vertAnchor="text" w:horzAnchor="margin" w:tblpXSpec="center" w:tblpY="106"/>
        <w:tblW w:w="8326" w:type="dxa"/>
        <w:tblInd w:w="9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 w14:paraId="5B128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3FC3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保险期间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A32A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一个月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A308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二个月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8DC5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三个月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6760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四个月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A894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五个月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CB6E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六个月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332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七个月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B98C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八个月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0770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九个月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EADA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十个月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B809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十一个月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08E9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十二个月</w:t>
            </w:r>
          </w:p>
        </w:tc>
      </w:tr>
      <w:tr w14:paraId="21708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09F5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调整系数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4B4DA3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10%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2B05DC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20%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5CC54E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30%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03CFFB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40%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7D01C0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50%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4F51CE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60%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6A447B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70%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1938AE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80%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31864D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85%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479E7E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90%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600D77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95%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44C748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100%</w:t>
            </w:r>
          </w:p>
        </w:tc>
      </w:tr>
    </w:tbl>
    <w:p w14:paraId="1416C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注：不足一个月按一个月计算。</w:t>
      </w:r>
    </w:p>
    <w:p w14:paraId="647AC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保险期间大于一年的调整系数=保险期间（月）/12。</w:t>
      </w:r>
    </w:p>
    <w:p w14:paraId="173EDF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ED17A6"/>
    <w:rsid w:val="04254721"/>
    <w:rsid w:val="0BC5557C"/>
    <w:rsid w:val="0CA23997"/>
    <w:rsid w:val="0F7A34B7"/>
    <w:rsid w:val="138E0029"/>
    <w:rsid w:val="21E35700"/>
    <w:rsid w:val="2207110D"/>
    <w:rsid w:val="232C0756"/>
    <w:rsid w:val="2AE972B1"/>
    <w:rsid w:val="3AF569FA"/>
    <w:rsid w:val="42ED17A6"/>
    <w:rsid w:val="4C962816"/>
    <w:rsid w:val="4D1F0449"/>
    <w:rsid w:val="54505308"/>
    <w:rsid w:val="5ADC74BA"/>
    <w:rsid w:val="5CED26CF"/>
    <w:rsid w:val="66384C88"/>
    <w:rsid w:val="68D67141"/>
    <w:rsid w:val="7DDC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iPriority="99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after="120"/>
      <w:ind w:left="420" w:left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Message Header"/>
    <w:basedOn w:val="1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5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8">
    <w:name w:val="page number"/>
    <w:qFormat/>
    <w:uiPriority w:val="0"/>
  </w:style>
  <w:style w:type="character" w:customStyle="1" w:styleId="9">
    <w:name w:val="fontstyle21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0">
    <w:name w:val="fontstyle01"/>
    <w:qFormat/>
    <w:uiPriority w:val="0"/>
    <w:rPr>
      <w:rFonts w:hint="eastAsia" w:ascii="宋体" w:hAnsi="宋体" w:eastAsia="宋体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1821</Words>
  <Characters>2184</Characters>
  <Lines>0</Lines>
  <Paragraphs>0</Paragraphs>
  <TotalTime>12</TotalTime>
  <ScaleCrop>false</ScaleCrop>
  <LinksUpToDate>false</LinksUpToDate>
  <CharactersWithSpaces>2184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2025-12-12T09:31:00Z</dcterms:created>
  <dc:creator>陶硕</dc:creator>
  <cp:lastModifiedBy>WPS_1657511633</cp:lastModifiedBy>
  <dcterms:modified xsi:type="dcterms:W3CDTF">2026-03-26T07:02:11Z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C8237AF0CE634E1198B69B7E54261C1F</vt:lpwstr>
  </property>
  <property fmtid="{D5CDD505-2E9C-101B-9397-08002B2CF9AE}" pid="4" name="KSOTemplateDocerSaveRecord">
    <vt:lpwstr>eyJoZGlkIjoiN2MwNWYwZWQwMGFjNmI1OTUwODdiOGIyMTkyN2M5ZDkiLCJ1c2VySWQiOiIxMzkxNzIwMjU1In0=</vt:lpwstr>
  </property>
</Properties>
</file>