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6F149">
      <w:pPr>
        <w:ind w:firstLine="2150" w:firstLineChars="595"/>
        <w:rPr>
          <w:rFonts w:hint="eastAsia"/>
          <w:b/>
          <w:sz w:val="36"/>
        </w:rPr>
      </w:pPr>
      <w:r>
        <w:rPr>
          <w:b/>
          <w:sz w:val="36"/>
        </w:rPr>
        <w:drawing>
          <wp:inline distT="0" distB="0" distL="114300" distR="114300">
            <wp:extent cx="2632710" cy="64770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1B25B">
      <w:pPr>
        <w:spacing w:before="624" w:beforeLines="200"/>
        <w:ind w:firstLine="151" w:firstLineChars="50"/>
        <w:jc w:val="center"/>
        <w:rPr>
          <w:rFonts w:hint="eastAsia" w:eastAsia="黑体"/>
          <w:b/>
          <w:bCs/>
          <w:sz w:val="30"/>
          <w:szCs w:val="30"/>
        </w:rPr>
      </w:pPr>
      <w:r>
        <w:rPr>
          <w:rFonts w:hint="eastAsia" w:eastAsia="黑体"/>
          <w:b/>
          <w:bCs/>
          <w:sz w:val="30"/>
          <w:szCs w:val="30"/>
        </w:rPr>
        <w:t>20</w:t>
      </w:r>
      <w:r>
        <w:rPr>
          <w:rFonts w:eastAsia="黑体"/>
          <w:b/>
          <w:bCs/>
          <w:sz w:val="30"/>
          <w:szCs w:val="30"/>
        </w:rPr>
        <w:t>25</w:t>
      </w:r>
      <w:r>
        <w:rPr>
          <w:rFonts w:hint="eastAsia" w:eastAsia="黑体"/>
          <w:b/>
          <w:bCs/>
          <w:sz w:val="30"/>
          <w:szCs w:val="30"/>
        </w:rPr>
        <w:t>-</w:t>
      </w:r>
      <w:r>
        <w:rPr>
          <w:rFonts w:eastAsia="黑体"/>
          <w:b/>
          <w:bCs/>
          <w:sz w:val="30"/>
          <w:szCs w:val="30"/>
        </w:rPr>
        <w:t>2026</w:t>
      </w:r>
      <w:r>
        <w:rPr>
          <w:rFonts w:hint="eastAsia" w:eastAsia="黑体"/>
          <w:b/>
          <w:bCs/>
          <w:sz w:val="30"/>
          <w:szCs w:val="30"/>
        </w:rPr>
        <w:t>（</w:t>
      </w:r>
      <w:r>
        <w:rPr>
          <w:rFonts w:eastAsia="黑体"/>
          <w:b/>
          <w:bCs/>
          <w:sz w:val="30"/>
          <w:szCs w:val="30"/>
        </w:rPr>
        <w:t>1</w:t>
      </w:r>
      <w:r>
        <w:rPr>
          <w:rFonts w:hint="eastAsia" w:eastAsia="黑体"/>
          <w:b/>
          <w:bCs/>
          <w:sz w:val="30"/>
          <w:szCs w:val="30"/>
        </w:rPr>
        <w:t>）学期</w:t>
      </w:r>
    </w:p>
    <w:p w14:paraId="374F88E1">
      <w:pPr>
        <w:spacing w:before="156" w:beforeLines="50"/>
        <w:ind w:firstLine="261" w:firstLineChars="50"/>
        <w:jc w:val="center"/>
        <w:rPr>
          <w:rFonts w:hint="eastAsia"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《概率论与数理统计》大作业</w:t>
      </w:r>
    </w:p>
    <w:p w14:paraId="64C39A9D">
      <w:pPr>
        <w:rPr>
          <w:rFonts w:hint="eastAsia" w:eastAsia="黑体"/>
          <w:bCs/>
          <w:sz w:val="36"/>
          <w:szCs w:val="36"/>
        </w:rPr>
      </w:pPr>
    </w:p>
    <w:p w14:paraId="068B084B">
      <w:pPr>
        <w:jc w:val="center"/>
        <w:rPr>
          <w:rFonts w:hint="eastAsia" w:ascii="宋体" w:hAnsi="宋体" w:eastAsia="黑体"/>
          <w:sz w:val="32"/>
          <w:lang w:val="en-US" w:eastAsia="zh-CN"/>
        </w:rPr>
      </w:pPr>
      <w:r>
        <w:rPr>
          <w:rFonts w:eastAsia="黑体"/>
          <w:bCs/>
          <w:sz w:val="36"/>
          <w:szCs w:val="36"/>
        </w:rPr>
        <w:t>题  目：</w:t>
      </w:r>
      <w:r>
        <w:rPr>
          <w:rFonts w:hint="eastAsia" w:eastAsia="黑体"/>
          <w:bCs/>
          <w:sz w:val="36"/>
          <w:szCs w:val="36"/>
        </w:rPr>
        <w:t>数学期望在商业管理中的应用</w:t>
      </w:r>
      <w:r>
        <w:rPr>
          <w:rFonts w:hint="eastAsia" w:eastAsia="黑体"/>
          <w:bCs/>
          <w:sz w:val="36"/>
          <w:szCs w:val="36"/>
          <w:lang w:val="en-US" w:eastAsia="zh-CN"/>
        </w:rPr>
        <w:t>分析</w:t>
      </w:r>
    </w:p>
    <w:p w14:paraId="6FB32904">
      <w:pPr>
        <w:jc w:val="center"/>
        <w:rPr>
          <w:rFonts w:hint="eastAsia" w:ascii="宋体" w:hAnsi="宋体"/>
          <w:sz w:val="32"/>
        </w:rPr>
      </w:pPr>
    </w:p>
    <w:p w14:paraId="5BCA9BBC">
      <w:pPr>
        <w:jc w:val="center"/>
        <w:rPr>
          <w:rFonts w:hint="eastAsia" w:ascii="宋体" w:hAnsi="宋体"/>
          <w:sz w:val="32"/>
        </w:rPr>
      </w:pPr>
    </w:p>
    <w:p w14:paraId="47AD79A6">
      <w:pPr>
        <w:jc w:val="center"/>
        <w:rPr>
          <w:rFonts w:hint="eastAsia" w:ascii="宋体" w:hAnsi="宋体"/>
          <w:sz w:val="32"/>
        </w:rPr>
      </w:pPr>
    </w:p>
    <w:p w14:paraId="23EC9C50">
      <w:pPr>
        <w:jc w:val="center"/>
        <w:rPr>
          <w:rFonts w:hint="eastAsia" w:ascii="宋体" w:hAnsi="宋体"/>
          <w:sz w:val="32"/>
        </w:rPr>
      </w:pPr>
    </w:p>
    <w:p w14:paraId="2569ABD2">
      <w:pPr>
        <w:ind w:firstLine="2240" w:firstLineChars="700"/>
        <w:jc w:val="both"/>
        <w:rPr>
          <w:rFonts w:hint="eastAsia" w:ascii="仿宋_GB2312" w:eastAsia="仿宋_GB2312"/>
          <w:sz w:val="32"/>
          <w:lang w:val="en-US" w:eastAsia="zh-CN"/>
        </w:rPr>
      </w:pPr>
      <w:r>
        <w:rPr>
          <w:rFonts w:hint="eastAsia" w:ascii="仿宋_GB2312" w:eastAsia="仿宋_GB2312"/>
          <w:sz w:val="32"/>
        </w:rPr>
        <w:t>学    院：</w:t>
      </w:r>
      <w:r>
        <w:rPr>
          <w:rFonts w:hint="eastAsia" w:ascii="仿宋_GB2312" w:eastAsia="仿宋_GB2312"/>
          <w:sz w:val="32"/>
          <w:lang w:val="en-US" w:eastAsia="zh-CN"/>
        </w:rPr>
        <w:t>控制科学与工程学院</w:t>
      </w:r>
    </w:p>
    <w:p w14:paraId="4BF1ABB6">
      <w:pPr>
        <w:spacing w:line="800" w:lineRule="exact"/>
        <w:ind w:firstLine="2240" w:firstLineChars="700"/>
        <w:jc w:val="both"/>
        <w:rPr>
          <w:rFonts w:hint="default" w:ascii="仿宋_GB2312" w:eastAsia="仿宋_GB2312"/>
          <w:sz w:val="32"/>
          <w:lang w:val="en-US" w:eastAsia="zh-CN"/>
        </w:rPr>
      </w:pPr>
      <w:r>
        <w:rPr>
          <w:rFonts w:hint="eastAsia" w:ascii="仿宋_GB2312" w:eastAsia="仿宋_GB2312"/>
          <w:sz w:val="32"/>
        </w:rPr>
        <w:t>专业班级：</w:t>
      </w:r>
    </w:p>
    <w:p w14:paraId="4D9B1CD6">
      <w:pPr>
        <w:spacing w:line="800" w:lineRule="exact"/>
        <w:ind w:left="1680" w:leftChars="800" w:firstLine="579" w:firstLineChars="181"/>
        <w:jc w:val="both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姓    名: </w:t>
      </w:r>
    </w:p>
    <w:p w14:paraId="40EE0481">
      <w:pPr>
        <w:spacing w:line="800" w:lineRule="exact"/>
        <w:ind w:left="1680" w:leftChars="800" w:firstLine="579" w:firstLineChars="181"/>
        <w:jc w:val="both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学    号：</w:t>
      </w:r>
    </w:p>
    <w:p w14:paraId="5773611B">
      <w:pPr>
        <w:spacing w:line="800" w:lineRule="exact"/>
        <w:ind w:left="1680" w:leftChars="800" w:firstLine="579" w:firstLineChars="181"/>
        <w:jc w:val="both"/>
        <w:rPr>
          <w:rFonts w:hint="eastAsia" w:ascii="仿宋_GB2312" w:eastAsia="仿宋_GB2312"/>
          <w:sz w:val="32"/>
        </w:rPr>
      </w:pPr>
      <w:bookmarkStart w:id="4" w:name="_GoBack"/>
      <w:bookmarkEnd w:id="4"/>
      <w:r>
        <w:rPr>
          <w:rFonts w:hint="eastAsia" w:ascii="仿宋_GB2312" w:eastAsia="仿宋_GB2312"/>
          <w:sz w:val="32"/>
        </w:rPr>
        <w:t xml:space="preserve">任课教师： 周 </w:t>
      </w:r>
      <w:r>
        <w:rPr>
          <w:rFonts w:ascii="仿宋_GB2312" w:eastAsia="仿宋_GB2312"/>
          <w:sz w:val="32"/>
        </w:rPr>
        <w:t xml:space="preserve">  </w:t>
      </w:r>
      <w:r>
        <w:rPr>
          <w:rFonts w:hint="eastAsia" w:ascii="仿宋_GB2312" w:eastAsia="仿宋_GB2312"/>
          <w:sz w:val="32"/>
        </w:rPr>
        <w:t xml:space="preserve"> 峰</w:t>
      </w:r>
    </w:p>
    <w:p w14:paraId="4BE67798">
      <w:pPr>
        <w:spacing w:line="800" w:lineRule="exact"/>
        <w:ind w:left="1680" w:leftChars="800" w:firstLine="579" w:firstLineChars="181"/>
        <w:rPr>
          <w:rFonts w:ascii="仿宋_GB2312" w:eastAsia="仿宋_GB2312"/>
          <w:sz w:val="32"/>
        </w:rPr>
      </w:pPr>
    </w:p>
    <w:p w14:paraId="5C9D3D1B">
      <w:pPr>
        <w:rPr>
          <w:rFonts w:hint="eastAsia" w:ascii="宋体" w:hAnsi="宋体"/>
          <w:sz w:val="32"/>
        </w:rPr>
      </w:pPr>
    </w:p>
    <w:p w14:paraId="33C21009">
      <w:pPr>
        <w:spacing w:before="156" w:beforeLines="50" w:after="156" w:afterLines="50" w:line="360" w:lineRule="auto"/>
        <w:ind w:firstLine="2880" w:firstLineChars="900"/>
        <w:jc w:val="right"/>
        <w:rPr>
          <w:rFonts w:ascii="仿宋_GB2312" w:eastAsia="仿宋_GB2312"/>
          <w:sz w:val="32"/>
        </w:rPr>
      </w:pPr>
      <w:r>
        <w:rPr>
          <w:rFonts w:hint="eastAsia" w:ascii="仿宋_GB2312" w:eastAsia="仿宋_GB2312"/>
          <w:sz w:val="32"/>
          <w:lang w:val="en-US" w:eastAsia="zh-CN"/>
        </w:rPr>
        <w:t>2025</w:t>
      </w:r>
      <w:r>
        <w:rPr>
          <w:rFonts w:hint="eastAsia" w:ascii="仿宋_GB2312" w:eastAsia="仿宋_GB2312"/>
          <w:sz w:val="32"/>
        </w:rPr>
        <w:t>年</w:t>
      </w:r>
      <w:r>
        <w:rPr>
          <w:rFonts w:hint="eastAsia" w:ascii="仿宋_GB2312" w:eastAsia="仿宋_GB2312"/>
          <w:sz w:val="32"/>
          <w:lang w:val="en-US" w:eastAsia="zh-CN"/>
        </w:rPr>
        <w:t>11</w:t>
      </w:r>
      <w:r>
        <w:rPr>
          <w:rFonts w:hint="eastAsia" w:ascii="仿宋_GB2312" w:eastAsia="仿宋_GB2312"/>
          <w:sz w:val="32"/>
        </w:rPr>
        <w:t>月</w:t>
      </w:r>
      <w:r>
        <w:rPr>
          <w:rFonts w:hint="eastAsia" w:ascii="仿宋_GB2312" w:eastAsia="仿宋_GB2312"/>
          <w:sz w:val="32"/>
          <w:lang w:val="en-US" w:eastAsia="zh-CN"/>
        </w:rPr>
        <w:t>20</w:t>
      </w:r>
      <w:r>
        <w:rPr>
          <w:rFonts w:hint="eastAsia" w:ascii="仿宋_GB2312" w:eastAsia="仿宋_GB2312"/>
          <w:sz w:val="32"/>
        </w:rPr>
        <w:t>日</w:t>
      </w:r>
    </w:p>
    <w:p w14:paraId="345998B6">
      <w:pPr>
        <w:widowControl/>
        <w:jc w:val="right"/>
        <w:rPr>
          <w:rFonts w:hint="eastAsia" w:ascii="黑体" w:hAnsi="黑体" w:eastAsia="黑体" w:cs="黑体"/>
          <w:b/>
          <w:bCs/>
          <w:color w:val="000000"/>
          <w:sz w:val="36"/>
          <w:szCs w:val="36"/>
          <w:lang w:val="en-US" w:eastAsia="zh-CN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66AB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23" w:firstLineChars="200"/>
        <w:jc w:val="center"/>
        <w:textAlignment w:val="auto"/>
        <w:rPr>
          <w:rFonts w:hint="default" w:ascii="黑体" w:hAnsi="黑体" w:eastAsia="黑体" w:cs="黑体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36"/>
          <w:szCs w:val="36"/>
          <w:lang w:val="en-US" w:eastAsia="zh-CN"/>
        </w:rPr>
        <w:t>数学期望在商业管理中的应用分析</w:t>
      </w:r>
    </w:p>
    <w:p w14:paraId="1AE63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</w:pPr>
    </w:p>
    <w:p w14:paraId="35B07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摘要：</w:t>
      </w: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文章</w:t>
      </w:r>
      <w:r>
        <w:rPr>
          <w:rFonts w:hint="eastAsia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围绕数学期望在商业管理中的应用展开分析，先阐述离散型、连续型随机变量及函数的数学期望定义，介绍方差与标准差等辅助概念。结合实际商业场景，构建最优存储决策模型，通过计算不同存储量的期望利润，确定最优货源储备量；在经济投资决策中，通过对比房产、地产、商业项目的期望收益与方差，实现收益与风险的综合权衡。研究表明，数学期望能量化随机变量平均水平，搭配方差可兼顾收益与风险，为商业库存配置、投资选择等决策提供科学依据，助力提升管理效率与决策合理性。</w:t>
      </w:r>
    </w:p>
    <w:p w14:paraId="0F497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="Times New Roman" w:hAnsi="Times New Roman" w:eastAsia="宋体" w:cs="宋体"/>
          <w:color w:val="000000"/>
          <w:sz w:val="24"/>
          <w:szCs w:val="30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关键词</w:t>
      </w:r>
      <w:r>
        <w:rPr>
          <w:rFonts w:hint="eastAsia" w:cs="宋体"/>
          <w:b/>
          <w:bCs/>
          <w:color w:val="000000"/>
          <w:sz w:val="24"/>
          <w:szCs w:val="30"/>
          <w:lang w:val="en-US" w:eastAsia="zh-CN"/>
        </w:rPr>
        <w:t>：</w:t>
      </w:r>
      <w:r>
        <w:rPr>
          <w:rFonts w:hint="eastAsia" w:ascii="Times New Roman" w:hAnsi="Times New Roman" w:eastAsia="宋体" w:cs="宋体"/>
          <w:color w:val="000000"/>
          <w:sz w:val="24"/>
          <w:szCs w:val="30"/>
          <w:lang w:val="en-US" w:eastAsia="zh-CN"/>
        </w:rPr>
        <w:t>数学期望；商业管理；决策模型；收益优化；风险权衡</w:t>
      </w:r>
    </w:p>
    <w:p w14:paraId="0E5CF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宋体"/>
          <w:color w:val="000000"/>
          <w:sz w:val="24"/>
          <w:szCs w:val="30"/>
          <w:lang w:val="en-US" w:eastAsia="zh-CN"/>
        </w:rPr>
      </w:pPr>
    </w:p>
    <w:p w14:paraId="5C6D1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引言</w:t>
      </w:r>
    </w:p>
    <w:p w14:paraId="5A887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宋体"/>
          <w:color w:val="000000"/>
          <w:sz w:val="24"/>
          <w:szCs w:val="30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30"/>
          <w:lang w:val="en-US" w:eastAsia="zh-CN"/>
        </w:rPr>
        <w:t>在商业管理中，库存配置、投资选择等决策常面临市场需求波动、市场状态变化等随机因素，仅凭经验决策易导致资源浪费或收益受损。数学期望作为概率统计的核心工具，能精准量化随机变量的平均取值水平，为不确定场景下的决策提供量化依据。方差与标准差则可补充衡量数据离散程度，助力规避风险。本文立足数学期望的基本理论，结合最优存储决策、投资项目选择两大商业核心场景，通过构建模型、计算分析，探究其在资源优化配置、收益最大化与风险控制中的应用路径，为商业管理者提供科学、可操作的决策参考，推动商业管理从经验驱动向数据驱动转型。</w:t>
      </w:r>
    </w:p>
    <w:p w14:paraId="43D8D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宋体"/>
          <w:color w:val="000000"/>
          <w:sz w:val="24"/>
          <w:szCs w:val="30"/>
          <w:lang w:val="en-US" w:eastAsia="zh-CN"/>
        </w:rPr>
      </w:pPr>
    </w:p>
    <w:p w14:paraId="52D8337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</w:pPr>
      <w:bookmarkStart w:id="0" w:name="数学期望的基本知识"/>
      <w:r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数学期望的基本知识</w:t>
      </w:r>
    </w:p>
    <w:p w14:paraId="45E68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数学期望作为概率统计中随机变量的核心数字特征，又称均值，能够反映随机变量总体取值的平均水平，是构建決策模型的重要理论基础，其基本知识主要涵盖离散型、连续型随机变量的数学期望定义，以及随机变量函数的数学期望计算方式，同时涉及方差与标准差等相关概念。</w:t>
      </w:r>
    </w:p>
    <w:bookmarkEnd w:id="0"/>
    <w:p w14:paraId="6B1DAF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</w:pPr>
      <w:bookmarkStart w:id="1" w:name="一离散型随机变量的数学期望"/>
      <w:r>
        <w:rPr>
          <w:rFonts w:hint="eastAsia" w:cs="宋体"/>
          <w:b/>
          <w:bCs/>
          <w:color w:val="000000"/>
          <w:sz w:val="24"/>
          <w:szCs w:val="30"/>
          <w:lang w:val="en-US" w:eastAsia="zh-CN"/>
        </w:rPr>
        <w:t>1</w:t>
      </w:r>
      <w:r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离散型随机变量的数学期望</w:t>
      </w:r>
    </w:p>
    <w:p w14:paraId="4ED76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设离散型随机变量的分布律为</w:t>
      </w:r>
    </w:p>
    <w:p w14:paraId="441AB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center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P</m:t>
        </m:r>
        <m:d>
          <m:dPr>
            <m:sep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X=</m:t>
            </m:r>
            <m:sSub>
              <m:sSubP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p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k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b>
        </m:sSub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(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k=1,2,3⋯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)</w:t>
      </w:r>
    </w:p>
    <w:p w14:paraId="45DB6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center"/>
        <w:textAlignment w:val="auto"/>
        <w:rPr>
          <w:rFonts w:hint="default" w:hAnsi="Cambria Math" w:eastAsia="宋体" w:cs="宋体"/>
          <w:b w:val="0"/>
          <w:bCs w:val="0"/>
          <w:i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若级数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k=1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∞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nary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p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k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b>
        </m:sSub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绝对收敛，则称该级数的和为随机变量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X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的数学期望，记为</w:t>
      </w: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：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E</m:t>
        </m:r>
        <m:d>
          <m:dPr>
            <m:sep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k=1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∞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nary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p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k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b>
        </m:sSub>
      </m:oMath>
    </w:p>
    <w:p w14:paraId="28CBF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该定义通过将随机变量的每个可能取值与对应概率相乘后求和，量化了离散型变量的平均取值水平，适用于取值可枚举的场景，如商品销售数量、设备故障次数等。</w:t>
      </w:r>
    </w:p>
    <w:p w14:paraId="40A5E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</w:pPr>
      <w:r>
        <w:rPr>
          <w:rFonts w:hint="eastAsia" w:cs="宋体"/>
          <w:b/>
          <w:bCs/>
          <w:color w:val="000000"/>
          <w:sz w:val="24"/>
          <w:szCs w:val="30"/>
          <w:lang w:val="en-US" w:eastAsia="zh-CN"/>
        </w:rPr>
        <w:t>2</w:t>
      </w:r>
      <w:r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连续型随机变量的数学期望</w:t>
      </w:r>
    </w:p>
    <w:p w14:paraId="15052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设连续型随机变量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X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的概率密度函数为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p</m:t>
        </m:r>
        <m:d>
          <m:dPr>
            <m:sep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,若积分</w:t>
      </w:r>
      <m:oMath>
        <m:nary>
          <m:naryPr>
            <m:limLoc m:val="subSup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−∞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+∞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p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nary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p</m:t>
        </m:r>
        <m:d>
          <m:dPr>
            <m:sep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dx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绝对收敛，则称该积分的值为随机变量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X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的数学期望，记为</w:t>
      </w:r>
    </w:p>
    <w:p w14:paraId="3C96D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hAnsi="Times New Roman" w:eastAsia="宋体" w:cs="宋体"/>
          <w:b w:val="0"/>
          <w:bCs w:val="0"/>
          <w:i w:val="0"/>
          <w:color w:val="000000"/>
          <w:sz w:val="24"/>
          <w:szCs w:val="30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E</m:t>
          </m:r>
          <m:d>
            <m:dPr>
              <m:sepChr m:val="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−∞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+∞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sup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p</m:t>
          </m:r>
          <m:d>
            <m:dPr>
              <m:sepChr m:val="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dx</m:t>
          </m:r>
        </m:oMath>
      </m:oMathPara>
    </w:p>
    <w:p w14:paraId="28673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相较于离散型，连续型随机变量取值覆盖某一区间(如时间，长度、重量等),需通过积分运算，结合概率密度函数计算平均取值，体现了连续场景下随机变量的客观规律。</w:t>
      </w:r>
    </w:p>
    <w:p w14:paraId="01AEE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</w:pPr>
      <w:bookmarkStart w:id="2" w:name="三随机变量函数的数学期望"/>
      <w:r>
        <w:rPr>
          <w:rFonts w:hint="eastAsia" w:cs="宋体"/>
          <w:b/>
          <w:bCs/>
          <w:color w:val="000000"/>
          <w:sz w:val="24"/>
          <w:szCs w:val="30"/>
          <w:lang w:val="en-US" w:eastAsia="zh-CN"/>
        </w:rPr>
        <w:t>3</w:t>
      </w:r>
      <w:r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随机变量函数的数学期望</w:t>
      </w:r>
    </w:p>
    <w:bookmarkEnd w:id="2"/>
    <w:p w14:paraId="314F0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bookmarkStart w:id="3" w:name="四方差与标准差"/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若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g</m:t>
        </m:r>
        <m:d>
          <m:dPr>
            <m:sep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为随机变量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X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的函数，其数学期望计算需分场景处理：</w:t>
      </w:r>
    </w:p>
    <w:p w14:paraId="20A93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在离散场合</w:t>
      </w: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：</w:t>
      </w:r>
    </w:p>
    <w:p w14:paraId="3BD1D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center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E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g</m:t>
              </m:r>
              <m:d>
                <m:dPr>
                  <m:sepChr m:val=""/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​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sup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nary>
          <m:d>
            <m:dPr>
              <m:sepChr m:val="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p</m:t>
          </m:r>
          <m:d>
            <m:dPr>
              <m:sepChr m:val="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;</m:t>
          </m:r>
        </m:oMath>
      </m:oMathPara>
    </w:p>
    <w:p w14:paraId="6C45A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在连续场合</w:t>
      </w: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：</w:t>
      </w:r>
    </w:p>
    <w:p w14:paraId="6E42D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hAnsi="Times New Roman" w:eastAsia="宋体" w:cs="宋体"/>
          <w:b w:val="0"/>
          <w:bCs w:val="0"/>
          <w:i w:val="0"/>
          <w:color w:val="000000"/>
          <w:sz w:val="24"/>
          <w:szCs w:val="30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E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g</m:t>
              </m:r>
              <m:d>
                <m:dPr>
                  <m:sepChr m:val=""/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−∞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+∞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sup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nary>
          <m:d>
            <m:dPr>
              <m:sepChr m:val="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p</m:t>
          </m:r>
          <m:d>
            <m:dPr>
              <m:sepChr m:val="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dx</m:t>
          </m:r>
        </m:oMath>
      </m:oMathPara>
    </w:p>
    <w:p w14:paraId="70A5C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该定理拓展了数学期望的应用范围，可直接通过原变量的分布计算函数的期望，无需额外推导函数分布，为复杂商业场景(如利润、成本等函数的期望计算)提供了便捷工具。</w:t>
      </w:r>
    </w:p>
    <w:p w14:paraId="62650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</w:pPr>
      <w:r>
        <w:rPr>
          <w:rFonts w:hint="eastAsia" w:cs="宋体"/>
          <w:b/>
          <w:bCs/>
          <w:color w:val="000000"/>
          <w:sz w:val="24"/>
          <w:szCs w:val="30"/>
          <w:lang w:val="en-US" w:eastAsia="zh-CN"/>
        </w:rPr>
        <w:t>4</w:t>
      </w:r>
      <w:r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方差与标准差</w:t>
      </w:r>
    </w:p>
    <w:p w14:paraId="64DB2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若随机变量</w:t>
      </w:r>
      <m:oMath>
        <m:sSup>
          <m:sSup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2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p>
        </m:sSup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的数学期望存在，则称偏差平方</w:t>
      </w:r>
      <m:oMath>
        <m:sSup>
          <m:sSup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X−E</m:t>
                </m:r>
                <m:d>
                  <m:dPr>
                    <m:sepChr m:val=""/>
                    <m:ctrlPr>
                      <w:rPr>
                        <w:rFonts w:hint="default" w:ascii="Cambria Math" w:hAnsi="Cambria Math" w:eastAsia="宋体" w:cs="宋体"/>
                        <w:b w:val="0"/>
                        <w:bCs w:val="0"/>
                        <w:color w:val="000000"/>
                        <w:sz w:val="24"/>
                        <w:szCs w:val="30"/>
                        <w:lang w:val="en-US"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Times New Roman" w:hAnsi="Times New Roman" w:eastAsia="宋体" w:cs="宋体"/>
                        <w:color w:val="000000"/>
                        <w:sz w:val="24"/>
                        <w:szCs w:val="30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eastAsia="宋体" w:cs="宋体"/>
                        <w:b w:val="0"/>
                        <w:bCs w:val="0"/>
                        <w:color w:val="000000"/>
                        <w:sz w:val="24"/>
                        <w:szCs w:val="30"/>
                        <w:lang w:val="en-US" w:eastAsia="zh-CN"/>
                      </w:rPr>
                    </m:ctrlPr>
                  </m:e>
                </m:d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2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p>
        </m:sSup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的数学期望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E</m:t>
        </m:r>
        <m:sSup>
          <m:sSup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X−E</m:t>
                </m:r>
                <m:d>
                  <m:dPr>
                    <m:sepChr m:val=""/>
                    <m:ctrlPr>
                      <w:rPr>
                        <w:rFonts w:hint="default" w:ascii="Cambria Math" w:hAnsi="Cambria Math" w:eastAsia="宋体" w:cs="宋体"/>
                        <w:b w:val="0"/>
                        <w:bCs w:val="0"/>
                        <w:color w:val="000000"/>
                        <w:sz w:val="24"/>
                        <w:szCs w:val="30"/>
                        <w:lang w:val="en-US"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Times New Roman" w:hAnsi="Times New Roman" w:eastAsia="宋体" w:cs="宋体"/>
                        <w:color w:val="000000"/>
                        <w:sz w:val="24"/>
                        <w:szCs w:val="30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eastAsia="宋体" w:cs="宋体"/>
                        <w:b w:val="0"/>
                        <w:bCs w:val="0"/>
                        <w:color w:val="000000"/>
                        <w:sz w:val="24"/>
                        <w:szCs w:val="30"/>
                        <w:lang w:val="en-US" w:eastAsia="zh-CN"/>
                      </w:rPr>
                    </m:ctrlPr>
                  </m:e>
                </m:d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2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p>
        </m:sSup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为随机变量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X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(或相应分布)的方差，记为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Var</m:t>
        </m:r>
        <m:d>
          <m:dPr>
            <m:sep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;方差的正平方根</w:t>
      </w:r>
      <m:oMath>
        <m:rad>
          <m:radPr>
            <m:degHide m:val="1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eg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Var</m:t>
            </m:r>
            <m:d>
              <m:dPr>
                <m:sepChr m:val=""/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rad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称为标准差，记为</w:t>
      </w:r>
      <m:oMath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σ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b>
        </m:sSub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。方差与标准差用于衡量随机变量取值偏离期望的离散程度，其中方差计算可通过公式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Var</m:t>
        </m:r>
        <m:d>
          <m:dPr>
            <m:sep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=E</m:t>
        </m:r>
        <m:d>
          <m:dPr>
            <m:sep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−</m:t>
        </m:r>
        <m:sSup>
          <m:sSup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Times New Roman" w:hAnsi="Times New Roman" w:eastAsia="宋体" w:cs="宋体"/>
                    <w:color w:val="000000"/>
                    <w:sz w:val="24"/>
                    <w:szCs w:val="30"/>
                    <w:lang w:val="en-US" w:eastAsia="zh-CN"/>
                  </w:rPr>
                  <m:t>E</m:t>
                </m:r>
                <m:d>
                  <m:dPr>
                    <m:sepChr m:val=""/>
                    <m:ctrlPr>
                      <w:rPr>
                        <w:rFonts w:hint="default" w:ascii="Cambria Math" w:hAnsi="Cambria Math" w:eastAsia="宋体" w:cs="宋体"/>
                        <w:b w:val="0"/>
                        <w:bCs w:val="0"/>
                        <w:color w:val="000000"/>
                        <w:sz w:val="24"/>
                        <w:szCs w:val="30"/>
                        <w:lang w:val="en-US"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Times New Roman" w:hAnsi="Times New Roman" w:eastAsia="宋体" w:cs="宋体"/>
                        <w:color w:val="000000"/>
                        <w:sz w:val="24"/>
                        <w:szCs w:val="30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eastAsia="宋体" w:cs="宋体"/>
                        <w:b w:val="0"/>
                        <w:bCs w:val="0"/>
                        <w:color w:val="000000"/>
                        <w:sz w:val="24"/>
                        <w:szCs w:val="30"/>
                        <w:lang w:val="en-US" w:eastAsia="zh-CN"/>
                      </w:rPr>
                    </m:ctrlPr>
                  </m:e>
                </m:d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2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sup>
        </m:sSup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简化运算，二者常与数学期望搭配使用，在决策中同时考量收益水平与风险波动，提升决策的全面性。</w:t>
      </w:r>
      <w:bookmarkEnd w:id="3"/>
    </w:p>
    <w:p w14:paraId="19619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</w:p>
    <w:bookmarkEnd w:id="1"/>
    <w:p w14:paraId="6465E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二、</w:t>
      </w:r>
      <w:r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以数学期望为基础的最优存储决策模型</w:t>
      </w:r>
    </w:p>
    <w:p w14:paraId="39794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某商家在展销活动期间供应一种商品，正常进价50元/件、售价56元/件；销售火爆时需从其他渠道调货，调货价52元/件；货物积压时，每件需降价10元出售。已知该商品需求量X服从[2000,6000]上的均匀分布，需确定商家应准备多少货源以获得最佳收益。</w:t>
      </w:r>
    </w:p>
    <w:p w14:paraId="463994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kern w:val="2"/>
          <w:sz w:val="24"/>
          <w:szCs w:val="30"/>
          <w:lang w:val="en-US" w:eastAsia="zh-CN" w:bidi="ar-SA"/>
        </w:rPr>
        <w:t>1.</w:t>
      </w: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因需求量X服从[2000,6000]均匀分布，其概率密度函数为</w:t>
      </w:r>
    </w:p>
    <w:p w14:paraId="1344A1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center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p</m:t>
        </m:r>
        <m:d>
          <m:dPr>
            <m:sep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=</m:t>
        </m:r>
        <m:d>
          <m:dPr>
            <m:begChr m:val="{"/>
            <m:sepChr m:val=""/>
            <m:end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color w:val="000000"/>
                    <w:sz w:val="24"/>
                    <w:szCs w:val="30"/>
                    <w:lang w:val="en-US" w:eastAsia="zh-CN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default" w:ascii="Cambria Math" w:hAnsi="Cambria Math" w:eastAsia="宋体" w:cs="宋体"/>
                          <w:b w:val="0"/>
                          <w:bCs w:val="0"/>
                          <w:color w:val="000000"/>
                          <w:sz w:val="24"/>
                          <w:szCs w:val="30"/>
                          <w:lang w:val="en-US" w:eastAsia="zh-C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宋体"/>
                          <w:color w:val="000000"/>
                          <w:sz w:val="24"/>
                          <w:szCs w:val="30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宋体"/>
                          <w:b w:val="0"/>
                          <w:bCs w:val="0"/>
                          <w:color w:val="000000"/>
                          <w:sz w:val="24"/>
                          <w:szCs w:val="30"/>
                          <w:lang w:val="en-US" w:eastAsia="zh-CN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宋体"/>
                          <w:color w:val="000000"/>
                          <w:sz w:val="24"/>
                          <w:szCs w:val="30"/>
                          <w:lang w:val="en-US" w:eastAsia="zh-CN"/>
                        </w:rPr>
                        <m:t>4000</m:t>
                      </m:r>
                      <m:ctrlPr>
                        <w:rPr>
                          <w:rFonts w:hint="default" w:ascii="Cambria Math" w:hAnsi="Cambria Math" w:eastAsia="宋体" w:cs="宋体"/>
                          <w:b w:val="0"/>
                          <w:bCs w:val="0"/>
                          <w:color w:val="000000"/>
                          <w:sz w:val="24"/>
                          <w:szCs w:val="30"/>
                          <w:lang w:val="en-US" w:eastAsia="zh-CN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,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  <m:e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2000≤x≤6000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0,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宋体"/>
                      <w:b w:val="0"/>
                      <w:bCs w:val="0"/>
                      <w:i w:val="0"/>
                      <w:color w:val="000000"/>
                      <w:sz w:val="24"/>
                      <w:szCs w:val="30"/>
                      <w:lang w:val="en-US" w:eastAsia="zh-CN"/>
                    </w:rPr>
                    <m:t>其他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  <m:e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</m:mr>
            </m:m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;</w:t>
      </w:r>
    </w:p>
    <w:p w14:paraId="46722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2.设存储量为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y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(2000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≤y≤6000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),根据供需情况确定利润函数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g</m:t>
        </m:r>
        <m:d>
          <m:dPr>
            <m:sep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,再计算期望利润</w:t>
      </w:r>
    </w:p>
    <w:p w14:paraId="5D19B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E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g</m:t>
              </m:r>
              <m:d>
                <m:dPr>
                  <m:sepChr m:val=""/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2000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6000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sup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nary>
          <m:d>
            <m:dPr>
              <m:sepChr m:val="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⋅</m:t>
          </m:r>
          <m:f>
            <m:fP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4000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dx;</m:t>
          </m:r>
        </m:oMath>
      </m:oMathPara>
    </w:p>
    <w:p w14:paraId="3E7543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3.</w:t>
      </w: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对期望利润函数求导，令导数</w:t>
      </w:r>
      <m:oMath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1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4000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en>
        </m:f>
        <m:d>
          <m:dPr>
            <m:sepChr m:val=""/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−12y+32000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=0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,解得唯一驻点</w:t>
      </w:r>
    </w:p>
    <w:p w14:paraId="29F7AD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center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y=</m:t>
        </m:r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8000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宋体" w:cs="宋体"/>
                <w:color w:val="000000"/>
                <w:sz w:val="24"/>
                <w:szCs w:val="30"/>
                <w:lang w:val="en-US" w:eastAsia="zh-CN"/>
              </w:rPr>
              <m:t>3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≈2700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件，</w:t>
      </w:r>
    </w:p>
    <w:p w14:paraId="06B3D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4.将</w:t>
      </w:r>
      <m:oMath>
        <m:r>
          <m:rPr>
            <m:sty m:val="p"/>
          </m:rPr>
          <w:rPr>
            <w:rFonts w:hint="default" w:ascii="Times New Roman" w:hAnsi="Times New Roman" w:eastAsia="宋体" w:cs="宋体"/>
            <w:color w:val="000000"/>
            <w:sz w:val="24"/>
            <w:szCs w:val="30"/>
            <w:lang w:val="en-US" w:eastAsia="zh-CN"/>
          </w:rPr>
          <m:t>y=2700</m:t>
        </m:r>
      </m:oMath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代入期望利润公式，得</w:t>
      </w:r>
    </w:p>
    <w:p w14:paraId="7BC0E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E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g</m:t>
              </m:r>
              <m:d>
                <m:dPr>
                  <m:sepChr m:val=""/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4000</m:t>
              </m:r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en>
          </m:f>
          <m:d>
            <m:dPr>
              <m:sepChr m:val=""/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−6×</m:t>
              </m:r>
              <m:sSup>
                <m:sSupP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2700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Times New Roman" w:hAnsi="Times New Roman" w:eastAsia="宋体" w:cs="宋体"/>
                  <w:color w:val="000000"/>
                  <w:sz w:val="24"/>
                  <w:szCs w:val="30"/>
                  <w:lang w:val="en-US" w:eastAsia="zh-CN"/>
                </w:rPr>
                <m:t>+32000×2700+4×</m:t>
              </m:r>
              <m:sSup>
                <m:sSupP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10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宋体"/>
                      <w:color w:val="000000"/>
                      <w:sz w:val="24"/>
                      <w:szCs w:val="30"/>
                      <w:lang w:val="en-US" w:eastAsia="zh-CN"/>
                    </w:rPr>
                    <m:t>7</m:t>
                  </m:r>
                  <m:ctrlPr>
                    <w:rPr>
                      <w:rFonts w:hint="default" w:ascii="Cambria Math" w:hAnsi="Cambria Math" w:eastAsia="宋体" w:cs="宋体"/>
                      <w:b w:val="0"/>
                      <w:bCs w:val="0"/>
                      <w:color w:val="000000"/>
                      <w:sz w:val="24"/>
                      <w:szCs w:val="30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eastAsia="宋体" w:cs="宋体"/>
                  <w:b w:val="0"/>
                  <w:bCs w:val="0"/>
                  <w:color w:val="000000"/>
                  <w:sz w:val="24"/>
                  <w:szCs w:val="30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=20665</m:t>
          </m:r>
          <m:r>
            <m:rPr>
              <m:nor/>
              <m:sty m:val="p"/>
            </m:rPr>
            <w:rPr>
              <w:rFonts w:hint="default" w:ascii="Times New Roman" w:hAnsi="Times New Roman" w:eastAsia="宋体" w:cs="宋体"/>
              <w:color w:val="000000"/>
              <w:sz w:val="24"/>
              <w:szCs w:val="30"/>
              <w:lang w:val="en-US" w:eastAsia="zh-CN"/>
            </w:rPr>
            <m:t>元。</m:t>
          </m:r>
        </m:oMath>
      </m:oMathPara>
    </w:p>
    <w:p w14:paraId="3E915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当存储量约为2700件时，商家期望利润最大（20665元）。这表明并非进货越多利润越高，因商品积压会产生降价损失，需平衡供需。该模型通过数学期望量化不同存储量下的预期收益，为商家规避“过量库存”或“缺货断供”风险提供科学依据，实现展销活动中库存资源的最优配置</w:t>
      </w: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。</w:t>
      </w:r>
    </w:p>
    <w:p w14:paraId="2E641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下面是用matlab代码实现：</w:t>
      </w:r>
    </w:p>
    <w:p w14:paraId="582E4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clear; clc; close all;</w:t>
      </w:r>
    </w:p>
    <w:p w14:paraId="2B944D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p0 = 50;</w:t>
      </w:r>
    </w:p>
    <w:p w14:paraId="113554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p1 = 56; </w:t>
      </w:r>
    </w:p>
    <w:p w14:paraId="27945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p2 = 52;</w:t>
      </w:r>
    </w:p>
    <w:p w14:paraId="278726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p3 = 56 - 10; </w:t>
      </w:r>
    </w:p>
    <w:p w14:paraId="34D02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a = 2000; </w:t>
      </w:r>
    </w:p>
    <w:p w14:paraId="255B5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b = 6000; </w:t>
      </w:r>
    </w:p>
    <w:p w14:paraId="148E5D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f = 1/(b - a); % 均匀分布概率密度函数系数</w:t>
      </w:r>
    </w:p>
    <w:p w14:paraId="41E66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syms x y real; </w:t>
      </w:r>
    </w:p>
    <w:p w14:paraId="28099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assume(y &gt;= a &amp; y &lt;= b); </w:t>
      </w:r>
    </w:p>
    <w:p w14:paraId="0BA37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% 分段利润函数</w:t>
      </w:r>
    </w:p>
    <w:p w14:paraId="3B0461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profit_case1 = (p1 - p0)*x + (p3 - p0)*(y - x);</w:t>
      </w:r>
    </w:p>
    <w:p w14:paraId="3F227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profit_case2 = (p1 - p0)*y + (p1 - p2)*(x - y);</w:t>
      </w:r>
    </w:p>
    <w:p w14:paraId="3A5DD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% 期望利润计算</w:t>
      </w:r>
    </w:p>
    <w:p w14:paraId="47120C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E_profit = f * (int(profit_case1, x, a, y) + int(profit_case2, x, y, b));</w:t>
      </w:r>
    </w:p>
    <w:p w14:paraId="44DFD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E_profit_simplify = simplify(E_profit);</w:t>
      </w:r>
    </w:p>
    <w:p w14:paraId="289A0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fprintf('简化的期望利润函数：\n');</w:t>
      </w:r>
    </w:p>
    <w:p w14:paraId="0A0EE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disp(E_profit_simplify);</w:t>
      </w:r>
    </w:p>
    <w:p w14:paraId="1191CE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dE_dy = diff(E_profit, y);</w:t>
      </w:r>
    </w:p>
    <w:p w14:paraId="62B83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y_opt = solve(dE_dy == 0, y);</w:t>
      </w:r>
    </w:p>
    <w:p w14:paraId="4AC3E0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y_opt_num = vpa(y_opt, 6);</w:t>
      </w:r>
    </w:p>
    <w:p w14:paraId="0B7B8D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fprintf('\n最优存储量：%.2f 件\n', y_opt_num);</w:t>
      </w:r>
    </w:p>
    <w:p w14:paraId="43815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% 绘制曲线</w:t>
      </w:r>
    </w:p>
    <w:p w14:paraId="470BDD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y_range = linspace(a, b, 200);</w:t>
      </w:r>
    </w:p>
    <w:p w14:paraId="12D0DD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E_profit_range = double(subs(E_profit, y, y_range));</w:t>
      </w:r>
    </w:p>
    <w:p w14:paraId="58AA9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figure('Position', [100, 100, 900, 600]);</w:t>
      </w:r>
    </w:p>
    <w:p w14:paraId="15B21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plot(y_range, E_profit_range, 'LineWidth', 2.5, 'Color', [0.1, 0.5, 0.8]);</w:t>
      </w:r>
    </w:p>
    <w:p w14:paraId="1E071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hold on;</w:t>
      </w:r>
    </w:p>
    <w:p w14:paraId="630A4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plot(double(y_opt_num), double(subs(E_profit, y, y_opt_num)), 'ro', ...</w:t>
      </w:r>
    </w:p>
    <w:p w14:paraId="26125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'MarkerSize', 10, 'MarkerFaceColor', [0.9, 0.2, 0.2]);</w:t>
      </w:r>
    </w:p>
    <w:p w14:paraId="6DD401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xlabel('存储量（件）', 'FontSize', 13);</w:t>
      </w:r>
    </w:p>
    <w:p w14:paraId="49D06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ylabel('期望利润（元）', 'FontSize', 13);</w:t>
      </w:r>
    </w:p>
    <w:p w14:paraId="43570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title('期望利润随存储量变化曲线', 'FontSize', 15);</w:t>
      </w:r>
    </w:p>
    <w:p w14:paraId="38DC2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grid on;</w:t>
      </w:r>
    </w:p>
    <w:p w14:paraId="7F5266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hold off;</w:t>
      </w:r>
    </w:p>
    <w:p w14:paraId="2B3A1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center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drawing>
          <wp:inline distT="0" distB="0" distL="114300" distR="114300">
            <wp:extent cx="3523615" cy="1943735"/>
            <wp:effectExtent l="0" t="0" r="635" b="8890"/>
            <wp:docPr id="3" name="图片 3" descr="untitle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ntitled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A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cs="宋体"/>
          <w:b w:val="0"/>
          <w:bCs w:val="0"/>
          <w:color w:val="000000"/>
          <w:sz w:val="22"/>
          <w:szCs w:val="28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22"/>
          <w:szCs w:val="28"/>
          <w:lang w:val="en-US" w:eastAsia="zh-CN"/>
        </w:rPr>
        <w:t>图1.期望随存储量变化曲线</w:t>
      </w:r>
    </w:p>
    <w:p w14:paraId="196D5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cs="宋体"/>
          <w:b w:val="0"/>
          <w:bCs w:val="0"/>
          <w:color w:val="000000"/>
          <w:sz w:val="22"/>
          <w:szCs w:val="28"/>
          <w:lang w:val="en-US" w:eastAsia="zh-CN"/>
        </w:rPr>
      </w:pPr>
    </w:p>
    <w:p w14:paraId="4E65C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</w:pPr>
      <w:r>
        <w:rPr>
          <w:rFonts w:hint="eastAsia" w:cs="宋体"/>
          <w:b/>
          <w:bCs/>
          <w:color w:val="000000"/>
          <w:sz w:val="24"/>
          <w:szCs w:val="30"/>
          <w:lang w:val="en-US" w:eastAsia="zh-CN"/>
        </w:rPr>
        <w:t>三、数学期望</w:t>
      </w:r>
      <w:r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在经济管理决策中的应用</w:t>
      </w:r>
    </w:p>
    <w:p w14:paraId="67A5A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在进行经济管理决策之前，往往存在不确定的随机因素，从而所作的决策有一定的风险，只有正确、科学的决策才能达到以最小的成本获得最大的安全保障的总目标，才能尽可能节约成本。</w:t>
      </w:r>
    </w:p>
    <w:p w14:paraId="7B9B3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某人有一笔资金，可投入三个项目：房产、地产和商业，其收益和市场状态有关，若把未来市场划分为好、中、差三个等级，其发生的概率分别为0.2、0.7、0.1，根据市场调研的情况可知不同等级状态下各种投资的年收益（万元）</w:t>
      </w: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。</w:t>
      </w:r>
    </w:p>
    <w:p w14:paraId="0D069E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center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表1各种投资年收益分布表</w:t>
      </w:r>
    </w:p>
    <w:tbl>
      <w:tblPr>
        <w:tblStyle w:val="9"/>
        <w:tblW w:w="0" w:type="auto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1708"/>
        <w:gridCol w:w="1708"/>
        <w:gridCol w:w="1708"/>
      </w:tblGrid>
      <w:tr w14:paraId="1A3F90D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1D5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市场状态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0B0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好（p=0.2）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328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中（p=0.7）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27B8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差（p=0.1）</w:t>
            </w:r>
          </w:p>
        </w:tc>
      </w:tr>
      <w:tr w14:paraId="2F8A31D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42C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房产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F85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474D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C2EE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-3</w:t>
            </w:r>
          </w:p>
        </w:tc>
      </w:tr>
      <w:tr w14:paraId="1D65A28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95F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地产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EC7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1BE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51B1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-1</w:t>
            </w:r>
          </w:p>
        </w:tc>
      </w:tr>
      <w:tr w14:paraId="3376FEE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52F5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商业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F33C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8F3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69C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30"/>
                <w:lang w:val="en-US" w:eastAsia="zh-CN"/>
              </w:rPr>
              <w:t>-2</w:t>
            </w:r>
          </w:p>
        </w:tc>
      </w:tr>
    </w:tbl>
    <w:p w14:paraId="225BA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请问：该投资者如何投资好？</w:t>
      </w:r>
    </w:p>
    <w:p w14:paraId="7212D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解</w:t>
      </w: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：</w:t>
      </w: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我们先考察数学期望，可知：</w:t>
      </w:r>
    </w:p>
    <w:p w14:paraId="5D79B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E(房产)=11×0.2+3×0.7+(-3)×0.1=4（万元）</w:t>
      </w:r>
    </w:p>
    <w:p w14:paraId="0A484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E(地产)=6×0.2+4×0.7+(-1)×0.1=3.9（万元）</w:t>
      </w:r>
    </w:p>
    <w:p w14:paraId="1D74B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E(商业)=10×0.2+2×0.7+(-2)×0.1=3.2（万元）</w:t>
      </w:r>
    </w:p>
    <w:p w14:paraId="3CF6F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根据数学期望可知，投资房产的平均收益最大，可能选择房产，但投资也要考虑风险，我们再来考虑它们的方差：</w:t>
      </w:r>
    </w:p>
    <w:p w14:paraId="4A1C0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D(房产)=(11-4)²×0.2+(3-4)²×0.7+(-3-4)²×0.1=15.4</w:t>
      </w:r>
    </w:p>
    <w:p w14:paraId="2C544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D(地产)=(6-3.9)²×0.2+(4-3.9)²×0.7+(-1-3.9)²×0.1=5.29</w:t>
      </w:r>
    </w:p>
    <w:p w14:paraId="55C50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D(商业)=(10-3.2)²×0.2+(2-3.2)²×0.7+(-2-3.2)²×0.1=12.96</w:t>
      </w:r>
    </w:p>
    <w:p w14:paraId="35C77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color w:val="000000"/>
          <w:sz w:val="24"/>
          <w:szCs w:val="30"/>
          <w:lang w:val="en-US" w:eastAsia="zh-CN"/>
        </w:rPr>
        <w:t>因为方差愈大，则收益的波动大，从而风险也大，所以从方差看，投资房产的风险比投资地产的风险大得多，若收益与风险综合权衡，该投资者还是应该选择投资地产为好，虽然平均收益少0.1万元，但风险要小一半以上。。从数学期望看，房产投资平均收益最高，易让决策者优先考虑，但进一步引入方差衡量风险，揭示出房产收益波动大、风险显著高于地产的关键问题。</w:t>
      </w:r>
    </w:p>
    <w:p w14:paraId="563AA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下面是matlab代码实现部分功能：</w:t>
      </w:r>
    </w:p>
    <w:p w14:paraId="585F1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clear; clc; close all;</w:t>
      </w:r>
    </w:p>
    <w:p w14:paraId="38C3C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projects = {'房产', '地产', '商业'}; </w:t>
      </w:r>
    </w:p>
    <w:p w14:paraId="731083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profit_matrix = [11, 3, -3;6, 4, -1;</w:t>
      </w:r>
    </w:p>
    <w:p w14:paraId="414F81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10, 2, -2];</w:t>
      </w:r>
    </w:p>
    <w:p w14:paraId="4264D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prob = [0.2, 0.7, 0.1];</w:t>
      </w:r>
    </w:p>
    <w:p w14:paraId="0ED6F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[n_projects, ~] = size(profit_matrix);</w:t>
      </w:r>
    </w:p>
    <w:p w14:paraId="3C0D24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E_profit = zeros(1, n_projects); </w:t>
      </w:r>
    </w:p>
    <w:p w14:paraId="681A5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D_profit = zeros(1, n_projects);</w:t>
      </w:r>
    </w:p>
    <w:p w14:paraId="0F94B2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for i = 1:n_projects</w:t>
      </w:r>
    </w:p>
    <w:p w14:paraId="09878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E_profit(i) = dot(profit_matrix(i, :), prob);</w:t>
      </w:r>
    </w:p>
    <w:p w14:paraId="4B723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profit_diff = profit_matrix(i, :) - E_profit(i);</w:t>
      </w:r>
    </w:p>
    <w:p w14:paraId="458EB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D_profit(i) = dot(profit_diff.^2, prob);</w:t>
      </w:r>
    </w:p>
    <w:p w14:paraId="0EFB14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end</w:t>
      </w:r>
    </w:p>
    <w:p w14:paraId="03F4DA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figure('Position', [200, 200, 800, 600]);</w:t>
      </w:r>
    </w:p>
    <w:p w14:paraId="207D1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h1 = scatter(D_profit, E_profit, 200, ...</w:t>
      </w:r>
    </w:p>
    <w:p w14:paraId="22F9B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[0.8, 0.3, 0.3; 0.3, 0.8, 0.3; 0.3, 0.3, 0.8], 'filled');</w:t>
      </w:r>
    </w:p>
    <w:p w14:paraId="48975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hold on;</w:t>
      </w:r>
    </w:p>
    <w:p w14:paraId="60F4B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mean_E = mean(E_profit);</w:t>
      </w:r>
    </w:p>
    <w:p w14:paraId="50D29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598" w:leftChars="285" w:firstLine="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h2 = plot([min(D_profit)-1, max(D_profit)+1], [mean_E, mean_E], 'k--', 'LineWidth', 1.5);</w:t>
      </w:r>
    </w:p>
    <w:p w14:paraId="14D46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mean_D = mean(D_profit);</w:t>
      </w:r>
    </w:p>
    <w:p w14:paraId="587FE8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598" w:leftChars="285" w:firstLine="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h3 = plot([mean_D, mean_D], [min(E_profit)-1, max(E_profit)+1], 'k--', 'LineWidth', 1.5);</w:t>
      </w:r>
    </w:p>
    <w:p w14:paraId="60C30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[~, max_return_idx] = max(E_profit);</w:t>
      </w:r>
    </w:p>
    <w:p w14:paraId="4C486F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598" w:leftChars="285" w:firstLine="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h4 = plot(D_profit(max_return_idx), E_profit(max_return_idx), 'rs', 'MarkerSize', 10, 'MarkerFaceColor', 'r');</w:t>
      </w:r>
    </w:p>
    <w:p w14:paraId="55C03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[~, min_risk_idx] = min(D_profit);</w:t>
      </w:r>
    </w:p>
    <w:p w14:paraId="746CF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598" w:leftChars="285" w:firstLine="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h5 = plot(D_profit(min_risk_idx), E_profit(min_risk_idx), 'gs', 'MarkerSize', 10, 'MarkerFaceColor', 'g');</w:t>
      </w:r>
    </w:p>
    <w:p w14:paraId="2AA92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xlabel('方差（风险）', 'FontSize', 13, 'FontWeight', 'bold');</w:t>
      </w:r>
    </w:p>
    <w:p w14:paraId="63FAE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ylabel('期望收益（万元）', 'FontSize', 13, 'FontWeight', 'bold');</w:t>
      </w:r>
    </w:p>
    <w:p w14:paraId="5B7D7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title('投资项目：收益-风险动态权衡分析', 'FontSize', 15, 'FontWeight', 'bold');</w:t>
      </w:r>
    </w:p>
    <w:p w14:paraId="5FA0AC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grid on;</w:t>
      </w:r>
    </w:p>
    <w:p w14:paraId="6E93D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text(D_profit(1)+0.2, E_profit(1)+0.2, ...</w:t>
      </w:r>
    </w:p>
    <w:p w14:paraId="48510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598" w:leftChars="285" w:firstLine="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sprintf('%s\n收益：%.1f万\n风险：%.2f', projects{1}, E_profit(1), D_profit(1)), ...</w:t>
      </w:r>
    </w:p>
    <w:p w14:paraId="7CF14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'FontSize', 10, 'Color', [0.8, 0.3, 0.3]);</w:t>
      </w:r>
    </w:p>
    <w:p w14:paraId="06A3B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text(D_profit(2)+0.2, E_profit(2)+0.2, ...</w:t>
      </w:r>
    </w:p>
    <w:p w14:paraId="6DFC2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598" w:leftChars="285" w:firstLine="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sprintf('%s\n收益：%.1f万\n风险：%.2f', projects{2}, E_profit(2), D_profit(2)), ...</w:t>
      </w:r>
    </w:p>
    <w:p w14:paraId="48045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'FontSize', 10, 'Color', [0.3, 0.8, 0.3]);</w:t>
      </w:r>
    </w:p>
    <w:p w14:paraId="18933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text(D_profit(3)+0.2, E_profit(3)+0.2, ...</w:t>
      </w:r>
    </w:p>
    <w:p w14:paraId="7C949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598" w:leftChars="285" w:firstLine="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sprintf('%s\n收益：%.1f万\n风险：%.2f', projects{3}, E_profit(3), D_profit(3)), ...</w:t>
      </w:r>
    </w:p>
    <w:p w14:paraId="271E5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'FontSize', 10, 'Color', [0.3, 0.3, 0.8]);</w:t>
      </w:r>
    </w:p>
    <w:p w14:paraId="1FAEE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fprintf('投资决策建议：\n');</w:t>
      </w:r>
    </w:p>
    <w:p w14:paraId="65C79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fprintf('1. 追求最高期望收益：选择%s（期望收益：%.1f万元）\n', ...</w:t>
      </w:r>
    </w:p>
    <w:p w14:paraId="5FD4B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projects{max_return_idx}, E_profit(max_return_idx));</w:t>
      </w:r>
    </w:p>
    <w:p w14:paraId="4C6F3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fprintf('2. 兼顾收益与风险：选择%s（期望收益：%.1f万元，风险方差：%.2f）\n', ...</w:t>
      </w:r>
    </w:p>
    <w:p w14:paraId="41540F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projects{min_risk_idx}, E_profit(min_risk_idx), D_profit(min_risk_idx));</w:t>
      </w:r>
    </w:p>
    <w:p w14:paraId="68907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600" w:firstLineChars="3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044440" cy="3507105"/>
            <wp:effectExtent l="0" t="0" r="3810" b="7620"/>
            <wp:docPr id="4" name="图片 4" descr="untitl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ntitled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5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jc w:val="center"/>
        <w:textAlignment w:val="auto"/>
        <w:rPr>
          <w:rFonts w:hint="default" w:cs="宋体"/>
          <w:b w:val="0"/>
          <w:bCs w:val="0"/>
          <w:color w:val="000000"/>
          <w:sz w:val="22"/>
          <w:szCs w:val="28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22"/>
          <w:szCs w:val="28"/>
          <w:lang w:val="en-US" w:eastAsia="zh-CN"/>
        </w:rPr>
        <w:t>图2.收益-风险动态权衡分析</w:t>
      </w:r>
    </w:p>
    <w:p w14:paraId="77836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cs="宋体"/>
          <w:b/>
          <w:bCs/>
          <w:color w:val="000000"/>
          <w:sz w:val="24"/>
          <w:szCs w:val="30"/>
          <w:lang w:val="en-US" w:eastAsia="zh-CN"/>
        </w:rPr>
      </w:pPr>
    </w:p>
    <w:p w14:paraId="36FA7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</w:pPr>
      <w:r>
        <w:rPr>
          <w:rFonts w:hint="eastAsia" w:cs="宋体"/>
          <w:b/>
          <w:bCs/>
          <w:color w:val="000000"/>
          <w:sz w:val="24"/>
          <w:szCs w:val="30"/>
          <w:lang w:val="en-US" w:eastAsia="zh-CN"/>
        </w:rPr>
        <w:t>四、</w:t>
      </w:r>
      <w:r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结论</w:t>
      </w:r>
    </w:p>
    <w:p w14:paraId="6BB27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（1）数学期望是商业管理决策的核心量化工具，其对离散型、连续型随机变量及函数的平均水平量化能力，能有效破解市场不确定性带来的决策难题，为库存、投资等关键环节提供客观依据，弥补经验决策的局限性。</w:t>
      </w:r>
    </w:p>
    <w:p w14:paraId="4F118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（2）商业决策需兼顾收益与风险，数学期望与方差的搭配使用至关重要。单一期望收益无法反映波动风险，二者结合可全面评估方案合理性，如投资决策中地产项目因低风险优势更具实际选择价值。</w:t>
      </w:r>
    </w:p>
    <w:p w14:paraId="17316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24"/>
          <w:szCs w:val="30"/>
          <w:lang w:val="en-US" w:eastAsia="zh-CN"/>
        </w:rPr>
        <w:t>（3）数学期望的应用场景可进一步拓展，未来可结合更多商业场景如定价策略、供应链调度等，深化模型构建，同时融入大数据技术提升数据精准度，为商业管理提供更全面的决策支持。</w:t>
      </w:r>
    </w:p>
    <w:p w14:paraId="0057E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cs="宋体"/>
          <w:b w:val="0"/>
          <w:bCs w:val="0"/>
          <w:color w:val="000000"/>
          <w:sz w:val="24"/>
          <w:szCs w:val="30"/>
          <w:lang w:val="en-US" w:eastAsia="zh-CN"/>
        </w:rPr>
      </w:pPr>
    </w:p>
    <w:p w14:paraId="7A774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</w:pPr>
      <w:r>
        <w:rPr>
          <w:rFonts w:hint="eastAsia" w:cs="宋体"/>
          <w:b/>
          <w:bCs/>
          <w:color w:val="000000"/>
          <w:sz w:val="24"/>
          <w:szCs w:val="30"/>
          <w:lang w:val="en-US" w:eastAsia="zh-CN"/>
        </w:rPr>
        <w:t>五</w:t>
      </w:r>
      <w:r>
        <w:rPr>
          <w:rFonts w:hint="eastAsia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、</w:t>
      </w:r>
      <w:r>
        <w:rPr>
          <w:rFonts w:hint="default" w:ascii="Times New Roman" w:hAnsi="Times New Roman" w:eastAsia="宋体" w:cs="宋体"/>
          <w:b/>
          <w:bCs/>
          <w:color w:val="000000"/>
          <w:sz w:val="24"/>
          <w:szCs w:val="30"/>
          <w:lang w:val="en-US" w:eastAsia="zh-CN"/>
        </w:rPr>
        <w:t>心得体会</w:t>
      </w:r>
    </w:p>
    <w:p w14:paraId="774F9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宋体"/>
          <w:color w:val="000000"/>
          <w:sz w:val="24"/>
          <w:szCs w:val="30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30"/>
          <w:lang w:val="en-US" w:eastAsia="zh-CN"/>
        </w:rPr>
        <w:t>此次</w:t>
      </w:r>
      <w:r>
        <w:rPr>
          <w:rFonts w:hint="eastAsia" w:cs="宋体"/>
          <w:color w:val="000000"/>
          <w:sz w:val="24"/>
          <w:szCs w:val="30"/>
          <w:lang w:val="en-US" w:eastAsia="zh-CN"/>
        </w:rPr>
        <w:t>研究</w:t>
      </w:r>
      <w:r>
        <w:rPr>
          <w:rFonts w:hint="eastAsia" w:ascii="Times New Roman" w:hAnsi="Times New Roman" w:eastAsia="宋体" w:cs="宋体"/>
          <w:color w:val="000000"/>
          <w:sz w:val="24"/>
          <w:szCs w:val="30"/>
          <w:lang w:val="en-US" w:eastAsia="zh-CN"/>
        </w:rPr>
        <w:t>数学期望在商业管理中的应用，让我深刻体会到理论与实践结合的价值。起初面对离散型、连续型随机变量的公式时，仅觉得是抽象的数学符号；但当将其代入最优存储决策模型，通过计算确定2700件的最优货源量，或是在投资决策中对比不同项目的期望与方差时，才真正理解数学期望如何将“不确定的商业问题”转化为“可量化的决策依据”。这不仅提升了我运用概率统计知识解决实际问题的能力，更让我意识到，商业管理中的科学决策并非依赖主观判断，而是建立在严谨的数学逻辑之上。</w:t>
      </w:r>
    </w:p>
    <w:p w14:paraId="74B78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宋体"/>
          <w:color w:val="000000"/>
          <w:sz w:val="24"/>
          <w:szCs w:val="30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30"/>
          <w:lang w:val="en-US" w:eastAsia="zh-CN"/>
        </w:rPr>
        <w:t>在研究过程中，投资决策案例的分析给我带来诸多启发。起初仅依据期望收益，我直观认为应选择房产项目；但引入方差衡量风险后，才发现地产项目因波动更小，更符合“稳健收益”的商业需求。这一过程让我明白，商业决策需具备全面视角——既要关注收益水平，也要重视风险控制。同时，也让我意识到数学工具的“工具性”与“灵活性”，后续若能将数学期望与更多商业场景（如供应链协调、定价策略）结合，或许能挖掘出更丰富的应用价值，这也为我后续的学习与实践指明了方向。</w:t>
      </w:r>
    </w:p>
    <w:p w14:paraId="53DCB08D">
      <w:pPr>
        <w:rPr>
          <w:rFonts w:hint="default" w:ascii="Times New Roman" w:hAnsi="Times New Roman" w:eastAsia="宋体" w:cs="宋体"/>
          <w:color w:val="000000"/>
          <w:sz w:val="24"/>
          <w:szCs w:val="30"/>
          <w:lang w:val="en-US" w:eastAsia="zh-CN"/>
        </w:rPr>
      </w:pPr>
      <w:r>
        <w:rPr>
          <w:rFonts w:hint="default" w:ascii="Times New Roman" w:hAnsi="Times New Roman" w:eastAsia="宋体" w:cs="宋体"/>
          <w:color w:val="000000"/>
          <w:sz w:val="24"/>
          <w:szCs w:val="30"/>
          <w:lang w:val="en-US" w:eastAsia="zh-CN"/>
        </w:rPr>
        <w:br w:type="page"/>
      </w:r>
    </w:p>
    <w:p w14:paraId="0125411A">
      <w:pPr>
        <w:widowControl/>
        <w:jc w:val="center"/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  <w:t>参考文献</w:t>
      </w:r>
    </w:p>
    <w:p w14:paraId="09FA762E">
      <w:pPr>
        <w:widowControl/>
        <w:jc w:val="center"/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</w:pPr>
    </w:p>
    <w:p w14:paraId="25E73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hanging="480" w:hangingChars="200"/>
        <w:jc w:val="left"/>
        <w:textAlignment w:val="auto"/>
        <w:rPr>
          <w:rFonts w:hint="eastAsia" w:ascii="Times New Roman" w:hAnsi="Times New Roman" w:cs="宋体"/>
          <w:color w:val="000000"/>
          <w:sz w:val="24"/>
          <w:szCs w:val="30"/>
        </w:rPr>
      </w:pPr>
      <w:r>
        <w:rPr>
          <w:rFonts w:hint="eastAsia" w:ascii="Times New Roman" w:hAnsi="Times New Roman" w:cs="宋体"/>
          <w:color w:val="000000"/>
          <w:sz w:val="24"/>
          <w:szCs w:val="30"/>
        </w:rPr>
        <w:t>[1]于小丽,姜奇平.数据资本资产定价模型：基于两部收费的方法[J].财经问题研究,2024,(04):16-32.DOI:10.19654/j.cnki.cjwtyj.2024.04.002.</w:t>
      </w:r>
    </w:p>
    <w:p w14:paraId="7C617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hanging="480" w:hangingChars="200"/>
        <w:jc w:val="left"/>
        <w:textAlignment w:val="auto"/>
        <w:rPr>
          <w:rFonts w:hint="eastAsia" w:ascii="Times New Roman" w:hAnsi="Times New Roman" w:cs="宋体"/>
          <w:color w:val="000000"/>
          <w:sz w:val="24"/>
          <w:szCs w:val="30"/>
        </w:rPr>
      </w:pPr>
      <w:r>
        <w:rPr>
          <w:rFonts w:hint="eastAsia" w:ascii="Times New Roman" w:hAnsi="Times New Roman" w:cs="宋体"/>
          <w:color w:val="000000"/>
          <w:sz w:val="24"/>
          <w:szCs w:val="30"/>
        </w:rPr>
        <w:t>[2]顾梦娇.数学期望的应用[J].数理天地(高中版),2022,(02):18-19.</w:t>
      </w:r>
    </w:p>
    <w:p w14:paraId="0BC9A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hanging="480" w:hangingChars="200"/>
        <w:jc w:val="left"/>
        <w:textAlignment w:val="auto"/>
        <w:rPr>
          <w:rFonts w:hint="eastAsia" w:ascii="Times New Roman" w:hAnsi="Times New Roman" w:cs="宋体"/>
          <w:color w:val="000000"/>
          <w:sz w:val="24"/>
          <w:szCs w:val="30"/>
        </w:rPr>
      </w:pPr>
      <w:r>
        <w:rPr>
          <w:rFonts w:hint="eastAsia" w:ascii="Times New Roman" w:hAnsi="Times New Roman" w:cs="宋体"/>
          <w:color w:val="000000"/>
          <w:sz w:val="24"/>
          <w:szCs w:val="30"/>
        </w:rPr>
        <w:t>[3]傅桂清.浅谈数学期望在经济问题中的应用[J].现代职业</w:t>
      </w:r>
      <w:r>
        <w:rPr>
          <w:rFonts w:hint="eastAsia" w:cs="宋体"/>
          <w:color w:val="000000"/>
          <w:sz w:val="24"/>
          <w:szCs w:val="30"/>
          <w:lang w:val="en-US" w:eastAsia="zh-CN"/>
        </w:rPr>
        <w:t>教</w:t>
      </w:r>
      <w:r>
        <w:rPr>
          <w:rFonts w:hint="eastAsia" w:ascii="Times New Roman" w:hAnsi="Times New Roman" w:cs="宋体"/>
          <w:color w:val="000000"/>
          <w:sz w:val="24"/>
          <w:szCs w:val="30"/>
        </w:rPr>
        <w:t>育,2021,(39):154-155.</w:t>
      </w:r>
    </w:p>
    <w:p w14:paraId="2C86A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hanging="480" w:hangingChars="200"/>
        <w:jc w:val="left"/>
        <w:textAlignment w:val="auto"/>
        <w:rPr>
          <w:rFonts w:hint="eastAsia" w:ascii="Times New Roman" w:hAnsi="Times New Roman" w:cs="宋体"/>
          <w:color w:val="000000"/>
          <w:sz w:val="24"/>
          <w:szCs w:val="30"/>
        </w:rPr>
      </w:pPr>
      <w:r>
        <w:rPr>
          <w:rFonts w:hint="eastAsia" w:ascii="Times New Roman" w:hAnsi="Times New Roman" w:cs="宋体"/>
          <w:color w:val="000000"/>
          <w:sz w:val="24"/>
          <w:szCs w:val="30"/>
        </w:rPr>
        <w:t>[4]张春红,王家宇,田宇.基于数学期望的决策模型[J].职业技术,2014,(09):94-95.DOI:10.19552/j.cnki.issn1672-0601.2014.09.069.</w:t>
      </w:r>
    </w:p>
    <w:p w14:paraId="6B82D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hanging="480" w:hangingChars="200"/>
        <w:jc w:val="left"/>
        <w:textAlignment w:val="auto"/>
        <w:rPr>
          <w:rFonts w:hint="eastAsia" w:ascii="Times New Roman" w:hAnsi="Times New Roman" w:cs="宋体"/>
          <w:color w:val="000000"/>
          <w:sz w:val="24"/>
          <w:szCs w:val="30"/>
        </w:rPr>
      </w:pPr>
      <w:r>
        <w:rPr>
          <w:rFonts w:hint="eastAsia" w:ascii="Times New Roman" w:hAnsi="Times New Roman" w:cs="宋体"/>
          <w:color w:val="000000"/>
          <w:sz w:val="24"/>
          <w:szCs w:val="30"/>
        </w:rPr>
        <w:t>[5]刘芳莲.浅析概率统计在经济领域中的应用[J].中国外资,2012,(08):188.</w:t>
      </w:r>
    </w:p>
    <w:p w14:paraId="311B6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hanging="480" w:hangingChars="200"/>
        <w:jc w:val="left"/>
        <w:textAlignment w:val="auto"/>
        <w:rPr>
          <w:rFonts w:hint="eastAsia" w:ascii="Times New Roman" w:hAnsi="Times New Roman" w:cs="宋体"/>
          <w:color w:val="000000"/>
          <w:sz w:val="24"/>
          <w:szCs w:val="30"/>
        </w:rPr>
      </w:pPr>
      <w:r>
        <w:rPr>
          <w:rFonts w:hint="eastAsia" w:ascii="Times New Roman" w:hAnsi="Times New Roman" w:cs="宋体"/>
          <w:color w:val="000000"/>
          <w:sz w:val="24"/>
          <w:szCs w:val="30"/>
        </w:rPr>
        <w:t>[6]李玉莲.基于概率论的商业经济活动探讨[J].知识经济,2012,(08):123.DOI:10.15880/j.cnki.zsjj.2012.08.001.</w:t>
      </w:r>
    </w:p>
    <w:p w14:paraId="7B28E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hanging="480" w:hangingChars="200"/>
        <w:jc w:val="left"/>
        <w:textAlignment w:val="auto"/>
        <w:rPr>
          <w:rFonts w:hint="eastAsia" w:ascii="Times New Roman" w:hAnsi="Times New Roman" w:cs="宋体"/>
          <w:color w:val="000000"/>
          <w:sz w:val="24"/>
          <w:szCs w:val="30"/>
        </w:rPr>
      </w:pPr>
      <w:r>
        <w:rPr>
          <w:rFonts w:hint="eastAsia" w:ascii="Times New Roman" w:hAnsi="Times New Roman" w:cs="宋体"/>
          <w:color w:val="000000"/>
          <w:sz w:val="24"/>
          <w:szCs w:val="30"/>
        </w:rPr>
        <w:t>[7]王凤英,梁志新.基于概率论的商业经济活动探讨[J].商业时代,2010,(11):16-17.</w:t>
      </w:r>
    </w:p>
    <w:sectPr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F1831">
    <w:pPr>
      <w:pStyle w:val="7"/>
      <w:framePr w:wrap="around" w:vAnchor="text" w:hAnchor="margin" w:xAlign="right" w:y="1"/>
      <w:rPr>
        <w:rStyle w:val="11"/>
        <w:rFonts w:hint="eastAsia"/>
        <w:lang w:eastAsia="zh-CN"/>
      </w:rPr>
    </w:pPr>
  </w:p>
  <w:p w14:paraId="13273D97">
    <w:pPr>
      <w:pStyle w:val="7"/>
      <w:ind w:right="360"/>
      <w:jc w:val="center"/>
    </w:pPr>
  </w:p>
  <w:p w14:paraId="12A7D99F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6E3A2">
    <w:pPr>
      <w:pStyle w:val="7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end"/>
    </w:r>
  </w:p>
  <w:p w14:paraId="7DE020AC">
    <w:pPr>
      <w:pStyle w:val="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85237">
    <w:pPr>
      <w:pStyle w:val="7"/>
      <w:rPr>
        <w:rStyle w:val="11"/>
        <w:rFonts w:hint="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F72427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F72427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204D406D">
    <w:pPr>
      <w:pStyle w:val="7"/>
      <w:ind w:right="360"/>
      <w:jc w:val="center"/>
    </w:pPr>
  </w:p>
  <w:p w14:paraId="01AD2366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B71FF"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E35DDE"/>
    <w:multiLevelType w:val="singleLevel"/>
    <w:tmpl w:val="B3E35D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46E"/>
    <w:rsid w:val="00053A74"/>
    <w:rsid w:val="00075859"/>
    <w:rsid w:val="000D7859"/>
    <w:rsid w:val="000D78C7"/>
    <w:rsid w:val="00114E30"/>
    <w:rsid w:val="00146F0F"/>
    <w:rsid w:val="001500D6"/>
    <w:rsid w:val="001659F3"/>
    <w:rsid w:val="001732CE"/>
    <w:rsid w:val="0017587E"/>
    <w:rsid w:val="00192D54"/>
    <w:rsid w:val="001B4B5A"/>
    <w:rsid w:val="0029415A"/>
    <w:rsid w:val="002A0940"/>
    <w:rsid w:val="002A5578"/>
    <w:rsid w:val="002B31EE"/>
    <w:rsid w:val="002E7F4A"/>
    <w:rsid w:val="002F0E7B"/>
    <w:rsid w:val="003068CE"/>
    <w:rsid w:val="0035286F"/>
    <w:rsid w:val="00362A36"/>
    <w:rsid w:val="00370736"/>
    <w:rsid w:val="003D53B8"/>
    <w:rsid w:val="003E2AE1"/>
    <w:rsid w:val="00431B5C"/>
    <w:rsid w:val="00433F38"/>
    <w:rsid w:val="004B23EC"/>
    <w:rsid w:val="004C57D3"/>
    <w:rsid w:val="004E1D26"/>
    <w:rsid w:val="00515FBA"/>
    <w:rsid w:val="0052008C"/>
    <w:rsid w:val="00523B3A"/>
    <w:rsid w:val="00533B86"/>
    <w:rsid w:val="005356F3"/>
    <w:rsid w:val="00591F54"/>
    <w:rsid w:val="00596582"/>
    <w:rsid w:val="005D0B82"/>
    <w:rsid w:val="005D73A0"/>
    <w:rsid w:val="005E26A5"/>
    <w:rsid w:val="005E5D16"/>
    <w:rsid w:val="005F22ED"/>
    <w:rsid w:val="005F6DF0"/>
    <w:rsid w:val="00604AAB"/>
    <w:rsid w:val="00642919"/>
    <w:rsid w:val="00666CB0"/>
    <w:rsid w:val="00697065"/>
    <w:rsid w:val="006F18FD"/>
    <w:rsid w:val="00705BEA"/>
    <w:rsid w:val="00723E78"/>
    <w:rsid w:val="00724F72"/>
    <w:rsid w:val="00741A45"/>
    <w:rsid w:val="00756C35"/>
    <w:rsid w:val="00790F34"/>
    <w:rsid w:val="00791553"/>
    <w:rsid w:val="007D380D"/>
    <w:rsid w:val="007E7C58"/>
    <w:rsid w:val="007F6870"/>
    <w:rsid w:val="00854099"/>
    <w:rsid w:val="008606E8"/>
    <w:rsid w:val="00870C8C"/>
    <w:rsid w:val="008B6F1A"/>
    <w:rsid w:val="0090405B"/>
    <w:rsid w:val="00966F44"/>
    <w:rsid w:val="00970E7F"/>
    <w:rsid w:val="009A03F4"/>
    <w:rsid w:val="009A3E16"/>
    <w:rsid w:val="009C1C1C"/>
    <w:rsid w:val="009D489A"/>
    <w:rsid w:val="00A12AE2"/>
    <w:rsid w:val="00A14010"/>
    <w:rsid w:val="00A26972"/>
    <w:rsid w:val="00A562C0"/>
    <w:rsid w:val="00A6102E"/>
    <w:rsid w:val="00A91767"/>
    <w:rsid w:val="00A96FBC"/>
    <w:rsid w:val="00AD110F"/>
    <w:rsid w:val="00AE3E20"/>
    <w:rsid w:val="00B45F93"/>
    <w:rsid w:val="00B84F27"/>
    <w:rsid w:val="00B92217"/>
    <w:rsid w:val="00C20FB5"/>
    <w:rsid w:val="00C50404"/>
    <w:rsid w:val="00C84FED"/>
    <w:rsid w:val="00CC27F5"/>
    <w:rsid w:val="00D02F65"/>
    <w:rsid w:val="00D22DD5"/>
    <w:rsid w:val="00D23528"/>
    <w:rsid w:val="00D81A83"/>
    <w:rsid w:val="00DC518E"/>
    <w:rsid w:val="00DC7104"/>
    <w:rsid w:val="00E06547"/>
    <w:rsid w:val="00E658E0"/>
    <w:rsid w:val="00EA2551"/>
    <w:rsid w:val="00EA7BB8"/>
    <w:rsid w:val="00ED1410"/>
    <w:rsid w:val="00EE2E76"/>
    <w:rsid w:val="00FB781C"/>
    <w:rsid w:val="00FE5071"/>
    <w:rsid w:val="00FF44C6"/>
    <w:rsid w:val="080C703A"/>
    <w:rsid w:val="09EA5875"/>
    <w:rsid w:val="0B262592"/>
    <w:rsid w:val="11B27BEE"/>
    <w:rsid w:val="1319085D"/>
    <w:rsid w:val="1FAA040A"/>
    <w:rsid w:val="25A8302D"/>
    <w:rsid w:val="30F11075"/>
    <w:rsid w:val="34395CB7"/>
    <w:rsid w:val="35316ED2"/>
    <w:rsid w:val="35725E7F"/>
    <w:rsid w:val="3F5D194E"/>
    <w:rsid w:val="42EC55EE"/>
    <w:rsid w:val="47CD3645"/>
    <w:rsid w:val="4B3E527E"/>
    <w:rsid w:val="528B637A"/>
    <w:rsid w:val="533662E6"/>
    <w:rsid w:val="5C58551F"/>
    <w:rsid w:val="5FFA2985"/>
    <w:rsid w:val="64032214"/>
    <w:rsid w:val="64E40894"/>
    <w:rsid w:val="79026356"/>
    <w:rsid w:val="7DEA1278"/>
    <w:rsid w:val="7F1B44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4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4"/>
    <w:link w:val="15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0">
    <w:name w:val="Default Paragraph Font"/>
    <w:qFormat/>
    <w:uiPriority w:val="0"/>
    <w:rPr>
      <w:rFonts w:ascii="Times New Roman" w:hAnsi="Times New Roman" w:eastAsia="宋体" w:cs="Times New Roman"/>
    </w:rPr>
  </w:style>
  <w:style w:type="table" w:default="1" w:styleId="9">
    <w:name w:val="Normal Table"/>
    <w:qFormat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styleId="6">
    <w:name w:val="Date"/>
    <w:basedOn w:val="1"/>
    <w:next w:val="1"/>
    <w:link w:val="16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7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宋体" w:hAnsi="宋体" w:eastAsia="Times New Roman" w:cs="Times New Roman"/>
      <w:color w:val="000000"/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宋体" w:hAnsi="宋体" w:eastAsia="宋体" w:cs="Times New Roman"/>
      <w:color w:val="000000"/>
      <w:sz w:val="18"/>
      <w:szCs w:val="18"/>
    </w:rPr>
  </w:style>
  <w:style w:type="character" w:styleId="11">
    <w:name w:val="page number"/>
    <w:qFormat/>
    <w:uiPriority w:val="0"/>
    <w:rPr>
      <w:rFonts w:ascii="Times New Roman" w:hAnsi="Times New Roman" w:eastAsia="宋体" w:cs="Times New Roman"/>
    </w:rPr>
  </w:style>
  <w:style w:type="character" w:styleId="12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styleId="13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customStyle="1" w:styleId="14">
    <w:name w:val="页脚 字符"/>
    <w:link w:val="7"/>
    <w:qFormat/>
    <w:uiPriority w:val="0"/>
    <w:rPr>
      <w:rFonts w:ascii="宋体" w:hAnsi="宋体" w:eastAsia="宋体" w:cs="Times New Roman"/>
      <w:color w:val="000000"/>
      <w:kern w:val="2"/>
      <w:sz w:val="18"/>
      <w:szCs w:val="18"/>
      <w:lang w:bidi="ar-SA"/>
    </w:rPr>
  </w:style>
  <w:style w:type="character" w:customStyle="1" w:styleId="15">
    <w:name w:val="标题 3 字符"/>
    <w:link w:val="5"/>
    <w:qFormat/>
    <w:uiPriority w:val="0"/>
    <w:rPr>
      <w:rFonts w:ascii="宋体" w:hAnsi="宋体" w:eastAsia="宋体" w:cs="宋体"/>
      <w:b/>
      <w:bCs/>
      <w:sz w:val="27"/>
      <w:szCs w:val="27"/>
    </w:rPr>
  </w:style>
  <w:style w:type="character" w:customStyle="1" w:styleId="16">
    <w:name w:val="日期 字符"/>
    <w:link w:val="6"/>
    <w:qFormat/>
    <w:uiPriority w:val="0"/>
    <w:rPr>
      <w:rFonts w:ascii="Times New Roman" w:hAnsi="Times New Roman" w:eastAsia="宋体" w:cs="Times New Roman"/>
      <w:kern w:val="2"/>
      <w:sz w:val="21"/>
    </w:r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" w:hAnsi="Times New Roman" w:eastAsia="仿宋" w:cs="仿宋"/>
      <w:color w:val="000000"/>
      <w:sz w:val="24"/>
      <w:szCs w:val="24"/>
      <w:lang w:val="en-US" w:eastAsia="zh-CN" w:bidi="ar-SA"/>
    </w:rPr>
  </w:style>
  <w:style w:type="paragraph" w:customStyle="1" w:styleId="18">
    <w:name w:val="First Paragraph"/>
    <w:basedOn w:val="4"/>
    <w:next w:val="4"/>
    <w:qFormat/>
    <w:uiPriority w:val="0"/>
  </w:style>
  <w:style w:type="paragraph" w:customStyle="1" w:styleId="19">
    <w:name w:val="Compact"/>
    <w:basedOn w:val="4"/>
    <w:qFormat/>
    <w:uiPriority w:val="0"/>
    <w:pPr>
      <w:spacing w:before="36" w:after="36"/>
    </w:pPr>
  </w:style>
  <w:style w:type="table" w:customStyle="1" w:styleId="2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emf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中国石油大学</Company>
  <Pages>10</Pages>
  <Words>3675</Words>
  <Characters>6607</Characters>
  <Lines>6</Lines>
  <Paragraphs>1</Paragraphs>
  <TotalTime>33</TotalTime>
  <ScaleCrop>false</ScaleCrop>
  <LinksUpToDate>false</LinksUpToDate>
  <CharactersWithSpaces>6912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2016-12-28T08:39:00Z</dcterms:created>
  <dc:creator>user</dc:creator>
  <cp:lastModifiedBy>渡.</cp:lastModifiedBy>
  <dcterms:modified xsi:type="dcterms:W3CDTF">2026-06-14T06:31:44Z</dcterms:modified>
  <dc:title> 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eyJoZGlkIjoiZDM3NGU3ZGU3NGUzNjViMWY5NDViNjZiODEwODcxYWQiLCJ1c2VySWQiOiI0NzU4MzgwODQifQ==</vt:lpwstr>
  </property>
  <property fmtid="{D5CDD505-2E9C-101B-9397-08002B2CF9AE}" pid="4" name="ICV">
    <vt:lpwstr>D83A9C4AA74F4B1C94417462D0EFA4B2_13</vt:lpwstr>
  </property>
</Properties>
</file>