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Caso Base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básico: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860287" cy="186069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287" cy="186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770274" cy="18204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0274" cy="182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2 sectores: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3 sectores: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Shock Energetico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Base: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4796302" cy="2328534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302" cy="232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2 sectores: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3 sectores: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Shock markup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base: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4534750" cy="2184926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750" cy="2184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2 sectores: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Shock salarial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base: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4541427" cy="219407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427" cy="219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2 sectores: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Acá se encuentran los snapshot de cada shock para el caso de un sector y 2 sectores para 3 sectores se encuentra solo el caso base y el shock energético pero se puede simular de igual manera el resto de shocks. Los gráficos tienen ligeras variaciones con respecto a los de las diapositivas porque en el caso de 3 y n sectores modificamos a último momento cómo se calcula el margen efectivo entonces nos quedaron algo distintos los valores pero los gráficos mantienen la misma forma.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ejecutar cada shock se debe descargar la carpeta del shock correspondiente para 1, 2 o 3 sectores y ejecutar en modelica el programa ConflictInflationOOM para el caso de 2 o 3 sectores y el programa ConflictInflationSinSectoresYConShocks para el modelo básico de 1 sector.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image" Target="media/image9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24" Type="http://schemas.openxmlformats.org/officeDocument/2006/relationships/image" Target="media/image15.png"/><Relationship Id="rId12" Type="http://schemas.openxmlformats.org/officeDocument/2006/relationships/image" Target="media/image1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zV1B3feNS3cXaOlysSXGtxPF4Q==">CgMxLjA4AHIhMXR5UmRPYXdEMUpDZzBjSE4yQWE4UUhKNFB5TzlJTTYt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2025-12-09T23:46:00Z</dcterms:created>
</cp:coreProperties>
</file>