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0"/>
      </w:pPr>
      <w:r>
        <w:rPr>
          <w:rFonts w:ascii="Arial" w:hAnsi="Arial" w:eastAsia="Arial"/>
          <w:b/>
          <w:caps/>
          <w:color w:val="566575"/>
          <w:sz w:val="26"/>
        </w:rPr>
        <w:t>THE</w:t>
      </w:r>
      <w:r>
        <w:rPr>
          <w:rFonts w:ascii="Arial" w:hAnsi="Arial" w:eastAsia="Arial"/>
          <w:b/>
          <w:caps/>
          <w:color w:val="0B2545"/>
          <w:sz w:val="52"/>
        </w:rPr>
        <w:t xml:space="preserve"> EYE</w:t>
      </w:r>
    </w:p>
    <w:p>
      <w:pPr>
        <w:spacing w:before="1760" w:after="160"/>
      </w:pPr>
      <w:r>
        <w:rPr>
          <w:rFonts w:ascii="Arial" w:hAnsi="Arial" w:eastAsia="Arial"/>
          <w:b/>
          <w:caps/>
          <w:color w:val="007E80"/>
          <w:sz w:val="20"/>
        </w:rPr>
        <w:t>VOLUME 0</w:t>
      </w:r>
    </w:p>
    <w:p>
      <w:pPr>
        <w:pStyle w:val="Title"/>
        <w:spacing w:after="160"/>
        <w:pBdr>
          <w:bottom w:val="single" w:sz="7" w:space="7" w:color="00A6A6"/>
        </w:pBdr>
      </w:pPr>
      <w:r>
        <w:rPr>
          <w:rFonts w:ascii="Arial" w:hAnsi="Arial" w:eastAsia="Arial"/>
          <w:b/>
          <w:color w:val="0B2545"/>
          <w:sz w:val="60"/>
        </w:rPr>
        <w:t>Product Constitution</w:t>
      </w:r>
    </w:p>
    <w:p>
      <w:pPr>
        <w:pStyle w:val="Subtitle"/>
      </w:pPr>
      <w:r>
        <w:rPr>
          <w:rFonts w:ascii="Arial" w:hAnsi="Arial" w:eastAsia="Arial"/>
          <w:color w:val="566575"/>
          <w:sz w:val="28"/>
        </w:rPr>
        <w:t>The Operating System for Strategic Intelligence</w:t>
      </w:r>
    </w:p>
    <w:p>
      <w:pPr>
        <w:spacing w:before="760" w:after="120"/>
      </w:pPr>
      <w:r>
        <w:rPr>
          <w:rFonts w:ascii="Arial" w:hAnsi="Arial" w:eastAsia="Arial"/>
          <w:b/>
          <w:caps/>
          <w:color w:val="007E80"/>
          <w:sz w:val="17"/>
        </w:rPr>
        <w:t>OBSERVE</w:t>
      </w:r>
      <w:r>
        <w:rPr>
          <w:rFonts w:ascii="Arial" w:hAnsi="Arial" w:eastAsia="Arial"/>
          <w:color w:val="D8E0E8"/>
          <w:sz w:val="17"/>
        </w:rPr>
        <w:t xml:space="preserve">   /   </w:t>
      </w:r>
      <w:r>
        <w:rPr>
          <w:rFonts w:ascii="Arial" w:hAnsi="Arial" w:eastAsia="Arial"/>
          <w:b/>
          <w:caps/>
          <w:color w:val="007E80"/>
          <w:sz w:val="17"/>
        </w:rPr>
        <w:t>UNDERSTAND</w:t>
      </w:r>
      <w:r>
        <w:rPr>
          <w:rFonts w:ascii="Arial" w:hAnsi="Arial" w:eastAsia="Arial"/>
          <w:color w:val="D8E0E8"/>
          <w:sz w:val="17"/>
        </w:rPr>
        <w:t xml:space="preserve">   /   </w:t>
      </w:r>
      <w:r>
        <w:rPr>
          <w:rFonts w:ascii="Arial" w:hAnsi="Arial" w:eastAsia="Arial"/>
          <w:b/>
          <w:caps/>
          <w:color w:val="007E80"/>
          <w:sz w:val="17"/>
        </w:rPr>
        <w:t>PREDICT</w:t>
      </w:r>
      <w:r>
        <w:rPr>
          <w:rFonts w:ascii="Arial" w:hAnsi="Arial" w:eastAsia="Arial"/>
          <w:color w:val="D8E0E8"/>
          <w:sz w:val="17"/>
        </w:rPr>
        <w:t xml:space="preserve">   /   </w:t>
      </w:r>
      <w:r>
        <w:rPr>
          <w:rFonts w:ascii="Arial" w:hAnsi="Arial" w:eastAsia="Arial"/>
          <w:b/>
          <w:caps/>
          <w:color w:val="007E80"/>
          <w:sz w:val="17"/>
        </w:rPr>
        <w:t>SIMULATE</w:t>
      </w:r>
      <w:r>
        <w:rPr>
          <w:rFonts w:ascii="Arial" w:hAnsi="Arial" w:eastAsia="Arial"/>
          <w:color w:val="D8E0E8"/>
          <w:sz w:val="17"/>
        </w:rPr>
        <w:t xml:space="preserve">   /   </w:t>
      </w:r>
      <w:r>
        <w:rPr>
          <w:rFonts w:ascii="Arial" w:hAnsi="Arial" w:eastAsia="Arial"/>
          <w:b/>
          <w:caps/>
          <w:color w:val="007E80"/>
          <w:sz w:val="17"/>
        </w:rPr>
        <w:t>DECIDE</w:t>
      </w:r>
      <w:r>
        <w:rPr>
          <w:rFonts w:ascii="Arial" w:hAnsi="Arial" w:eastAsia="Arial"/>
          <w:color w:val="D8E0E8"/>
          <w:sz w:val="17"/>
        </w:rPr>
        <w:t xml:space="preserve">   /   </w:t>
      </w:r>
      <w:r>
        <w:rPr>
          <w:rFonts w:ascii="Arial" w:hAnsi="Arial" w:eastAsia="Arial"/>
          <w:b/>
          <w:caps/>
          <w:color w:val="007E80"/>
          <w:sz w:val="17"/>
        </w:rPr>
        <w:t>LEARN</w:t>
      </w:r>
    </w:p>
    <w:p>
      <w:pPr>
        <w:spacing w:before="2300" w:after="80"/>
      </w:pPr>
      <w:r>
        <w:rPr>
          <w:rFonts w:ascii="Arial" w:hAnsi="Arial" w:eastAsia="Arial"/>
          <w:b/>
          <w:caps/>
          <w:color w:val="0B2545"/>
          <w:sz w:val="18"/>
        </w:rPr>
        <w:t>ARCHITECTURE BASELINE V1.0</w:t>
      </w:r>
    </w:p>
    <w:p>
      <w:pPr>
        <w:spacing w:after="60"/>
      </w:pPr>
      <w:r>
        <w:rPr>
          <w:rFonts w:ascii="Arial" w:hAnsi="Arial" w:eastAsia="Arial"/>
          <w:color w:val="566575"/>
          <w:sz w:val="18"/>
        </w:rPr>
        <w:t>Issued 1 August 2026</w:t>
      </w:r>
    </w:p>
    <w:p>
      <w:r>
        <w:rPr>
          <w:rFonts w:ascii="Arial" w:hAnsi="Arial" w:eastAsia="Arial"/>
          <w:b/>
          <w:caps/>
          <w:color w:val="007E80"/>
          <w:sz w:val="17"/>
        </w:rPr>
        <w:t>FROZEN FOUNDING BASELINE</w:t>
      </w:r>
    </w:p>
    <w:p>
      <w:pPr>
        <w:pStyle w:val="Heading1"/>
        <w:keepNext/>
        <w:pageBreakBefore/>
      </w:pPr>
      <w:r>
        <w:rPr>
          <w:rFonts w:ascii="Arial" w:hAnsi="Arial" w:eastAsia="Arial"/>
          <w:b/>
          <w:color w:val="0B2545"/>
          <w:sz w:val="36"/>
        </w:rPr>
        <w:t xml:space="preserve">  Document Control</w:t>
      </w:r>
    </w:p>
    <w:p>
      <w:pPr>
        <w:pStyle w:val="EyeLead"/>
        <w:keepLines/>
      </w:pPr>
      <w:r>
        <w:rPr>
          <w:rFonts w:ascii="Arial" w:hAnsi="Arial" w:eastAsia="Arial"/>
          <w:color w:val="0B2545"/>
          <w:sz w:val="25"/>
        </w:rPr>
        <w:t>This volume is the governing product and architecture baseline for The Eye. It defines the commitments that all product strategy, architecture, engineering, AI, infrastructure, data, requirements, experience, and investment materials must inherit.</w:t>
      </w:r>
    </w:p>
    <w:tbl>
      <w:tblPr>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FIELD</w:t>
            </w:r>
          </w:p>
        </w:tc>
        <w:tc>
          <w:tcPr>
            <w:tcW w:type="dxa" w:w="756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CONTROLLED VALUE</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Product</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The Eye</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Canonical descriptor</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The Operating System for Strategic Intelligence</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Document</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Volume 0 — Product Constitution</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Version</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1.0</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Status</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Frozen founding architecture baseline</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Issue date</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1 August 2026</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Authority</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Founding Architecture Team</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Scope</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Volumes 0 through 10; product and platform lifecycle</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Change class</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Constitutional amendment required</w:t>
            </w:r>
          </w:p>
        </w:tc>
      </w:tr>
      <w:tr>
        <w:trPr>
          <w:cantSplit/>
        </w:trPr>
        <w:tc>
          <w:tcPr>
            <w:tcW w:type="dxa" w:w="1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8"/>
              </w:rPr>
              <w:t>Supersedes</w:t>
            </w:r>
          </w:p>
        </w:tc>
        <w:tc>
          <w:tcPr>
            <w:tcW w:type="dxa" w:w="7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8"/>
              </w:rPr>
              <w:t>All earlier informal descriptions where conflict exists</w:t>
            </w:r>
          </w:p>
        </w:tc>
      </w:tr>
    </w:tbl>
    <w:p>
      <w:pPr>
        <w:pStyle w:val="Heading2"/>
        <w:keepNext/>
      </w:pPr>
      <w:r>
        <w:rPr>
          <w:rFonts w:ascii="Arial" w:hAnsi="Arial" w:eastAsia="Arial"/>
          <w:b/>
          <w:color w:val="0B2545"/>
          <w:sz w:val="27"/>
        </w:rPr>
        <w:t>Constitutional authority</w:t>
      </w:r>
    </w:p>
    <w:p>
      <w:r>
        <w:rPr>
          <w:rFonts w:ascii="Arial" w:hAnsi="Arial" w:eastAsia="Arial"/>
        </w:rPr>
        <w:t>This constitution governs category definition, mission, product boundaries, human authority, canonical architecture, core semantics, trust obligations, deployment posture, and documentation inheritance. Implementation choices may evolve rapidly. Constitutional commitments may not. Where a later document conflicts with this volume, this volume prevails until a formally ratified amendment is published.</w:t>
      </w:r>
    </w:p>
    <w:p>
      <w:pPr>
        <w:pStyle w:val="Heading2"/>
        <w:keepNext/>
      </w:pPr>
      <w:r>
        <w:rPr>
          <w:rFonts w:ascii="Arial" w:hAnsi="Arial" w:eastAsia="Arial"/>
          <w:b/>
          <w:color w:val="0B2545"/>
          <w:sz w:val="27"/>
        </w:rPr>
        <w:t>Normative language</w:t>
      </w:r>
    </w:p>
    <w:p>
      <w:pPr>
        <w:pStyle w:val="EyeDefinition"/>
      </w:pPr>
      <w:r>
        <w:rPr>
          <w:rFonts w:ascii="Arial" w:hAnsi="Arial" w:eastAsia="Arial"/>
          <w:b/>
          <w:color w:val="0B2545"/>
        </w:rPr>
        <w:t xml:space="preserve">Shall / must. </w:t>
      </w:r>
      <w:r>
        <w:rPr>
          <w:rFonts w:ascii="Arial" w:hAnsi="Arial" w:eastAsia="Arial"/>
        </w:rPr>
        <w:t>A mandatory requirement. A design, implementation, deployment, or operating process that violates it is non-conforming.</w:t>
      </w:r>
    </w:p>
    <w:p>
      <w:pPr>
        <w:pStyle w:val="EyeDefinition"/>
      </w:pPr>
      <w:r>
        <w:rPr>
          <w:rFonts w:ascii="Arial" w:hAnsi="Arial" w:eastAsia="Arial"/>
          <w:b/>
          <w:color w:val="0B2545"/>
        </w:rPr>
        <w:t xml:space="preserve">Should. </w:t>
      </w:r>
      <w:r>
        <w:rPr>
          <w:rFonts w:ascii="Arial" w:hAnsi="Arial" w:eastAsia="Arial"/>
        </w:rPr>
        <w:t>The expected practice. Deviation requires a recorded reason, accountable owner, and review date.</w:t>
      </w:r>
    </w:p>
    <w:p>
      <w:pPr>
        <w:pStyle w:val="EyeDefinition"/>
      </w:pPr>
      <w:r>
        <w:rPr>
          <w:rFonts w:ascii="Arial" w:hAnsi="Arial" w:eastAsia="Arial"/>
          <w:b/>
          <w:color w:val="0B2545"/>
        </w:rPr>
        <w:t xml:space="preserve">May. </w:t>
      </w:r>
      <w:r>
        <w:rPr>
          <w:rFonts w:ascii="Arial" w:hAnsi="Arial" w:eastAsia="Arial"/>
        </w:rPr>
        <w:t>A permitted choice that must remain consistent with the constitutional invariants and applicable policy.</w:t>
      </w:r>
    </w:p>
    <w:p>
      <w:pPr>
        <w:pStyle w:val="EyeDefinition"/>
      </w:pPr>
      <w:r>
        <w:rPr>
          <w:rFonts w:ascii="Arial" w:hAnsi="Arial" w:eastAsia="Arial"/>
          <w:b/>
          <w:color w:val="0B2545"/>
        </w:rPr>
        <w:t xml:space="preserve">Constitutional invariant. </w:t>
      </w:r>
      <w:r>
        <w:rPr>
          <w:rFonts w:ascii="Arial" w:hAnsi="Arial" w:eastAsia="Arial"/>
        </w:rPr>
        <w:t>A stable rule identified by a C-xxx reference. Invariants are requirements, not aspirations.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7F7"/>
            <w:tcBorders>
              <w:top w:val="single" w:sz="5" w:space="0" w:color="D8E0E8"/>
              <w:left w:val="single" w:sz="18" w:space="0" w:color="00A6A6"/>
              <w:bottom w:val="single" w:sz="5" w:space="0" w:color="D8E0E8"/>
              <w:right w:val="single" w:sz="5" w:space="0" w:color="D8E0E8"/>
              <w:insideH w:val="single" w:sz="5" w:space="0" w:color="D8E0E8"/>
              <w:insideV w:val="single" w:sz="5" w:space="0" w:color="D8E0E8"/>
            </w:tcBorders>
          </w:tcPr>
          <w:p>
            <w:pPr>
              <w:spacing w:before="40" w:after="80"/>
            </w:pPr>
            <w:r>
              <w:rPr>
                <w:rFonts w:ascii="Arial" w:hAnsi="Arial" w:eastAsia="Arial"/>
                <w:b/>
                <w:caps/>
                <w:color w:val="007E80"/>
                <w:sz w:val="17"/>
              </w:rPr>
              <w:t>RATIFICATION STATEMENT</w:t>
            </w:r>
          </w:p>
          <w:p>
            <w:pPr>
              <w:spacing w:after="40" w:line="269" w:lineRule="auto"/>
            </w:pPr>
            <w:r>
              <w:rPr>
                <w:rFonts w:ascii="Arial" w:hAnsi="Arial" w:eastAsia="Arial"/>
                <w:color w:val="0B2545"/>
                <w:sz w:val="20"/>
              </w:rPr>
              <w:t>The architecture is frozen at the constitutional level. The ten-layer structure, human decision doctrine, knowledge-graph centrality, explainability requirement, deployment modes, prediction horizons, and named strategic capabilities are accepted as the baseline for all subsequent volumes.</w:t>
            </w:r>
          </w:p>
        </w:tc>
      </w:tr>
    </w:tbl>
    <w:p>
      <w:pPr>
        <w:spacing w:after="20"/>
      </w:pPr>
    </w:p>
    <w:p>
      <w:pPr>
        <w:pStyle w:val="Heading1"/>
        <w:keepNext/>
        <w:pageBreakBefore w:val="0"/>
      </w:pPr>
      <w:r>
        <w:rPr>
          <w:rFonts w:ascii="Arial" w:hAnsi="Arial" w:eastAsia="Arial"/>
          <w:b/>
          <w:color w:val="0B2545"/>
          <w:sz w:val="36"/>
        </w:rPr>
        <w:t xml:space="preserve">  Preamble</w:t>
      </w:r>
    </w:p>
    <w:p>
      <w:pPr>
        <w:pStyle w:val="EyeLead"/>
        <w:keepLines/>
      </w:pPr>
      <w:r>
        <w:rPr>
          <w:rFonts w:ascii="Arial" w:hAnsi="Arial" w:eastAsia="Arial"/>
          <w:color w:val="0B2545"/>
          <w:sz w:val="25"/>
        </w:rPr>
        <w:t>Strategic failure rarely begins in the meeting where a decision is made. It begins earlier: evidence is fragmented, relationships are invisible, assumptions are undocumented, uncertainty is compressed into false certainty, and institutional memory disappears between teams and leadership cycles.</w:t>
      </w:r>
    </w:p>
    <w:p>
      <w:r>
        <w:rPr>
          <w:rFonts w:ascii="Arial" w:hAnsi="Arial" w:eastAsia="Arial"/>
        </w:rPr>
        <w:t>The Eye exists to change that operating condition. It creates a persistent, connected, explainable system through which an organization can observe its environment and itself; understand the forces shaping outcomes; predict plausible futures across multiple horizons; simulate interventions before committing resources; decide with accountable human judgment; and learn from the consequences.</w:t>
      </w:r>
    </w:p>
    <w:p>
      <w:r>
        <w:rPr>
          <w:rFonts w:ascii="Arial" w:hAnsi="Arial" w:eastAsia="Arial"/>
        </w:rPr>
        <w:t>This is not a promise of omniscience. The Eye must know what it knows, show why it believes it, disclose what remains uncertain, and preserve the evidence required for challenge. Its value is not generated by producing more answers. Its value is generated by improving the quality, speed, continuity, and accountability of strategic decisions.</w:t>
      </w:r>
    </w:p>
    <w:p>
      <w:r>
        <w:rPr>
          <w:rFonts w:ascii="Arial" w:hAnsi="Arial" w:eastAsia="Arial"/>
        </w:rPr>
        <w:t>The system is designed for institutions whose choices affect markets, infrastructure, public services, national interests, communities, capital, supply chains, health, security, and long-term competitiveness. The standard is therefore higher than convenience software. Trust, provenance, human control, security, resilience, sovereignty, and institutional memory are part of the product itself.</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7F7"/>
            <w:tcBorders>
              <w:top w:val="single" w:sz="5" w:space="0" w:color="D8E0E8"/>
              <w:left w:val="single" w:sz="18" w:space="0" w:color="00A6A6"/>
              <w:bottom w:val="single" w:sz="5" w:space="0" w:color="D8E0E8"/>
              <w:right w:val="single" w:sz="5" w:space="0" w:color="D8E0E8"/>
              <w:insideH w:val="single" w:sz="5" w:space="0" w:color="D8E0E8"/>
              <w:insideV w:val="single" w:sz="5" w:space="0" w:color="D8E0E8"/>
            </w:tcBorders>
          </w:tcPr>
          <w:p>
            <w:pPr>
              <w:spacing w:before="40" w:after="80"/>
            </w:pPr>
            <w:r>
              <w:rPr>
                <w:rFonts w:ascii="Arial" w:hAnsi="Arial" w:eastAsia="Arial"/>
                <w:b/>
                <w:caps/>
                <w:color w:val="007E80"/>
                <w:sz w:val="17"/>
              </w:rPr>
              <w:t>FOUNDING PROPOSITION</w:t>
            </w:r>
          </w:p>
          <w:p>
            <w:pPr>
              <w:spacing w:after="40" w:line="269" w:lineRule="auto"/>
            </w:pPr>
            <w:r>
              <w:rPr>
                <w:rFonts w:ascii="Arial" w:hAnsi="Arial" w:eastAsia="Arial"/>
                <w:color w:val="0B2545"/>
                <w:sz w:val="20"/>
              </w:rPr>
              <w:t>The Eye turns fragmented evidence into connected understanding, connected understanding into testable futures, testable futures into explainable choices, and choices into organizational learning—without transferring final authority away from people.</w:t>
            </w:r>
          </w:p>
        </w:tc>
      </w:tr>
    </w:tbl>
    <w:p>
      <w:pPr>
        <w:spacing w:after="20"/>
      </w:pPr>
    </w:p>
    <w:p>
      <w:pPr>
        <w:pStyle w:val="Heading1"/>
        <w:keepNext/>
        <w:pageBreakBefore/>
      </w:pPr>
      <w:r>
        <w:rPr>
          <w:rFonts w:ascii="Arial" w:hAnsi="Arial" w:eastAsia="Arial"/>
          <w:b/>
          <w:color w:val="0B2545"/>
          <w:sz w:val="36"/>
        </w:rPr>
        <w:t xml:space="preserve">  Contents</w:t>
      </w:r>
    </w:p>
    <w:p>
      <w:pPr>
        <w:spacing w:after="200"/>
      </w:pPr>
      <w:r>
        <w:rPr>
          <w:rFonts w:ascii="Arial" w:hAnsi="Arial" w:eastAsia="Arial"/>
        </w:rPr>
        <w:t>The chapter hierarchy is encoded as native Word headings for navigation. Page references correspond to this controlled edition.</w:t>
      </w:r>
    </w:p>
    <w:p>
      <w:pPr>
        <w:pStyle w:val="EyeKicker"/>
        <w:keepNext/>
      </w:pPr>
      <w:r>
        <w:rPr>
          <w:rFonts w:ascii="Arial" w:hAnsi="Arial" w:eastAsia="Arial"/>
          <w:b/>
          <w:caps/>
          <w:color w:val="007E80"/>
          <w:sz w:val="18"/>
        </w:rPr>
        <w:t>PART I — IDENTITY AND CONSTITUTIONAL INTENT</w:t>
      </w:r>
    </w:p>
    <w:p>
      <w:pPr>
        <w:pStyle w:val="EyeTOC"/>
        <w:tabs>
          <w:tab w:pos="9144" w:val="right" w:leader="dot"/>
        </w:tabs>
      </w:pPr>
      <w:r>
        <w:rPr>
          <w:rFonts w:ascii="Arial" w:hAnsi="Arial" w:eastAsia="Arial"/>
          <w:b w:val="0"/>
          <w:color w:val="17212B"/>
          <w:sz w:val="20"/>
        </w:rPr>
        <w:t>1  Purpose, Authority, and Use</w:t>
      </w:r>
      <w:r>
        <w:rPr>
          <w:rFonts w:ascii="Arial" w:hAnsi="Arial" w:eastAsia="Arial"/>
          <w:b/>
          <w:color w:val="566575"/>
          <w:sz w:val="20"/>
        </w:rPr>
        <w:tab/>
        <w:t>7</w:t>
      </w:r>
    </w:p>
    <w:p>
      <w:pPr>
        <w:pStyle w:val="EyeTOC"/>
        <w:tabs>
          <w:tab w:pos="9144" w:val="right" w:leader="dot"/>
        </w:tabs>
      </w:pPr>
      <w:r>
        <w:rPr>
          <w:rFonts w:ascii="Arial" w:hAnsi="Arial" w:eastAsia="Arial"/>
          <w:b w:val="0"/>
          <w:color w:val="17212B"/>
          <w:sz w:val="20"/>
        </w:rPr>
        <w:t>2  Mission, Category, and Doctrine</w:t>
      </w:r>
      <w:r>
        <w:rPr>
          <w:rFonts w:ascii="Arial" w:hAnsi="Arial" w:eastAsia="Arial"/>
          <w:b/>
          <w:color w:val="566575"/>
          <w:sz w:val="20"/>
        </w:rPr>
        <w:tab/>
        <w:t>8</w:t>
      </w:r>
    </w:p>
    <w:p>
      <w:pPr>
        <w:pStyle w:val="EyeTOC"/>
        <w:tabs>
          <w:tab w:pos="9144" w:val="right" w:leader="dot"/>
        </w:tabs>
      </w:pPr>
      <w:r>
        <w:rPr>
          <w:rFonts w:ascii="Arial" w:hAnsi="Arial" w:eastAsia="Arial"/>
          <w:b w:val="0"/>
          <w:color w:val="17212B"/>
          <w:sz w:val="20"/>
        </w:rPr>
        <w:t>3  Product Principles and Prohibitions</w:t>
      </w:r>
      <w:r>
        <w:rPr>
          <w:rFonts w:ascii="Arial" w:hAnsi="Arial" w:eastAsia="Arial"/>
          <w:b/>
          <w:color w:val="566575"/>
          <w:sz w:val="20"/>
        </w:rPr>
        <w:tab/>
        <w:t>9</w:t>
      </w:r>
    </w:p>
    <w:p>
      <w:pPr>
        <w:pStyle w:val="EyeTOC"/>
        <w:tabs>
          <w:tab w:pos="9144" w:val="right" w:leader="dot"/>
        </w:tabs>
      </w:pPr>
      <w:r>
        <w:rPr>
          <w:rFonts w:ascii="Arial" w:hAnsi="Arial" w:eastAsia="Arial"/>
          <w:b w:val="0"/>
          <w:color w:val="17212B"/>
          <w:sz w:val="20"/>
        </w:rPr>
        <w:t>4  Customers and Domain Applicability</w:t>
      </w:r>
      <w:r>
        <w:rPr>
          <w:rFonts w:ascii="Arial" w:hAnsi="Arial" w:eastAsia="Arial"/>
          <w:b/>
          <w:color w:val="566575"/>
          <w:sz w:val="20"/>
        </w:rPr>
        <w:tab/>
        <w:t>10</w:t>
      </w:r>
    </w:p>
    <w:p>
      <w:pPr>
        <w:pStyle w:val="EyeTOC"/>
        <w:tabs>
          <w:tab w:pos="9144" w:val="right" w:leader="dot"/>
        </w:tabs>
      </w:pPr>
      <w:r>
        <w:rPr>
          <w:rFonts w:ascii="Arial" w:hAnsi="Arial" w:eastAsia="Arial"/>
          <w:b w:val="0"/>
          <w:color w:val="17212B"/>
          <w:sz w:val="20"/>
        </w:rPr>
        <w:t>5  Human Authority and Responsible Use</w:t>
      </w:r>
      <w:r>
        <w:rPr>
          <w:rFonts w:ascii="Arial" w:hAnsi="Arial" w:eastAsia="Arial"/>
          <w:b/>
          <w:color w:val="566575"/>
          <w:sz w:val="20"/>
        </w:rPr>
        <w:tab/>
        <w:t>11</w:t>
      </w:r>
    </w:p>
    <w:p>
      <w:pPr>
        <w:pStyle w:val="EyeKicker"/>
        <w:keepNext/>
      </w:pPr>
      <w:r>
        <w:rPr>
          <w:rFonts w:ascii="Arial" w:hAnsi="Arial" w:eastAsia="Arial"/>
          <w:b/>
          <w:caps/>
          <w:color w:val="007E80"/>
          <w:sz w:val="18"/>
        </w:rPr>
        <w:t>PART II — THE STRATEGIC INTELLIGENCE SYSTEM</w:t>
      </w:r>
    </w:p>
    <w:p>
      <w:pPr>
        <w:pStyle w:val="EyeTOC"/>
        <w:tabs>
          <w:tab w:pos="9144" w:val="right" w:leader="dot"/>
        </w:tabs>
      </w:pPr>
      <w:r>
        <w:rPr>
          <w:rFonts w:ascii="Arial" w:hAnsi="Arial" w:eastAsia="Arial"/>
          <w:b w:val="0"/>
          <w:color w:val="17212B"/>
          <w:sz w:val="20"/>
        </w:rPr>
        <w:t>6  The Strategic Intelligence Lifecycle</w:t>
      </w:r>
      <w:r>
        <w:rPr>
          <w:rFonts w:ascii="Arial" w:hAnsi="Arial" w:eastAsia="Arial"/>
          <w:b/>
          <w:color w:val="566575"/>
          <w:sz w:val="20"/>
        </w:rPr>
        <w:tab/>
        <w:t>13</w:t>
      </w:r>
    </w:p>
    <w:p>
      <w:pPr>
        <w:pStyle w:val="EyeTOC"/>
        <w:tabs>
          <w:tab w:pos="9144" w:val="right" w:leader="dot"/>
        </w:tabs>
      </w:pPr>
      <w:r>
        <w:rPr>
          <w:rFonts w:ascii="Arial" w:hAnsi="Arial" w:eastAsia="Arial"/>
          <w:b w:val="0"/>
          <w:color w:val="17212B"/>
          <w:sz w:val="20"/>
        </w:rPr>
        <w:t>7  Canonical Architecture</w:t>
      </w:r>
      <w:r>
        <w:rPr>
          <w:rFonts w:ascii="Arial" w:hAnsi="Arial" w:eastAsia="Arial"/>
          <w:b/>
          <w:color w:val="566575"/>
          <w:sz w:val="20"/>
        </w:rPr>
        <w:tab/>
        <w:t>14</w:t>
      </w:r>
    </w:p>
    <w:p>
      <w:pPr>
        <w:pStyle w:val="EyeTOC"/>
        <w:tabs>
          <w:tab w:pos="9144" w:val="right" w:leader="dot"/>
        </w:tabs>
      </w:pPr>
      <w:r>
        <w:rPr>
          <w:rFonts w:ascii="Arial" w:hAnsi="Arial" w:eastAsia="Arial"/>
          <w:b w:val="0"/>
          <w:color w:val="17212B"/>
          <w:sz w:val="20"/>
        </w:rPr>
        <w:t>8  World Observation Layer</w:t>
      </w:r>
      <w:r>
        <w:rPr>
          <w:rFonts w:ascii="Arial" w:hAnsi="Arial" w:eastAsia="Arial"/>
          <w:b/>
          <w:color w:val="566575"/>
          <w:sz w:val="20"/>
        </w:rPr>
        <w:tab/>
        <w:t>16</w:t>
      </w:r>
    </w:p>
    <w:p>
      <w:pPr>
        <w:pStyle w:val="EyeTOC"/>
        <w:tabs>
          <w:tab w:pos="9144" w:val="right" w:leader="dot"/>
        </w:tabs>
      </w:pPr>
      <w:r>
        <w:rPr>
          <w:rFonts w:ascii="Arial" w:hAnsi="Arial" w:eastAsia="Arial"/>
          <w:b w:val="0"/>
          <w:color w:val="17212B"/>
          <w:sz w:val="20"/>
        </w:rPr>
        <w:t>9  Intelligence Layer</w:t>
      </w:r>
      <w:r>
        <w:rPr>
          <w:rFonts w:ascii="Arial" w:hAnsi="Arial" w:eastAsia="Arial"/>
          <w:b/>
          <w:color w:val="566575"/>
          <w:sz w:val="20"/>
        </w:rPr>
        <w:tab/>
        <w:t>17</w:t>
      </w:r>
    </w:p>
    <w:p>
      <w:pPr>
        <w:pStyle w:val="EyeTOC"/>
        <w:tabs>
          <w:tab w:pos="9144" w:val="right" w:leader="dot"/>
        </w:tabs>
      </w:pPr>
      <w:r>
        <w:rPr>
          <w:rFonts w:ascii="Arial" w:hAnsi="Arial" w:eastAsia="Arial"/>
          <w:b w:val="0"/>
          <w:color w:val="17212B"/>
          <w:sz w:val="20"/>
        </w:rPr>
        <w:t>10  Enterprise Memory and Strategic Memory</w:t>
      </w:r>
      <w:r>
        <w:rPr>
          <w:rFonts w:ascii="Arial" w:hAnsi="Arial" w:eastAsia="Arial"/>
          <w:b/>
          <w:color w:val="566575"/>
          <w:sz w:val="20"/>
        </w:rPr>
        <w:tab/>
        <w:t>18</w:t>
      </w:r>
    </w:p>
    <w:p>
      <w:pPr>
        <w:pStyle w:val="EyeTOC"/>
        <w:tabs>
          <w:tab w:pos="9144" w:val="right" w:leader="dot"/>
        </w:tabs>
      </w:pPr>
      <w:r>
        <w:rPr>
          <w:rFonts w:ascii="Arial" w:hAnsi="Arial" w:eastAsia="Arial"/>
          <w:b w:val="0"/>
          <w:color w:val="17212B"/>
          <w:sz w:val="20"/>
        </w:rPr>
        <w:t>11  Knowledge Graph and Strategy Graph</w:t>
      </w:r>
      <w:r>
        <w:rPr>
          <w:rFonts w:ascii="Arial" w:hAnsi="Arial" w:eastAsia="Arial"/>
          <w:b/>
          <w:color w:val="566575"/>
          <w:sz w:val="20"/>
        </w:rPr>
        <w:tab/>
        <w:t>19</w:t>
      </w:r>
    </w:p>
    <w:p>
      <w:pPr>
        <w:pStyle w:val="EyeTOC"/>
        <w:tabs>
          <w:tab w:pos="9144" w:val="right" w:leader="dot"/>
        </w:tabs>
      </w:pPr>
      <w:r>
        <w:rPr>
          <w:rFonts w:ascii="Arial" w:hAnsi="Arial" w:eastAsia="Arial"/>
          <w:b w:val="0"/>
          <w:color w:val="17212B"/>
          <w:sz w:val="20"/>
        </w:rPr>
        <w:t>12  Digital Twins</w:t>
      </w:r>
      <w:r>
        <w:rPr>
          <w:rFonts w:ascii="Arial" w:hAnsi="Arial" w:eastAsia="Arial"/>
          <w:b/>
          <w:color w:val="566575"/>
          <w:sz w:val="20"/>
        </w:rPr>
        <w:tab/>
        <w:t>20</w:t>
      </w:r>
    </w:p>
    <w:p>
      <w:pPr>
        <w:pStyle w:val="EyeTOC"/>
        <w:tabs>
          <w:tab w:pos="9144" w:val="right" w:leader="dot"/>
        </w:tabs>
      </w:pPr>
      <w:r>
        <w:rPr>
          <w:rFonts w:ascii="Arial" w:hAnsi="Arial" w:eastAsia="Arial"/>
          <w:b w:val="0"/>
          <w:color w:val="17212B"/>
          <w:sz w:val="20"/>
        </w:rPr>
        <w:t>13  Prediction Engine</w:t>
      </w:r>
      <w:r>
        <w:rPr>
          <w:rFonts w:ascii="Arial" w:hAnsi="Arial" w:eastAsia="Arial"/>
          <w:b/>
          <w:color w:val="566575"/>
          <w:sz w:val="20"/>
        </w:rPr>
        <w:tab/>
        <w:t>21</w:t>
      </w:r>
    </w:p>
    <w:p>
      <w:pPr>
        <w:pStyle w:val="EyeTOC"/>
        <w:tabs>
          <w:tab w:pos="9144" w:val="right" w:leader="dot"/>
        </w:tabs>
      </w:pPr>
      <w:r>
        <w:rPr>
          <w:rFonts w:ascii="Arial" w:hAnsi="Arial" w:eastAsia="Arial"/>
          <w:b w:val="0"/>
          <w:color w:val="17212B"/>
          <w:sz w:val="20"/>
        </w:rPr>
        <w:t>14  Scenario Intelligence</w:t>
      </w:r>
      <w:r>
        <w:rPr>
          <w:rFonts w:ascii="Arial" w:hAnsi="Arial" w:eastAsia="Arial"/>
          <w:b/>
          <w:color w:val="566575"/>
          <w:sz w:val="20"/>
        </w:rPr>
        <w:tab/>
        <w:t>22</w:t>
      </w:r>
    </w:p>
    <w:p>
      <w:pPr>
        <w:pStyle w:val="EyeTOC"/>
        <w:tabs>
          <w:tab w:pos="9144" w:val="right" w:leader="dot"/>
        </w:tabs>
      </w:pPr>
      <w:r>
        <w:rPr>
          <w:rFonts w:ascii="Arial" w:hAnsi="Arial" w:eastAsia="Arial"/>
          <w:b w:val="0"/>
          <w:color w:val="17212B"/>
          <w:sz w:val="20"/>
        </w:rPr>
        <w:t>15  Simulation Engine</w:t>
      </w:r>
      <w:r>
        <w:rPr>
          <w:rFonts w:ascii="Arial" w:hAnsi="Arial" w:eastAsia="Arial"/>
          <w:b/>
          <w:color w:val="566575"/>
          <w:sz w:val="20"/>
        </w:rPr>
        <w:tab/>
        <w:t>23</w:t>
      </w:r>
    </w:p>
    <w:p>
      <w:pPr>
        <w:pStyle w:val="EyeTOC"/>
        <w:tabs>
          <w:tab w:pos="9144" w:val="right" w:leader="dot"/>
        </w:tabs>
      </w:pPr>
      <w:r>
        <w:rPr>
          <w:rFonts w:ascii="Arial" w:hAnsi="Arial" w:eastAsia="Arial"/>
          <w:b w:val="0"/>
          <w:color w:val="17212B"/>
          <w:sz w:val="20"/>
        </w:rPr>
        <w:t>16  Decision Intelligence</w:t>
      </w:r>
      <w:r>
        <w:rPr>
          <w:rFonts w:ascii="Arial" w:hAnsi="Arial" w:eastAsia="Arial"/>
          <w:b/>
          <w:color w:val="566575"/>
          <w:sz w:val="20"/>
        </w:rPr>
        <w:tab/>
        <w:t>24</w:t>
      </w:r>
    </w:p>
    <w:p>
      <w:pPr>
        <w:pStyle w:val="EyeTOC"/>
        <w:tabs>
          <w:tab w:pos="9144" w:val="right" w:leader="dot"/>
        </w:tabs>
      </w:pPr>
      <w:r>
        <w:rPr>
          <w:rFonts w:ascii="Arial" w:hAnsi="Arial" w:eastAsia="Arial"/>
          <w:b w:val="0"/>
          <w:color w:val="17212B"/>
          <w:sz w:val="20"/>
        </w:rPr>
        <w:t>17  Executive Operating System</w:t>
      </w:r>
      <w:r>
        <w:rPr>
          <w:rFonts w:ascii="Arial" w:hAnsi="Arial" w:eastAsia="Arial"/>
          <w:b/>
          <w:color w:val="566575"/>
          <w:sz w:val="20"/>
        </w:rPr>
        <w:tab/>
        <w:t>25</w:t>
      </w:r>
    </w:p>
    <w:p>
      <w:pPr>
        <w:pStyle w:val="EyeTOC"/>
        <w:tabs>
          <w:tab w:pos="9144" w:val="right" w:leader="dot"/>
        </w:tabs>
      </w:pPr>
      <w:r>
        <w:rPr>
          <w:rFonts w:ascii="Arial" w:hAnsi="Arial" w:eastAsia="Arial"/>
          <w:b w:val="0"/>
          <w:color w:val="17212B"/>
          <w:sz w:val="20"/>
        </w:rPr>
        <w:t>18  Multi-Agent Architecture</w:t>
      </w:r>
      <w:r>
        <w:rPr>
          <w:rFonts w:ascii="Arial" w:hAnsi="Arial" w:eastAsia="Arial"/>
          <w:b/>
          <w:color w:val="566575"/>
          <w:sz w:val="20"/>
        </w:rPr>
        <w:tab/>
        <w:t>26</w:t>
      </w:r>
    </w:p>
    <w:p>
      <w:r>
        <w:br w:type="page"/>
      </w:r>
    </w:p>
    <w:p>
      <w:pPr>
        <w:pStyle w:val="EyeKicker"/>
        <w:keepNext/>
      </w:pPr>
      <w:r>
        <w:rPr>
          <w:rFonts w:ascii="Arial" w:hAnsi="Arial" w:eastAsia="Arial"/>
          <w:b/>
          <w:caps/>
          <w:color w:val="007E80"/>
          <w:sz w:val="18"/>
        </w:rPr>
        <w:t>PART III — TRUST AND ENTERPRISE FOUNDATION</w:t>
      </w:r>
    </w:p>
    <w:p>
      <w:pPr>
        <w:pStyle w:val="EyeTOC"/>
        <w:tabs>
          <w:tab w:pos="9144" w:val="right" w:leader="dot"/>
        </w:tabs>
      </w:pPr>
      <w:r>
        <w:rPr>
          <w:rFonts w:ascii="Arial" w:hAnsi="Arial" w:eastAsia="Arial"/>
          <w:b w:val="0"/>
          <w:color w:val="17212B"/>
          <w:sz w:val="20"/>
        </w:rPr>
        <w:t>19  Trust and Provenance Layer</w:t>
      </w:r>
      <w:r>
        <w:rPr>
          <w:rFonts w:ascii="Arial" w:hAnsi="Arial" w:eastAsia="Arial"/>
          <w:b/>
          <w:color w:val="566575"/>
          <w:sz w:val="20"/>
        </w:rPr>
        <w:tab/>
        <w:t>29</w:t>
      </w:r>
    </w:p>
    <w:p>
      <w:pPr>
        <w:pStyle w:val="EyeTOC"/>
        <w:tabs>
          <w:tab w:pos="9144" w:val="right" w:leader="dot"/>
        </w:tabs>
      </w:pPr>
      <w:r>
        <w:rPr>
          <w:rFonts w:ascii="Arial" w:hAnsi="Arial" w:eastAsia="Arial"/>
          <w:b w:val="0"/>
          <w:color w:val="17212B"/>
          <w:sz w:val="20"/>
        </w:rPr>
        <w:t>20  Data Governance and Interoperability</w:t>
      </w:r>
      <w:r>
        <w:rPr>
          <w:rFonts w:ascii="Arial" w:hAnsi="Arial" w:eastAsia="Arial"/>
          <w:b/>
          <w:color w:val="566575"/>
          <w:sz w:val="20"/>
        </w:rPr>
        <w:tab/>
        <w:t>30</w:t>
      </w:r>
    </w:p>
    <w:p>
      <w:pPr>
        <w:pStyle w:val="EyeTOC"/>
        <w:tabs>
          <w:tab w:pos="9144" w:val="right" w:leader="dot"/>
        </w:tabs>
      </w:pPr>
      <w:r>
        <w:rPr>
          <w:rFonts w:ascii="Arial" w:hAnsi="Arial" w:eastAsia="Arial"/>
          <w:b w:val="0"/>
          <w:color w:val="17212B"/>
          <w:sz w:val="20"/>
        </w:rPr>
        <w:t>21  Security, Privacy, Sovereignty, and Resilience</w:t>
      </w:r>
      <w:r>
        <w:rPr>
          <w:rFonts w:ascii="Arial" w:hAnsi="Arial" w:eastAsia="Arial"/>
          <w:b/>
          <w:color w:val="566575"/>
          <w:sz w:val="20"/>
        </w:rPr>
        <w:tab/>
        <w:t>31</w:t>
      </w:r>
    </w:p>
    <w:p>
      <w:pPr>
        <w:pStyle w:val="EyeTOC"/>
        <w:tabs>
          <w:tab w:pos="9144" w:val="right" w:leader="dot"/>
        </w:tabs>
      </w:pPr>
      <w:r>
        <w:rPr>
          <w:rFonts w:ascii="Arial" w:hAnsi="Arial" w:eastAsia="Arial"/>
          <w:b w:val="0"/>
          <w:color w:val="17212B"/>
          <w:sz w:val="20"/>
        </w:rPr>
        <w:t>22  Deployment Constitution</w:t>
      </w:r>
      <w:r>
        <w:rPr>
          <w:rFonts w:ascii="Arial" w:hAnsi="Arial" w:eastAsia="Arial"/>
          <w:b/>
          <w:color w:val="566575"/>
          <w:sz w:val="20"/>
        </w:rPr>
        <w:tab/>
        <w:t>32</w:t>
      </w:r>
    </w:p>
    <w:p>
      <w:pPr>
        <w:pStyle w:val="EyeTOC"/>
        <w:tabs>
          <w:tab w:pos="9144" w:val="right" w:leader="dot"/>
        </w:tabs>
      </w:pPr>
      <w:r>
        <w:rPr>
          <w:rFonts w:ascii="Arial" w:hAnsi="Arial" w:eastAsia="Arial"/>
          <w:b w:val="0"/>
          <w:color w:val="17212B"/>
          <w:sz w:val="20"/>
        </w:rPr>
        <w:t>23  Continuous Learning and Evaluation</w:t>
      </w:r>
      <w:r>
        <w:rPr>
          <w:rFonts w:ascii="Arial" w:hAnsi="Arial" w:eastAsia="Arial"/>
          <w:b/>
          <w:color w:val="566575"/>
          <w:sz w:val="20"/>
        </w:rPr>
        <w:tab/>
        <w:t>33</w:t>
      </w:r>
    </w:p>
    <w:p>
      <w:pPr>
        <w:pStyle w:val="EyeTOC"/>
        <w:tabs>
          <w:tab w:pos="9144" w:val="right" w:leader="dot"/>
        </w:tabs>
      </w:pPr>
      <w:r>
        <w:rPr>
          <w:rFonts w:ascii="Arial" w:hAnsi="Arial" w:eastAsia="Arial"/>
          <w:b w:val="0"/>
          <w:color w:val="17212B"/>
          <w:sz w:val="20"/>
        </w:rPr>
        <w:t>24  Proactive Intelligence and Marketplaces</w:t>
      </w:r>
      <w:r>
        <w:rPr>
          <w:rFonts w:ascii="Arial" w:hAnsi="Arial" w:eastAsia="Arial"/>
          <w:b/>
          <w:color w:val="566575"/>
          <w:sz w:val="20"/>
        </w:rPr>
        <w:tab/>
        <w:t>34</w:t>
      </w:r>
    </w:p>
    <w:p>
      <w:pPr>
        <w:pStyle w:val="EyeTOC"/>
        <w:tabs>
          <w:tab w:pos="9144" w:val="right" w:leader="dot"/>
        </w:tabs>
      </w:pPr>
      <w:r>
        <w:rPr>
          <w:rFonts w:ascii="Arial" w:hAnsi="Arial" w:eastAsia="Arial"/>
          <w:b w:val="0"/>
          <w:color w:val="17212B"/>
          <w:sz w:val="20"/>
        </w:rPr>
        <w:t>25  Product Experience and Operational Quality</w:t>
      </w:r>
      <w:r>
        <w:rPr>
          <w:rFonts w:ascii="Arial" w:hAnsi="Arial" w:eastAsia="Arial"/>
          <w:b/>
          <w:color w:val="566575"/>
          <w:sz w:val="20"/>
        </w:rPr>
        <w:tab/>
        <w:t>35</w:t>
      </w:r>
    </w:p>
    <w:p>
      <w:pPr>
        <w:pStyle w:val="EyeKicker"/>
        <w:keepNext/>
      </w:pPr>
      <w:r>
        <w:rPr>
          <w:rFonts w:ascii="Arial" w:hAnsi="Arial" w:eastAsia="Arial"/>
          <w:b/>
          <w:caps/>
          <w:color w:val="007E80"/>
          <w:sz w:val="18"/>
        </w:rPr>
        <w:t>PART IV — GOVERNANCE AND INHERITANCE</w:t>
      </w:r>
    </w:p>
    <w:p>
      <w:pPr>
        <w:pStyle w:val="EyeTOC"/>
        <w:tabs>
          <w:tab w:pos="9144" w:val="right" w:leader="dot"/>
        </w:tabs>
      </w:pPr>
      <w:r>
        <w:rPr>
          <w:rFonts w:ascii="Arial" w:hAnsi="Arial" w:eastAsia="Arial"/>
          <w:b w:val="0"/>
          <w:color w:val="17212B"/>
          <w:sz w:val="20"/>
        </w:rPr>
        <w:t>26  Decision Rights and Control System</w:t>
      </w:r>
      <w:r>
        <w:rPr>
          <w:rFonts w:ascii="Arial" w:hAnsi="Arial" w:eastAsia="Arial"/>
          <w:b/>
          <w:color w:val="566575"/>
          <w:sz w:val="20"/>
        </w:rPr>
        <w:tab/>
        <w:t>37</w:t>
      </w:r>
    </w:p>
    <w:p>
      <w:pPr>
        <w:pStyle w:val="EyeTOC"/>
        <w:tabs>
          <w:tab w:pos="9144" w:val="right" w:leader="dot"/>
        </w:tabs>
      </w:pPr>
      <w:r>
        <w:rPr>
          <w:rFonts w:ascii="Arial" w:hAnsi="Arial" w:eastAsia="Arial"/>
          <w:b w:val="0"/>
          <w:color w:val="17212B"/>
          <w:sz w:val="20"/>
        </w:rPr>
        <w:t>27  Change and Constitutional Amendment</w:t>
      </w:r>
      <w:r>
        <w:rPr>
          <w:rFonts w:ascii="Arial" w:hAnsi="Arial" w:eastAsia="Arial"/>
          <w:b/>
          <w:color w:val="566575"/>
          <w:sz w:val="20"/>
        </w:rPr>
        <w:tab/>
        <w:t>38</w:t>
      </w:r>
    </w:p>
    <w:p>
      <w:pPr>
        <w:pStyle w:val="EyeTOC"/>
        <w:tabs>
          <w:tab w:pos="9144" w:val="right" w:leader="dot"/>
        </w:tabs>
      </w:pPr>
      <w:r>
        <w:rPr>
          <w:rFonts w:ascii="Arial" w:hAnsi="Arial" w:eastAsia="Arial"/>
          <w:b w:val="0"/>
          <w:color w:val="17212B"/>
          <w:sz w:val="20"/>
        </w:rPr>
        <w:t>28  Documentation Program and Inheritance</w:t>
      </w:r>
      <w:r>
        <w:rPr>
          <w:rFonts w:ascii="Arial" w:hAnsi="Arial" w:eastAsia="Arial"/>
          <w:b/>
          <w:color w:val="566575"/>
          <w:sz w:val="20"/>
        </w:rPr>
        <w:tab/>
        <w:t>39</w:t>
      </w:r>
    </w:p>
    <w:p>
      <w:pPr>
        <w:pStyle w:val="EyeTOC"/>
        <w:tabs>
          <w:tab w:pos="9144" w:val="right" w:leader="dot"/>
        </w:tabs>
      </w:pPr>
      <w:r>
        <w:rPr>
          <w:rFonts w:ascii="Arial" w:hAnsi="Arial" w:eastAsia="Arial"/>
          <w:b w:val="0"/>
          <w:color w:val="17212B"/>
          <w:sz w:val="20"/>
        </w:rPr>
        <w:t>A  Appendix A — Canonical Glossary</w:t>
      </w:r>
      <w:r>
        <w:rPr>
          <w:rFonts w:ascii="Arial" w:hAnsi="Arial" w:eastAsia="Arial"/>
          <w:b/>
          <w:color w:val="566575"/>
          <w:sz w:val="20"/>
        </w:rPr>
        <w:tab/>
        <w:t>41</w:t>
      </w:r>
    </w:p>
    <w:p>
      <w:pPr>
        <w:pStyle w:val="EyeTOC"/>
        <w:tabs>
          <w:tab w:pos="9144" w:val="right" w:leader="dot"/>
        </w:tabs>
      </w:pPr>
      <w:r>
        <w:rPr>
          <w:rFonts w:ascii="Arial" w:hAnsi="Arial" w:eastAsia="Arial"/>
          <w:b w:val="0"/>
          <w:color w:val="17212B"/>
          <w:sz w:val="20"/>
        </w:rPr>
        <w:t>B  Appendix B — Source Coverage Constitution</w:t>
      </w:r>
      <w:r>
        <w:rPr>
          <w:rFonts w:ascii="Arial" w:hAnsi="Arial" w:eastAsia="Arial"/>
          <w:b/>
          <w:color w:val="566575"/>
          <w:sz w:val="20"/>
        </w:rPr>
        <w:tab/>
        <w:t>43</w:t>
      </w:r>
    </w:p>
    <w:p>
      <w:pPr>
        <w:pStyle w:val="EyeTOC"/>
        <w:tabs>
          <w:tab w:pos="9144" w:val="right" w:leader="dot"/>
        </w:tabs>
      </w:pPr>
      <w:r>
        <w:rPr>
          <w:rFonts w:ascii="Arial" w:hAnsi="Arial" w:eastAsia="Arial"/>
          <w:b w:val="0"/>
          <w:color w:val="17212B"/>
          <w:sz w:val="20"/>
        </w:rPr>
        <w:t>C  Appendix C — Constitutional Invariant Index</w:t>
      </w:r>
      <w:r>
        <w:rPr>
          <w:rFonts w:ascii="Arial" w:hAnsi="Arial" w:eastAsia="Arial"/>
          <w:b/>
          <w:color w:val="566575"/>
          <w:sz w:val="20"/>
        </w:rPr>
        <w:tab/>
        <w:t>45</w:t>
      </w:r>
    </w:p>
    <w:p>
      <w:r>
        <w:br w:type="page"/>
      </w:r>
    </w:p>
    <w:p>
      <w:pPr>
        <w:spacing w:before="2400" w:after="320"/>
      </w:pPr>
      <w:r>
        <w:rPr>
          <w:rFonts w:ascii="Arial" w:hAnsi="Arial" w:eastAsia="Arial"/>
          <w:b/>
          <w:caps/>
          <w:color w:val="007E80"/>
          <w:sz w:val="20"/>
        </w:rPr>
        <w:t>PART I</w:t>
      </w:r>
    </w:p>
    <w:p>
      <w:pPr>
        <w:pStyle w:val="EyePart"/>
      </w:pPr>
      <w:r>
        <w:rPr>
          <w:rFonts w:ascii="Arial" w:hAnsi="Arial" w:eastAsia="Arial"/>
          <w:b/>
          <w:color w:val="0B2545"/>
          <w:sz w:val="50"/>
        </w:rPr>
        <w:t>Identity and Constitutional Intent</w:t>
      </w:r>
    </w:p>
    <w:p>
      <w:pPr>
        <w:pStyle w:val="EyePartSubtitle"/>
      </w:pPr>
      <w:r>
        <w:rPr>
          <w:rFonts w:ascii="Arial" w:hAnsi="Arial" w:eastAsia="Arial"/>
          <w:color w:val="566575"/>
          <w:sz w:val="24"/>
        </w:rPr>
        <w:t>Why The Eye exists, what category it defines, whom it serves, and which boundaries cannot be traded away.</w:t>
      </w:r>
    </w:p>
    <w:p>
      <w:pPr>
        <w:spacing w:before="560" w:after="0"/>
      </w:pPr>
      <w:r>
        <w:rPr>
          <w:rFonts w:ascii="Arial" w:hAnsi="Arial" w:eastAsia="Arial"/>
          <w:b/>
          <w:caps/>
          <w:color w:val="007E80"/>
          <w:sz w:val="17"/>
        </w:rPr>
        <w:t>THE EYE  /  THE OPERATING SYSTEM FOR STRATEGIC INTELLIGENCE</w:t>
      </w:r>
    </w:p>
    <w:p>
      <w:pPr>
        <w:pStyle w:val="Heading1"/>
        <w:keepNext/>
        <w:pageBreakBefore/>
      </w:pPr>
      <w:r>
        <w:rPr>
          <w:rFonts w:ascii="Arial" w:hAnsi="Arial" w:eastAsia="Arial"/>
          <w:b/>
          <w:color w:val="0B2545"/>
          <w:sz w:val="36"/>
        </w:rPr>
        <w:t>1  Purpose, Authority, and Use</w:t>
      </w:r>
    </w:p>
    <w:p>
      <w:pPr>
        <w:pStyle w:val="EyeLead"/>
        <w:keepLines/>
      </w:pPr>
      <w:r>
        <w:rPr>
          <w:rFonts w:ascii="Arial" w:hAnsi="Arial" w:eastAsia="Arial"/>
          <w:color w:val="0B2545"/>
          <w:sz w:val="25"/>
        </w:rPr>
        <w:t>The Product Constitution is the control point for coherence. It separates durable commitments from choices that engineering teams are expected to improve over time.</w:t>
      </w:r>
    </w:p>
    <w:p>
      <w:r>
        <w:rPr>
          <w:rFonts w:ascii="Arial" w:hAnsi="Arial" w:eastAsia="Arial"/>
        </w:rPr>
        <w:t>The Eye will span a large product surface: external observation, enterprise integration, data processing, graph intelligence, models, agents, digital twins, forecasting, simulation, executive workflows, and governed marketplaces. Without a constitutional baseline, each surface would tend to invent its own language and optimize locally. The resulting product could be technically sophisticated and strategically incoherent. This volume prevents that outcome.</w:t>
      </w:r>
    </w:p>
    <w:p>
      <w:pPr>
        <w:pStyle w:val="Heading2"/>
        <w:keepNext/>
      </w:pPr>
      <w:r>
        <w:rPr>
          <w:rFonts w:ascii="Arial" w:hAnsi="Arial" w:eastAsia="Arial"/>
          <w:b/>
          <w:color w:val="0B2545"/>
          <w:sz w:val="27"/>
        </w:rPr>
        <w:t>What this volume controls</w:t>
      </w:r>
    </w:p>
    <w:p>
      <w:pPr>
        <w:numPr>
          <w:ilvl w:val="0"/>
          <w:numId w:val="10"/>
        </w:numPr>
        <w:spacing w:after="160" w:line="280" w:lineRule="auto"/>
        <w:ind w:left="720" w:hanging="360"/>
      </w:pPr>
      <w:r>
        <w:rPr>
          <w:rFonts w:ascii="Arial" w:hAnsi="Arial" w:eastAsia="Arial"/>
        </w:rPr>
        <w:t>The product category, mission, canonical descriptor, and operating doctrine.</w:t>
      </w:r>
    </w:p>
    <w:p>
      <w:pPr>
        <w:numPr>
          <w:ilvl w:val="0"/>
          <w:numId w:val="10"/>
        </w:numPr>
        <w:spacing w:after="160" w:line="280" w:lineRule="auto"/>
        <w:ind w:left="720" w:hanging="360"/>
      </w:pPr>
      <w:r>
        <w:rPr>
          <w:rFonts w:ascii="Arial" w:hAnsi="Arial" w:eastAsia="Arial"/>
        </w:rPr>
        <w:t>The ten-layer architecture and the relationship between its core components.</w:t>
      </w:r>
    </w:p>
    <w:p>
      <w:pPr>
        <w:numPr>
          <w:ilvl w:val="0"/>
          <w:numId w:val="10"/>
        </w:numPr>
        <w:spacing w:after="160" w:line="280" w:lineRule="auto"/>
        <w:ind w:left="720" w:hanging="360"/>
      </w:pPr>
      <w:r>
        <w:rPr>
          <w:rFonts w:ascii="Arial" w:hAnsi="Arial" w:eastAsia="Arial"/>
        </w:rPr>
        <w:t>The distinction between evidence, claims, inference, simulation, recommendation, decision, action, and outcome.</w:t>
      </w:r>
    </w:p>
    <w:p>
      <w:pPr>
        <w:numPr>
          <w:ilvl w:val="0"/>
          <w:numId w:val="10"/>
        </w:numPr>
        <w:spacing w:after="160" w:line="280" w:lineRule="auto"/>
        <w:ind w:left="720" w:hanging="360"/>
      </w:pPr>
      <w:r>
        <w:rPr>
          <w:rFonts w:ascii="Arial" w:hAnsi="Arial" w:eastAsia="Arial"/>
        </w:rPr>
        <w:t>Human authority, explainability, responsible-use boundaries, and accountability obligations.</w:t>
      </w:r>
    </w:p>
    <w:p>
      <w:pPr>
        <w:numPr>
          <w:ilvl w:val="0"/>
          <w:numId w:val="10"/>
        </w:numPr>
        <w:spacing w:after="160" w:line="280" w:lineRule="auto"/>
        <w:ind w:left="720" w:hanging="360"/>
      </w:pPr>
      <w:r>
        <w:rPr>
          <w:rFonts w:ascii="Arial" w:hAnsi="Arial" w:eastAsia="Arial"/>
        </w:rPr>
        <w:t>The invariants inherited by product, technical, engineering, AI, infrastructure, data, design, and investor documentation.</w:t>
      </w:r>
    </w:p>
    <w:p>
      <w:pPr>
        <w:pStyle w:val="Heading2"/>
        <w:keepNext/>
      </w:pPr>
      <w:r>
        <w:rPr>
          <w:rFonts w:ascii="Arial" w:hAnsi="Arial" w:eastAsia="Arial"/>
          <w:b/>
          <w:color w:val="0B2545"/>
          <w:sz w:val="27"/>
        </w:rPr>
        <w:t>What this volume does not freeze</w:t>
      </w:r>
    </w:p>
    <w:p>
      <w:r>
        <w:rPr>
          <w:rFonts w:ascii="Arial" w:hAnsi="Arial" w:eastAsia="Arial"/>
        </w:rPr>
        <w:t>The constitution does not freeze vendors, programming languages, databases, model providers, cloud services, deployment tooling, UI components, message buses, storage engines, or individual algorithms. Those choices belong in later volumes and may change through normal architecture governance, provided the resulting system continues to satisfy this constitution.</w:t>
      </w:r>
    </w:p>
    <w:p>
      <w:pPr>
        <w:pStyle w:val="Heading2"/>
        <w:keepNext/>
      </w:pPr>
      <w:r>
        <w:rPr>
          <w:rFonts w:ascii="Arial" w:hAnsi="Arial" w:eastAsia="Arial"/>
          <w:b/>
          <w:color w:val="0B2545"/>
          <w:sz w:val="27"/>
        </w:rPr>
        <w:t>Conformance</w:t>
      </w:r>
    </w:p>
    <w:p>
      <w:r>
        <w:rPr>
          <w:rFonts w:ascii="Arial" w:hAnsi="Arial" w:eastAsia="Arial"/>
        </w:rPr>
        <w:t>A component is constitutionally conforming only when its purpose, inputs, outputs, authority, provenance, temporal behavior, security posture, evaluation method, and relationship to the strategic lifecycle are explicit. Feature completion alone is not conformance. A prediction that cannot be reproduced, an agent whose authority is undefined, or a recommendation whose evidence cannot be inspected is incomplete regardless of interface quality.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C-051  Constitutional change control</w:t>
            </w:r>
          </w:p>
          <w:p>
            <w:pPr>
              <w:spacing w:after="40" w:line="250" w:lineRule="auto"/>
            </w:pPr>
            <w:r>
              <w:rPr>
                <w:rFonts w:ascii="Arial" w:hAnsi="Arial" w:eastAsia="Arial"/>
                <w:b/>
                <w:color w:val="0B2545"/>
                <w:sz w:val="18"/>
              </w:rPr>
              <w:t>C-052  Documentation inheritance</w:t>
            </w:r>
          </w:p>
        </w:tc>
      </w:tr>
    </w:tbl>
    <w:p>
      <w:pPr>
        <w:pStyle w:val="Heading1"/>
        <w:keepNext/>
        <w:pageBreakBefore/>
      </w:pPr>
      <w:r>
        <w:rPr>
          <w:rFonts w:ascii="Arial" w:hAnsi="Arial" w:eastAsia="Arial"/>
          <w:b/>
          <w:color w:val="0B2545"/>
          <w:sz w:val="36"/>
        </w:rPr>
        <w:t>2  Mission, Category, and Doctrine</w:t>
      </w:r>
    </w:p>
    <w:p>
      <w:pPr>
        <w:pStyle w:val="EyeLead"/>
        <w:keepLines/>
      </w:pPr>
      <w:r>
        <w:rPr>
          <w:rFonts w:ascii="Arial" w:hAnsi="Arial" w:eastAsia="Arial"/>
          <w:color w:val="0B2545"/>
          <w:sz w:val="25"/>
        </w:rPr>
        <w:t>The Eye is the operating system through which an institution continuously converts a changing world into accountable strategic action and institutional learning.</w:t>
      </w:r>
    </w:p>
    <w:p>
      <w:pPr>
        <w:pStyle w:val="Heading2"/>
        <w:keepNext/>
      </w:pPr>
      <w:r>
        <w:rPr>
          <w:rFonts w:ascii="Arial" w:hAnsi="Arial" w:eastAsia="Arial"/>
          <w:b/>
          <w:color w:val="0B2545"/>
          <w:sz w:val="27"/>
        </w:rPr>
        <w:t>Mission</w:t>
      </w:r>
    </w:p>
    <w:p>
      <w:r>
        <w:rPr>
          <w:rFonts w:ascii="Arial" w:hAnsi="Arial" w:eastAsia="Arial"/>
        </w:rPr>
        <w:t>The Eye continuously observes the external and internal world, understands relationships between events and entities, builds organizational memory, predicts possible futures, simulates strategic decisions, and provides explainable recommendations for human decision-makers.</w:t>
      </w:r>
    </w:p>
    <w:p>
      <w:pPr>
        <w:pStyle w:val="Heading2"/>
        <w:keepNext/>
      </w:pPr>
      <w:r>
        <w:rPr>
          <w:rFonts w:ascii="Arial" w:hAnsi="Arial" w:eastAsia="Arial"/>
          <w:b/>
          <w:color w:val="0B2545"/>
          <w:sz w:val="27"/>
        </w:rPr>
        <w:t>The six operating verbs</w:t>
      </w:r>
    </w:p>
    <w:p>
      <w:pPr>
        <w:pStyle w:val="EyeDefinition"/>
      </w:pPr>
      <w:r>
        <w:rPr>
          <w:rFonts w:ascii="Arial" w:hAnsi="Arial" w:eastAsia="Arial"/>
          <w:b/>
          <w:color w:val="0B2545"/>
        </w:rPr>
        <w:t xml:space="preserve">Observe. </w:t>
      </w:r>
      <w:r>
        <w:rPr>
          <w:rFonts w:ascii="Arial" w:hAnsi="Arial" w:eastAsia="Arial"/>
        </w:rPr>
        <w:t>Acquire and preserve evidence about external and internal change with source identity, time, rights, quality, and chain of custody.</w:t>
      </w:r>
    </w:p>
    <w:p>
      <w:pPr>
        <w:pStyle w:val="EyeDefinition"/>
      </w:pPr>
      <w:r>
        <w:rPr>
          <w:rFonts w:ascii="Arial" w:hAnsi="Arial" w:eastAsia="Arial"/>
          <w:b/>
          <w:color w:val="0B2545"/>
        </w:rPr>
        <w:t xml:space="preserve">Understand. </w:t>
      </w:r>
      <w:r>
        <w:rPr>
          <w:rFonts w:ascii="Arial" w:hAnsi="Arial" w:eastAsia="Arial"/>
        </w:rPr>
        <w:t>Convert evidence into entities, events, claims, relationships, patterns, hypotheses, and causal structures while preserving uncertainty and competing interpretations.</w:t>
      </w:r>
    </w:p>
    <w:p>
      <w:pPr>
        <w:pStyle w:val="EyeDefinition"/>
      </w:pPr>
      <w:r>
        <w:rPr>
          <w:rFonts w:ascii="Arial" w:hAnsi="Arial" w:eastAsia="Arial"/>
          <w:b/>
          <w:color w:val="0B2545"/>
        </w:rPr>
        <w:t xml:space="preserve">Predict. </w:t>
      </w:r>
      <w:r>
        <w:rPr>
          <w:rFonts w:ascii="Arial" w:hAnsi="Arial" w:eastAsia="Arial"/>
        </w:rPr>
        <w:t>Estimate future states, events, indicators, risks, and opportunities across the six canonical horizons using calibrated, explainable methods.</w:t>
      </w:r>
    </w:p>
    <w:p>
      <w:pPr>
        <w:pStyle w:val="EyeDefinition"/>
      </w:pPr>
      <w:r>
        <w:rPr>
          <w:rFonts w:ascii="Arial" w:hAnsi="Arial" w:eastAsia="Arial"/>
          <w:b/>
          <w:color w:val="0B2545"/>
        </w:rPr>
        <w:t xml:space="preserve">Simulate. </w:t>
      </w:r>
      <w:r>
        <w:rPr>
          <w:rFonts w:ascii="Arial" w:hAnsi="Arial" w:eastAsia="Arial"/>
        </w:rPr>
        <w:t>Test interventions and external shocks against grounded Digital Twins and scenario assumptions before resources, authority, or lives are committed.</w:t>
      </w:r>
    </w:p>
    <w:p>
      <w:pPr>
        <w:pStyle w:val="EyeDefinition"/>
      </w:pPr>
      <w:r>
        <w:rPr>
          <w:rFonts w:ascii="Arial" w:hAnsi="Arial" w:eastAsia="Arial"/>
          <w:b/>
          <w:color w:val="0B2545"/>
        </w:rPr>
        <w:t xml:space="preserve">Decide. </w:t>
      </w:r>
      <w:r>
        <w:rPr>
          <w:rFonts w:ascii="Arial" w:hAnsi="Arial" w:eastAsia="Arial"/>
        </w:rPr>
        <w:t>Present humans with traceable options, consequences, trade-offs, uncertainty, and recommended actions aligned to explicit objectives and constraints.</w:t>
      </w:r>
    </w:p>
    <w:p>
      <w:pPr>
        <w:pStyle w:val="EyeDefinition"/>
      </w:pPr>
      <w:r>
        <w:rPr>
          <w:rFonts w:ascii="Arial" w:hAnsi="Arial" w:eastAsia="Arial"/>
          <w:b/>
          <w:color w:val="0B2545"/>
        </w:rPr>
        <w:t xml:space="preserve">Learn. </w:t>
      </w:r>
      <w:r>
        <w:rPr>
          <w:rFonts w:ascii="Arial" w:hAnsi="Arial" w:eastAsia="Arial"/>
        </w:rPr>
        <w:t>Compare expectation with outcome, preserve the decision record, update memory, evaluate models and agents, and improve the system through governed release processes.</w:t>
      </w:r>
    </w:p>
    <w:p>
      <w:pPr>
        <w:pStyle w:val="Heading2"/>
        <w:keepNext/>
      </w:pPr>
      <w:r>
        <w:rPr>
          <w:rFonts w:ascii="Arial" w:hAnsi="Arial" w:eastAsia="Arial"/>
          <w:b/>
          <w:color w:val="0B2545"/>
          <w:sz w:val="27"/>
        </w:rPr>
        <w:t>Category definition</w:t>
      </w:r>
    </w:p>
    <w:p>
      <w:r>
        <w:rPr>
          <w:rFonts w:ascii="Arial" w:hAnsi="Arial" w:eastAsia="Arial"/>
        </w:rPr>
        <w:t>A Strategic Intelligence Operating System is a persistent enterprise system that coordinates data, knowledge, models, agents, twins, scenarios, simulations, decisions, and learning around a common representation of the world and the organization. The operating system metaphor is functional: The Eye provides shared services, permissions, memory, workflows, policy, execution controls, and interaction surfaces upon which domain solutions operate.</w:t>
      </w:r>
    </w:p>
    <w:p>
      <w:r>
        <w:rPr>
          <w:rFonts w:ascii="Arial" w:hAnsi="Arial" w:eastAsia="Arial"/>
        </w:rPr>
        <w:t>A chatbot can answer a question. A dashboard can display a metric. A BI platform can aggregate historic data. A copilot can assist a user. The Eye may include all of those interaction patterns, but its defining capability is the continuous, governed strategic loop that persists across questions, teams, systems, and leadership cycles.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C-001  Category integrity</w:t>
            </w:r>
          </w:p>
          <w:p>
            <w:pPr>
              <w:spacing w:after="40" w:line="250" w:lineRule="auto"/>
            </w:pPr>
            <w:r>
              <w:rPr>
                <w:rFonts w:ascii="Arial" w:hAnsi="Arial" w:eastAsia="Arial"/>
                <w:b/>
                <w:color w:val="0B2545"/>
                <w:sz w:val="18"/>
              </w:rPr>
              <w:t>C-002  Closed strategic loop</w:t>
            </w:r>
          </w:p>
          <w:p>
            <w:pPr>
              <w:spacing w:after="40" w:line="250" w:lineRule="auto"/>
            </w:pPr>
            <w:r>
              <w:rPr>
                <w:rFonts w:ascii="Arial" w:hAnsi="Arial" w:eastAsia="Arial"/>
                <w:b/>
                <w:color w:val="0B2545"/>
                <w:sz w:val="18"/>
              </w:rPr>
              <w:t>C-003  Product boundary</w:t>
            </w:r>
          </w:p>
        </w:tc>
      </w:tr>
    </w:tbl>
    <w:p>
      <w:pPr>
        <w:pStyle w:val="Heading1"/>
        <w:keepNext/>
        <w:pageBreakBefore/>
      </w:pPr>
      <w:r>
        <w:rPr>
          <w:rFonts w:ascii="Arial" w:hAnsi="Arial" w:eastAsia="Arial"/>
          <w:b/>
          <w:color w:val="0B2545"/>
          <w:sz w:val="36"/>
        </w:rPr>
        <w:t>3  Product Principles and Prohibitions</w:t>
      </w:r>
    </w:p>
    <w:p>
      <w:pPr>
        <w:pStyle w:val="EyeLead"/>
        <w:keepLines/>
      </w:pPr>
      <w:r>
        <w:rPr>
          <w:rFonts w:ascii="Arial" w:hAnsi="Arial" w:eastAsia="Arial"/>
          <w:color w:val="0B2545"/>
          <w:sz w:val="25"/>
        </w:rPr>
        <w:t>The product principles are design tests. When priorities conflict, they determine which compromise is acceptable and which would change the nature of the product.</w:t>
      </w:r>
    </w:p>
    <w:p>
      <w:pPr>
        <w:pStyle w:val="Heading2"/>
        <w:keepNext/>
      </w:pPr>
      <w:r>
        <w:rPr>
          <w:rFonts w:ascii="Arial" w:hAnsi="Arial" w:eastAsia="Arial"/>
          <w:b/>
          <w:color w:val="0B2545"/>
          <w:sz w:val="27"/>
        </w:rPr>
        <w:t>Founding principles</w:t>
      </w:r>
    </w:p>
    <w:p>
      <w:pPr>
        <w:pStyle w:val="EyeDefinition"/>
      </w:pPr>
      <w:r>
        <w:rPr>
          <w:rFonts w:ascii="Arial" w:hAnsi="Arial" w:eastAsia="Arial"/>
          <w:b/>
          <w:color w:val="0B2545"/>
        </w:rPr>
        <w:t xml:space="preserve">Observe Everything. </w:t>
      </w:r>
      <w:r>
        <w:rPr>
          <w:rFonts w:ascii="Arial" w:hAnsi="Arial" w:eastAsia="Arial"/>
        </w:rPr>
        <w:t>The platform shall be able to incorporate any lawful, authorized, relevant source class while making coverage limits visible.</w:t>
      </w:r>
    </w:p>
    <w:p>
      <w:pPr>
        <w:pStyle w:val="EyeDefinition"/>
      </w:pPr>
      <w:r>
        <w:rPr>
          <w:rFonts w:ascii="Arial" w:hAnsi="Arial" w:eastAsia="Arial"/>
          <w:b/>
          <w:color w:val="0B2545"/>
        </w:rPr>
        <w:t xml:space="preserve">Understand Before Predicting. </w:t>
      </w:r>
      <w:r>
        <w:rPr>
          <w:rFonts w:ascii="Arial" w:hAnsi="Arial" w:eastAsia="Arial"/>
        </w:rPr>
        <w:t>Prediction shall be grounded in entities, relationships, events, context, mechanisms, and temporal state—not pattern matching detached from meaning.</w:t>
      </w:r>
    </w:p>
    <w:p>
      <w:pPr>
        <w:pStyle w:val="EyeDefinition"/>
      </w:pPr>
      <w:r>
        <w:rPr>
          <w:rFonts w:ascii="Arial" w:hAnsi="Arial" w:eastAsia="Arial"/>
          <w:b/>
          <w:color w:val="0B2545"/>
        </w:rPr>
        <w:t xml:space="preserve">Explain Every Recommendation. </w:t>
      </w:r>
      <w:r>
        <w:rPr>
          <w:rFonts w:ascii="Arial" w:hAnsi="Arial" w:eastAsia="Arial"/>
        </w:rPr>
        <w:t>A decision-maker must be able to inspect evidence, assumptions, drivers, uncertainty, alternatives, and provenance.</w:t>
      </w:r>
    </w:p>
    <w:p>
      <w:pPr>
        <w:pStyle w:val="EyeDefinition"/>
      </w:pPr>
      <w:r>
        <w:rPr>
          <w:rFonts w:ascii="Arial" w:hAnsi="Arial" w:eastAsia="Arial"/>
          <w:b/>
          <w:color w:val="0B2545"/>
        </w:rPr>
        <w:t xml:space="preserve">Humans Decide. </w:t>
      </w:r>
      <w:r>
        <w:rPr>
          <w:rFonts w:ascii="Arial" w:hAnsi="Arial" w:eastAsia="Arial"/>
        </w:rPr>
        <w:t>The system informs and prepares decisions; accountable people retain final authority.</w:t>
      </w:r>
    </w:p>
    <w:p>
      <w:pPr>
        <w:pStyle w:val="EyeDefinition"/>
      </w:pPr>
      <w:r>
        <w:rPr>
          <w:rFonts w:ascii="Arial" w:hAnsi="Arial" w:eastAsia="Arial"/>
          <w:b/>
          <w:color w:val="0B2545"/>
        </w:rPr>
        <w:t xml:space="preserve">Learn Continuously. </w:t>
      </w:r>
      <w:r>
        <w:rPr>
          <w:rFonts w:ascii="Arial" w:hAnsi="Arial" w:eastAsia="Arial"/>
        </w:rPr>
        <w:t>Outcomes and feedback shall improve memory, models, workflows, and policy through controlled learning loops.</w:t>
      </w:r>
    </w:p>
    <w:p>
      <w:pPr>
        <w:pStyle w:val="EyeDefinition"/>
      </w:pPr>
      <w:r>
        <w:rPr>
          <w:rFonts w:ascii="Arial" w:hAnsi="Arial" w:eastAsia="Arial"/>
          <w:b/>
          <w:color w:val="0B2545"/>
        </w:rPr>
        <w:t xml:space="preserve">Remember Permanently. </w:t>
      </w:r>
      <w:r>
        <w:rPr>
          <w:rFonts w:ascii="Arial" w:hAnsi="Arial" w:eastAsia="Arial"/>
        </w:rPr>
        <w:t>Institutional knowledge shall persist by default within lawful retention, deletion, classification, and customer-governance boundaries.</w:t>
      </w:r>
    </w:p>
    <w:p>
      <w:pPr>
        <w:pStyle w:val="EyeDefinition"/>
      </w:pPr>
      <w:r>
        <w:rPr>
          <w:rFonts w:ascii="Arial" w:hAnsi="Arial" w:eastAsia="Arial"/>
          <w:b/>
          <w:color w:val="0B2545"/>
        </w:rPr>
        <w:t xml:space="preserve">Protect by Design. </w:t>
      </w:r>
      <w:r>
        <w:rPr>
          <w:rFonts w:ascii="Arial" w:hAnsi="Arial" w:eastAsia="Arial"/>
        </w:rPr>
        <w:t>Security, privacy, sovereignty, safety, and auditability are architectural properties.</w:t>
      </w:r>
    </w:p>
    <w:p>
      <w:pPr>
        <w:pStyle w:val="EyeDefinition"/>
      </w:pPr>
      <w:r>
        <w:rPr>
          <w:rFonts w:ascii="Arial" w:hAnsi="Arial" w:eastAsia="Arial"/>
          <w:b/>
          <w:color w:val="0B2545"/>
        </w:rPr>
        <w:t xml:space="preserve">Enterprise First. </w:t>
      </w:r>
      <w:r>
        <w:rPr>
          <w:rFonts w:ascii="Arial" w:hAnsi="Arial" w:eastAsia="Arial"/>
        </w:rPr>
        <w:t>Governance, lifecycle management, reliability, interoperability, and deployment control are baseline requirements, not later upgrades.</w:t>
      </w:r>
    </w:p>
    <w:p>
      <w:pPr>
        <w:pStyle w:val="Heading2"/>
        <w:keepNext/>
      </w:pPr>
      <w:r>
        <w:rPr>
          <w:rFonts w:ascii="Arial" w:hAnsi="Arial" w:eastAsia="Arial"/>
          <w:b/>
          <w:color w:val="0B2545"/>
          <w:sz w:val="27"/>
        </w:rPr>
        <w:t>Constitutional prohibitions</w:t>
      </w:r>
    </w:p>
    <w:p>
      <w:pPr>
        <w:numPr>
          <w:ilvl w:val="0"/>
          <w:numId w:val="11"/>
        </w:numPr>
        <w:spacing w:after="160" w:line="280" w:lineRule="auto"/>
        <w:ind w:left="720" w:hanging="360"/>
      </w:pPr>
      <w:r>
        <w:rPr>
          <w:rFonts w:ascii="Arial" w:hAnsi="Arial" w:eastAsia="Arial"/>
        </w:rPr>
        <w:t>The product shall not present inference, synthetic data, or scenario output as observed fact.</w:t>
      </w:r>
    </w:p>
    <w:p>
      <w:pPr>
        <w:numPr>
          <w:ilvl w:val="0"/>
          <w:numId w:val="11"/>
        </w:numPr>
        <w:spacing w:after="160" w:line="280" w:lineRule="auto"/>
        <w:ind w:left="720" w:hanging="360"/>
      </w:pPr>
      <w:r>
        <w:rPr>
          <w:rFonts w:ascii="Arial" w:hAnsi="Arial" w:eastAsia="Arial"/>
        </w:rPr>
        <w:t>The product shall not conceal material uncertainty to produce a cleaner executive narrative.</w:t>
      </w:r>
    </w:p>
    <w:p>
      <w:pPr>
        <w:numPr>
          <w:ilvl w:val="0"/>
          <w:numId w:val="11"/>
        </w:numPr>
        <w:spacing w:after="160" w:line="280" w:lineRule="auto"/>
        <w:ind w:left="720" w:hanging="360"/>
      </w:pPr>
      <w:r>
        <w:rPr>
          <w:rFonts w:ascii="Arial" w:hAnsi="Arial" w:eastAsia="Arial"/>
        </w:rPr>
        <w:t>The product shall not make a recommendation without showing which objectives, constraints, evidence, and assumptions shaped it.</w:t>
      </w:r>
    </w:p>
    <w:p>
      <w:pPr>
        <w:numPr>
          <w:ilvl w:val="0"/>
          <w:numId w:val="11"/>
        </w:numPr>
        <w:spacing w:after="160" w:line="280" w:lineRule="auto"/>
        <w:ind w:left="720" w:hanging="360"/>
      </w:pPr>
      <w:r>
        <w:rPr>
          <w:rFonts w:ascii="Arial" w:hAnsi="Arial" w:eastAsia="Arial"/>
        </w:rPr>
        <w:t>The product shall not allow agents, models, or workflows to accumulate undeclared authority through convenience or repeated use.</w:t>
      </w:r>
    </w:p>
    <w:p>
      <w:pPr>
        <w:numPr>
          <w:ilvl w:val="0"/>
          <w:numId w:val="11"/>
        </w:numPr>
        <w:spacing w:after="160" w:line="280" w:lineRule="auto"/>
        <w:ind w:left="720" w:hanging="360"/>
      </w:pPr>
      <w:r>
        <w:rPr>
          <w:rFonts w:ascii="Arial" w:hAnsi="Arial" w:eastAsia="Arial"/>
        </w:rPr>
        <w:t>The product shall not create separate, irreconcilable truths for executives, analysts, operators, and governance teams.</w:t>
      </w:r>
    </w:p>
    <w:p>
      <w:pPr>
        <w:numPr>
          <w:ilvl w:val="0"/>
          <w:numId w:val="11"/>
        </w:numPr>
        <w:spacing w:after="160" w:line="280" w:lineRule="auto"/>
        <w:ind w:left="720" w:hanging="360"/>
      </w:pPr>
      <w:r>
        <w:rPr>
          <w:rFonts w:ascii="Arial" w:hAnsi="Arial" w:eastAsia="Arial"/>
        </w:rPr>
        <w:t>The product shall not make lock-in a precondition for preserving or exporting customer knowledge.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C-003  Product boundary</w:t>
            </w:r>
          </w:p>
          <w:p>
            <w:pPr>
              <w:spacing w:after="40" w:line="250" w:lineRule="auto"/>
            </w:pPr>
            <w:r>
              <w:rPr>
                <w:rFonts w:ascii="Arial" w:hAnsi="Arial" w:eastAsia="Arial"/>
                <w:b/>
                <w:color w:val="0B2545"/>
                <w:sz w:val="18"/>
              </w:rPr>
              <w:t>C-006  Enterprise operating standard</w:t>
            </w:r>
          </w:p>
          <w:p>
            <w:pPr>
              <w:spacing w:after="40" w:line="250" w:lineRule="auto"/>
            </w:pPr>
            <w:r>
              <w:rPr>
                <w:rFonts w:ascii="Arial" w:hAnsi="Arial" w:eastAsia="Arial"/>
                <w:b/>
                <w:color w:val="0B2545"/>
                <w:sz w:val="18"/>
              </w:rPr>
              <w:t>C-010  Truth-state separation</w:t>
            </w:r>
          </w:p>
        </w:tc>
      </w:tr>
    </w:tbl>
    <w:p>
      <w:pPr>
        <w:pStyle w:val="Heading1"/>
        <w:keepNext/>
        <w:pageBreakBefore/>
      </w:pPr>
      <w:r>
        <w:rPr>
          <w:rFonts w:ascii="Arial" w:hAnsi="Arial" w:eastAsia="Arial"/>
          <w:b/>
          <w:color w:val="0B2545"/>
          <w:sz w:val="36"/>
        </w:rPr>
        <w:t>4  Customers and Domain Applicability</w:t>
      </w:r>
    </w:p>
    <w:p>
      <w:pPr>
        <w:pStyle w:val="EyeLead"/>
        <w:keepLines/>
      </w:pPr>
      <w:r>
        <w:rPr>
          <w:rFonts w:ascii="Arial" w:hAnsi="Arial" w:eastAsia="Arial"/>
          <w:color w:val="0B2545"/>
          <w:sz w:val="25"/>
        </w:rPr>
        <w:t>The Eye is universal in applicability and enterprise in operating standard. The shared core remains stable while domains express their own ontologies, models, policies, twins, and decision workflows.</w:t>
      </w:r>
    </w:p>
    <w:p>
      <w:pPr>
        <w:pStyle w:val="Heading2"/>
        <w:keepNext/>
      </w:pPr>
      <w:r>
        <w:rPr>
          <w:rFonts w:ascii="Arial" w:hAnsi="Arial" w:eastAsia="Arial"/>
          <w:b/>
          <w:color w:val="0B2545"/>
          <w:sz w:val="27"/>
        </w:rPr>
        <w:t>Customer universe</w:t>
      </w:r>
    </w:p>
    <w:p>
      <w:r>
        <w:rPr>
          <w:rFonts w:ascii="Arial" w:hAnsi="Arial" w:eastAsia="Arial"/>
        </w:rPr>
        <w:t>The platform is designed for governments, Fortune 500 companies, defence organizations, banks, healthcare institutions, manufacturers, energy companies, logistics networks, telecom operators, retailers, consulting firms, and small and medium-sized enterprises. This breadth does not justify a lowest-common-denominator product. It requires a strong common substrate and governed specialization.</w:t>
      </w:r>
    </w:p>
    <w:p>
      <w:pPr>
        <w:pStyle w:val="Heading2"/>
        <w:keepNext/>
      </w:pPr>
      <w:r>
        <w:rPr>
          <w:rFonts w:ascii="Arial" w:hAnsi="Arial" w:eastAsia="Arial"/>
          <w:b/>
          <w:color w:val="0B2545"/>
          <w:sz w:val="27"/>
        </w:rPr>
        <w:t>Common core</w:t>
      </w:r>
    </w:p>
    <w:p>
      <w:r>
        <w:rPr>
          <w:rFonts w:ascii="Arial" w:hAnsi="Arial" w:eastAsia="Arial"/>
        </w:rPr>
        <w:t>All customers share the same fundamental objects: sources, evidence, entities, events, claims, relationships, objectives, risks, opportunities, capabilities, indicators, hypotheses, scenarios, forecasts, simulations, decisions, actions, outcomes, and lessons. Shared semantics allow the platform to transfer product capability across sectors without transferring private customer knowledge.</w:t>
      </w:r>
    </w:p>
    <w:p>
      <w:pPr>
        <w:pStyle w:val="Heading2"/>
        <w:keepNext/>
      </w:pPr>
      <w:r>
        <w:rPr>
          <w:rFonts w:ascii="Arial" w:hAnsi="Arial" w:eastAsia="Arial"/>
          <w:b/>
          <w:color w:val="0B2545"/>
          <w:sz w:val="27"/>
        </w:rPr>
        <w:t>Domain specialization</w:t>
      </w:r>
    </w:p>
    <w:p>
      <w:r>
        <w:rPr>
          <w:rFonts w:ascii="Arial" w:hAnsi="Arial" w:eastAsia="Arial"/>
        </w:rPr>
        <w:t>Each sector may add domain packs containing ontology extensions, source connectors, policies, metrics, twin templates, model suites, agent capabilities, workflow patterns, simulation methods, and executive views. Extensions must identify their namespace, owner, evidence requirements, evaluation criteria, compatibility range, and lifecycle. They may enrich the core; they may not redefine foundational terms in a way that breaks cross-domain reasoning.</w:t>
      </w:r>
    </w:p>
    <w:p>
      <w:pPr>
        <w:pStyle w:val="Heading2"/>
        <w:keepNext/>
      </w:pPr>
      <w:r>
        <w:rPr>
          <w:rFonts w:ascii="Arial" w:hAnsi="Arial" w:eastAsia="Arial"/>
          <w:b/>
          <w:color w:val="0B2545"/>
          <w:sz w:val="27"/>
        </w:rPr>
        <w:t>Organizational scale</w:t>
      </w:r>
    </w:p>
    <w:p>
      <w:r>
        <w:rPr>
          <w:rFonts w:ascii="Arial" w:hAnsi="Arial" w:eastAsia="Arial"/>
        </w:rPr>
        <w:t>Smaller organizations may consume a managed configuration with narrower scope. Large enterprises and governments may operate federated, multi-tenant, multi-classification, multi-region, or disconnected deployments. The intelligence lifecycle, trust model, and core semantics remain the same across scale. Simplicity may be achieved through configuration and experience design, not through removal of accountability.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C-006  Enterprise operating standard</w:t>
            </w:r>
          </w:p>
          <w:p>
            <w:pPr>
              <w:spacing w:after="40" w:line="250" w:lineRule="auto"/>
            </w:pPr>
            <w:r>
              <w:rPr>
                <w:rFonts w:ascii="Arial" w:hAnsi="Arial" w:eastAsia="Arial"/>
                <w:b/>
                <w:color w:val="0B2545"/>
                <w:sz w:val="18"/>
              </w:rPr>
              <w:t>C-007  Universal core, governed specialization</w:t>
            </w:r>
          </w:p>
          <w:p>
            <w:pPr>
              <w:spacing w:after="40" w:line="250" w:lineRule="auto"/>
            </w:pPr>
            <w:r>
              <w:rPr>
                <w:rFonts w:ascii="Arial" w:hAnsi="Arial" w:eastAsia="Arial"/>
                <w:b/>
                <w:color w:val="0B2545"/>
                <w:sz w:val="18"/>
              </w:rPr>
              <w:t>C-038  Open interoperability</w:t>
            </w:r>
          </w:p>
        </w:tc>
      </w:tr>
    </w:tbl>
    <w:p>
      <w:pPr>
        <w:pStyle w:val="Heading1"/>
        <w:keepNext/>
        <w:pageBreakBefore/>
      </w:pPr>
      <w:r>
        <w:rPr>
          <w:rFonts w:ascii="Arial" w:hAnsi="Arial" w:eastAsia="Arial"/>
          <w:b/>
          <w:color w:val="0B2545"/>
          <w:sz w:val="36"/>
        </w:rPr>
        <w:t>5  Human Authority and Responsible Use</w:t>
      </w:r>
    </w:p>
    <w:p>
      <w:pPr>
        <w:pStyle w:val="EyeLead"/>
        <w:keepLines/>
      </w:pPr>
      <w:r>
        <w:rPr>
          <w:rFonts w:ascii="Arial" w:hAnsi="Arial" w:eastAsia="Arial"/>
          <w:color w:val="0B2545"/>
          <w:sz w:val="25"/>
        </w:rPr>
        <w:t>The Eye increases the range and speed of machine-supported reasoning without transferring moral, legal, or strategic accountability away from people.</w:t>
      </w:r>
    </w:p>
    <w:p>
      <w:pPr>
        <w:pStyle w:val="Heading2"/>
        <w:keepNext/>
      </w:pPr>
      <w:r>
        <w:rPr>
          <w:rFonts w:ascii="Arial" w:hAnsi="Arial" w:eastAsia="Arial"/>
          <w:b/>
          <w:color w:val="0B2545"/>
          <w:sz w:val="27"/>
        </w:rPr>
        <w:t>Decision sovereignty</w:t>
      </w:r>
    </w:p>
    <w:p>
      <w:r>
        <w:rPr>
          <w:rFonts w:ascii="Arial" w:hAnsi="Arial" w:eastAsia="Arial"/>
        </w:rPr>
        <w:t>Every strategic decision record shall name the accountable human decision authority, the participants who reviewed it, the evidence and recommendations available, the approval state, and any override. The system may collect, transform, monitor, notify, forecast, generate options, run simulations, draft decisions, and execute pre-authorized reversible administrative steps. It may not represent those activities as final human judgment.</w:t>
      </w:r>
    </w:p>
    <w:p>
      <w:pPr>
        <w:pStyle w:val="Heading2"/>
        <w:keepNext/>
      </w:pPr>
      <w:r>
        <w:rPr>
          <w:rFonts w:ascii="Arial" w:hAnsi="Arial" w:eastAsia="Arial"/>
          <w:b/>
          <w:color w:val="0B2545"/>
          <w:sz w:val="27"/>
        </w:rPr>
        <w:t>High-impact boundaries</w:t>
      </w:r>
    </w:p>
    <w:p>
      <w:r>
        <w:rPr>
          <w:rFonts w:ascii="Arial" w:hAnsi="Arial" w:eastAsia="Arial"/>
        </w:rPr>
        <w:t>Where a decision materially affects life, liberty, legal status, essential services, employment, credit, health, safety, or comparable rights and interests, the system shall operate in decision-support mode with explicit human review, applicable legal and policy controls, and an auditable basis. The presence of a human click is not sufficient if the workflow withholds material information, coerces approval, or makes challenge impractical.</w:t>
      </w:r>
    </w:p>
    <w:p>
      <w:pPr>
        <w:pStyle w:val="Heading2"/>
        <w:keepNext/>
      </w:pPr>
      <w:r>
        <w:rPr>
          <w:rFonts w:ascii="Arial" w:hAnsi="Arial" w:eastAsia="Arial"/>
          <w:b/>
          <w:color w:val="0B2545"/>
          <w:sz w:val="27"/>
        </w:rPr>
        <w:t>Responsible institutional use</w:t>
      </w:r>
    </w:p>
    <w:p>
      <w:r>
        <w:rPr>
          <w:rFonts w:ascii="Arial" w:hAnsi="Arial" w:eastAsia="Arial"/>
        </w:rPr>
        <w:t>Customers remain accountable for lawful purpose, authority, proportionality, data rights, policy, and operational use. The platform shall provide controls that make responsible operation possible: purpose binding, access control, policy enforcement, explainability, audit, contestability, override, retention, review, and shutdown. The Eye shall not claim neutrality when its configuration or outputs materially shape a decision process.</w:t>
      </w:r>
    </w:p>
    <w:p>
      <w:pPr>
        <w:pStyle w:val="Heading2"/>
        <w:keepNext/>
      </w:pPr>
      <w:r>
        <w:rPr>
          <w:rFonts w:ascii="Arial" w:hAnsi="Arial" w:eastAsia="Arial"/>
          <w:b/>
          <w:color w:val="0B2545"/>
          <w:sz w:val="27"/>
        </w:rPr>
        <w:t>Explanation without performative transparency</w:t>
      </w:r>
    </w:p>
    <w:p>
      <w:r>
        <w:rPr>
          <w:rFonts w:ascii="Arial" w:hAnsi="Arial" w:eastAsia="Arial"/>
        </w:rPr>
        <w:t>Explainability shall communicate the basis of an output in a form appropriate to the decision. It includes evidence, assumptions, model and agent identity, important drivers, uncertainty, alternatives, limitations, sensitivity, and required verification. It does not require disclosure of protected internal chain-of-thought. A concise reasoning summary and reproducible evidence path are the governing standard.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C-004  Human decision sovereignty</w:t>
            </w:r>
          </w:p>
          <w:p>
            <w:pPr>
              <w:spacing w:after="40" w:line="250" w:lineRule="auto"/>
            </w:pPr>
            <w:r>
              <w:rPr>
                <w:rFonts w:ascii="Arial" w:hAnsi="Arial" w:eastAsia="Arial"/>
                <w:b/>
                <w:color w:val="0B2545"/>
                <w:sz w:val="18"/>
              </w:rPr>
              <w:t>C-005  Explain every recommendation</w:t>
            </w:r>
          </w:p>
          <w:p>
            <w:pPr>
              <w:spacing w:after="40" w:line="250" w:lineRule="auto"/>
            </w:pPr>
            <w:r>
              <w:rPr>
                <w:rFonts w:ascii="Arial" w:hAnsi="Arial" w:eastAsia="Arial"/>
                <w:b/>
                <w:color w:val="0B2545"/>
                <w:sz w:val="18"/>
              </w:rPr>
              <w:t>C-050  Responsible-use boundary</w:t>
            </w:r>
          </w:p>
        </w:tc>
      </w:tr>
    </w:tbl>
    <w:p>
      <w:r>
        <w:br w:type="page"/>
      </w:r>
    </w:p>
    <w:p>
      <w:pPr>
        <w:spacing w:before="2400" w:after="320"/>
      </w:pPr>
      <w:r>
        <w:rPr>
          <w:rFonts w:ascii="Arial" w:hAnsi="Arial" w:eastAsia="Arial"/>
          <w:b/>
          <w:caps/>
          <w:color w:val="007E80"/>
          <w:sz w:val="20"/>
        </w:rPr>
        <w:t>PART II</w:t>
      </w:r>
    </w:p>
    <w:p>
      <w:pPr>
        <w:pStyle w:val="EyePart"/>
      </w:pPr>
      <w:r>
        <w:rPr>
          <w:rFonts w:ascii="Arial" w:hAnsi="Arial" w:eastAsia="Arial"/>
          <w:b/>
          <w:color w:val="0B2545"/>
          <w:sz w:val="50"/>
        </w:rPr>
        <w:t>The Strategic Intelligence System</w:t>
      </w:r>
    </w:p>
    <w:p>
      <w:pPr>
        <w:pStyle w:val="EyePartSubtitle"/>
      </w:pPr>
      <w:r>
        <w:rPr>
          <w:rFonts w:ascii="Arial" w:hAnsi="Arial" w:eastAsia="Arial"/>
          <w:color w:val="566575"/>
          <w:sz w:val="24"/>
        </w:rPr>
        <w:t>The canonical lifecycle, architecture layers, semantic core, Digital Twins, predictive systems, decision systems, and multi-agent society.</w:t>
      </w:r>
    </w:p>
    <w:p>
      <w:pPr>
        <w:spacing w:before="560" w:after="0"/>
      </w:pPr>
      <w:r>
        <w:rPr>
          <w:rFonts w:ascii="Arial" w:hAnsi="Arial" w:eastAsia="Arial"/>
          <w:b/>
          <w:caps/>
          <w:color w:val="007E80"/>
          <w:sz w:val="17"/>
        </w:rPr>
        <w:t>THE EYE  /  THE OPERATING SYSTEM FOR STRATEGIC INTELLIGENCE</w:t>
      </w:r>
    </w:p>
    <w:p>
      <w:pPr>
        <w:pStyle w:val="Heading1"/>
        <w:keepNext/>
        <w:pageBreakBefore/>
      </w:pPr>
      <w:r>
        <w:rPr>
          <w:rFonts w:ascii="Arial" w:hAnsi="Arial" w:eastAsia="Arial"/>
          <w:b/>
          <w:color w:val="0B2545"/>
          <w:sz w:val="36"/>
        </w:rPr>
        <w:t>6  The Strategic Intelligence Lifecycle</w:t>
      </w:r>
    </w:p>
    <w:p>
      <w:pPr>
        <w:pStyle w:val="EyeLead"/>
        <w:keepLines/>
      </w:pPr>
      <w:r>
        <w:rPr>
          <w:rFonts w:ascii="Arial" w:hAnsi="Arial" w:eastAsia="Arial"/>
          <w:color w:val="0B2545"/>
          <w:sz w:val="25"/>
        </w:rPr>
        <w:t>The Eye is one closed-loop system. Intelligence becomes valuable only when evidence, foresight, decisions, actions, outcomes, and learning remain connected.</w:t>
      </w:r>
    </w:p>
    <w:p>
      <w:pPr>
        <w:numPr>
          <w:ilvl w:val="0"/>
          <w:numId w:val="12"/>
        </w:numPr>
        <w:spacing w:after="160" w:line="280" w:lineRule="auto"/>
        <w:ind w:left="720" w:hanging="360"/>
      </w:pPr>
      <w:r>
        <w:rPr>
          <w:rFonts w:ascii="Arial" w:hAnsi="Arial" w:eastAsia="Arial"/>
        </w:rPr>
        <w:t>Observe. Sources are discovered, authorized, collected, timestamped, preserved, and monitored under explicit coverage and freshness contracts.</w:t>
      </w:r>
    </w:p>
    <w:p>
      <w:pPr>
        <w:numPr>
          <w:ilvl w:val="0"/>
          <w:numId w:val="12"/>
        </w:numPr>
        <w:spacing w:after="160" w:line="280" w:lineRule="auto"/>
        <w:ind w:left="720" w:hanging="360"/>
      </w:pPr>
      <w:r>
        <w:rPr>
          <w:rFonts w:ascii="Arial" w:hAnsi="Arial" w:eastAsia="Arial"/>
        </w:rPr>
        <w:t>Understand. Content and telemetry are cleaned, classified, resolved into entities and events, connected through relationships, summarized, assessed, and stored with uncertainty and provenance.</w:t>
      </w:r>
    </w:p>
    <w:p>
      <w:pPr>
        <w:numPr>
          <w:ilvl w:val="0"/>
          <w:numId w:val="12"/>
        </w:numPr>
        <w:spacing w:after="160" w:line="280" w:lineRule="auto"/>
        <w:ind w:left="720" w:hanging="360"/>
      </w:pPr>
      <w:r>
        <w:rPr>
          <w:rFonts w:ascii="Arial" w:hAnsi="Arial" w:eastAsia="Arial"/>
        </w:rPr>
        <w:t>Predict. Models estimate future states and indicators across the canonical horizons, expose confidence and drivers, and register conditions that would invalidate the forecast.</w:t>
      </w:r>
    </w:p>
    <w:p>
      <w:pPr>
        <w:numPr>
          <w:ilvl w:val="0"/>
          <w:numId w:val="12"/>
        </w:numPr>
        <w:spacing w:after="160" w:line="280" w:lineRule="auto"/>
        <w:ind w:left="720" w:hanging="360"/>
      </w:pPr>
      <w:r>
        <w:rPr>
          <w:rFonts w:ascii="Arial" w:hAnsi="Arial" w:eastAsia="Arial"/>
        </w:rPr>
        <w:t>Simulate. Scenarios and interventions are applied to versioned Digital Twins to estimate direct, indirect, delayed, systemic, and adversarial effects.</w:t>
      </w:r>
    </w:p>
    <w:p>
      <w:pPr>
        <w:numPr>
          <w:ilvl w:val="0"/>
          <w:numId w:val="12"/>
        </w:numPr>
        <w:spacing w:after="160" w:line="280" w:lineRule="auto"/>
        <w:ind w:left="720" w:hanging="360"/>
      </w:pPr>
      <w:r>
        <w:rPr>
          <w:rFonts w:ascii="Arial" w:hAnsi="Arial" w:eastAsia="Arial"/>
        </w:rPr>
        <w:t>Decide. Options are compared against objectives, constraints, risk appetite, policy, stakeholder obligations, reversibility, and information value; humans approve or reject.</w:t>
      </w:r>
    </w:p>
    <w:p>
      <w:pPr>
        <w:numPr>
          <w:ilvl w:val="0"/>
          <w:numId w:val="12"/>
        </w:numPr>
        <w:spacing w:after="160" w:line="280" w:lineRule="auto"/>
        <w:ind w:left="720" w:hanging="360"/>
      </w:pPr>
      <w:r>
        <w:rPr>
          <w:rFonts w:ascii="Arial" w:hAnsi="Arial" w:eastAsia="Arial"/>
        </w:rPr>
        <w:t>Learn. Actions and outcomes are observed, forecast and simulation performance are scored, assumptions are revisited, lessons enter memory, and approved improvements are released.</w:t>
      </w:r>
    </w:p>
    <w:p>
      <w:pPr>
        <w:pStyle w:val="Heading2"/>
        <w:keepNext/>
      </w:pPr>
      <w:r>
        <w:rPr>
          <w:rFonts w:ascii="Arial" w:hAnsi="Arial" w:eastAsia="Arial"/>
          <w:b/>
          <w:color w:val="0B2545"/>
          <w:sz w:val="27"/>
        </w:rPr>
        <w:t>Lifecycle continuity</w:t>
      </w:r>
    </w:p>
    <w:p>
      <w:r>
        <w:rPr>
          <w:rFonts w:ascii="Arial" w:hAnsi="Arial" w:eastAsia="Arial"/>
        </w:rPr>
        <w:t>Each stage shall produce versioned objects that the next stage can consume and the previous stage can audit. A recommendation must link backward to scenarios, forecasts, twin state, claims, and evidence. It must link forward to the human decision, authorized action, observed outcome, and resulting lesson. Breaking these links converts the platform into a collection of tools and violates the operating-system category.</w:t>
      </w:r>
    </w:p>
    <w:p>
      <w:pPr>
        <w:pStyle w:val="Heading2"/>
        <w:keepNext/>
      </w:pPr>
      <w:r>
        <w:rPr>
          <w:rFonts w:ascii="Arial" w:hAnsi="Arial" w:eastAsia="Arial"/>
          <w:b/>
          <w:color w:val="0B2545"/>
          <w:sz w:val="27"/>
        </w:rPr>
        <w:t>Re-entry and iteration</w:t>
      </w:r>
    </w:p>
    <w:p>
      <w:r>
        <w:rPr>
          <w:rFonts w:ascii="Arial" w:hAnsi="Arial" w:eastAsia="Arial"/>
        </w:rPr>
        <w:t>The lifecycle is not a simple pipeline. New evidence can invalidate an understanding; a simulation can expose missing observations; a decision review can require another scenario; an outcome can change the ontology or source strategy. The workflow model must support controlled iteration while preserving every prior state and reason for change.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C-002  Closed strategic loop</w:t>
            </w:r>
          </w:p>
          <w:p>
            <w:pPr>
              <w:spacing w:after="40" w:line="250" w:lineRule="auto"/>
            </w:pPr>
            <w:r>
              <w:rPr>
                <w:rFonts w:ascii="Arial" w:hAnsi="Arial" w:eastAsia="Arial"/>
                <w:b/>
                <w:color w:val="0B2545"/>
                <w:sz w:val="18"/>
              </w:rPr>
              <w:t>C-010  Truth-state separation</w:t>
            </w:r>
          </w:p>
          <w:p>
            <w:pPr>
              <w:spacing w:after="40" w:line="250" w:lineRule="auto"/>
            </w:pPr>
            <w:r>
              <w:rPr>
                <w:rFonts w:ascii="Arial" w:hAnsi="Arial" w:eastAsia="Arial"/>
                <w:b/>
                <w:color w:val="0B2545"/>
                <w:sz w:val="18"/>
              </w:rPr>
              <w:t>C-025  Decision Replay</w:t>
            </w:r>
          </w:p>
        </w:tc>
      </w:tr>
    </w:tbl>
    <w:p>
      <w:pPr>
        <w:pStyle w:val="Heading1"/>
        <w:keepNext/>
        <w:pageBreakBefore/>
      </w:pPr>
      <w:r>
        <w:rPr>
          <w:rFonts w:ascii="Arial" w:hAnsi="Arial" w:eastAsia="Arial"/>
          <w:b/>
          <w:color w:val="0B2545"/>
          <w:sz w:val="36"/>
        </w:rPr>
        <w:t>7  Canonical Architecture</w:t>
      </w:r>
    </w:p>
    <w:p>
      <w:pPr>
        <w:pStyle w:val="EyeLead"/>
        <w:keepLines/>
      </w:pPr>
      <w:r>
        <w:rPr>
          <w:rFonts w:ascii="Arial" w:hAnsi="Arial" w:eastAsia="Arial"/>
          <w:color w:val="0B2545"/>
          <w:sz w:val="25"/>
        </w:rPr>
        <w:t>The product architecture consists of ten canonical layers. Their responsibilities are stable; their implementation may evolve.</w:t>
      </w:r>
    </w:p>
    <w:tbl>
      <w:tblPr>
        <w:tblW w:type="dxa" w:w="9360"/>
        <w:jc w:val="left"/>
        <w:tblLayout w:type="fixed"/>
        <w:tblLook w:firstColumn="1" w:firstRow="1" w:lastColumn="0" w:lastRow="0" w:noHBand="0" w:noVBand="1" w:val="04A0"/>
        <w:tblInd w:w="120" w:type="dxa"/>
      </w:tblPr>
      <w:tblGrid>
        <w:gridCol w:w="900"/>
        <w:gridCol w:w="2300"/>
        <w:gridCol w:w="6160"/>
      </w:tblGrid>
      <w:tr>
        <w:trPr>
          <w:tblHeader w:val="true"/>
          <w:cantSplit/>
        </w:trPr>
        <w:tc>
          <w:tcPr>
            <w:tcW w:type="dxa" w:w="9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LAYER</w:t>
            </w:r>
          </w:p>
        </w:tc>
        <w:tc>
          <w:tcPr>
            <w:tcW w:type="dxa" w:w="23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CANONICAL NAME</w:t>
            </w:r>
          </w:p>
        </w:tc>
        <w:tc>
          <w:tcPr>
            <w:tcW w:type="dxa" w:w="616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CONSTITUTIONAL RESPONSIBILITY</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1</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World Observation Layer</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Continuously acquire and preserve authorized evidence from external and internal sources.</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2</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Intelligence Layer</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Transform evidence into governed claims, entities, events, relationships, signals, assessments, and hypotheses.</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3</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Enterprise Memory</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Retain institutional context, source history, analysis, decisions, outcomes, and lessons across time and teams.</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4</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Knowledge Graph</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Connect the world and the organization through temporal, semantic, provenance-rich relationships.</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5</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Digital Twins</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Maintain living, versioned representations of organizations, competitors, supply chains, products, markets, regulations, infrastructure, processes, and people structures.</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6</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Prediction Engine</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Generate calibrated, explainable forecasts across 30 days to 5 years.</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7</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Scenario Intelligence</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Construct, compare, monitor, and evolve multiple coherent possible futures.</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8</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Simulation Engine</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Test shocks, policies, actions, and strategies against twins and scenarios before execution.</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9</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Decision Intelligence</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Evaluate options, consequences, trade-offs, risk, opportunity, and strategic alignment for human approval.</w:t>
            </w:r>
          </w:p>
        </w:tc>
      </w:tr>
      <w:tr>
        <w:trPr>
          <w:cantSplit/>
        </w:trPr>
        <w:tc>
          <w:tcPr>
            <w:tcW w:type="dxa" w:w="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10</w:t>
            </w:r>
          </w:p>
        </w:tc>
        <w:tc>
          <w:tcPr>
            <w:tcW w:type="dxa" w:w="23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Executive Operating System</w:t>
            </w:r>
          </w:p>
        </w:tc>
        <w:tc>
          <w:tcPr>
            <w:tcW w:type="dxa" w:w="6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Coordinate strategic attention, decisions, commitments, learning, and institutional cadence.</w:t>
            </w:r>
          </w:p>
        </w:tc>
      </w:tr>
    </w:tbl>
    <w:p>
      <w:pPr>
        <w:pStyle w:val="Heading2"/>
        <w:keepNext/>
      </w:pPr>
      <w:r>
        <w:rPr>
          <w:rFonts w:ascii="Arial" w:hAnsi="Arial" w:eastAsia="Arial"/>
          <w:b/>
          <w:color w:val="0B2545"/>
          <w:sz w:val="27"/>
        </w:rPr>
        <w:t>Cross-cutting planes</w:t>
      </w:r>
    </w:p>
    <w:p>
      <w:r>
        <w:rPr>
          <w:rFonts w:ascii="Arial" w:hAnsi="Arial" w:eastAsia="Arial"/>
        </w:rPr>
        <w:t>Trust and provenance, security and policy, identity and authorization, data governance, agent orchestration, workflow, observability, evaluation, and deployment management operate across all ten layers. They are constitutional planes, not replacement layers. Their purpose is to make the layers governable and operable as one system.</w:t>
      </w:r>
    </w:p>
    <w:p>
      <w:pPr>
        <w:pStyle w:val="Heading2"/>
        <w:keepNext/>
      </w:pPr>
      <w:r>
        <w:rPr>
          <w:rFonts w:ascii="Arial" w:hAnsi="Arial" w:eastAsia="Arial"/>
          <w:b/>
          <w:color w:val="0B2545"/>
          <w:sz w:val="27"/>
        </w:rPr>
        <w:t>Layer contracts</w:t>
      </w:r>
    </w:p>
    <w:p>
      <w:r>
        <w:rPr>
          <w:rFonts w:ascii="Arial" w:hAnsi="Arial" w:eastAsia="Arial"/>
        </w:rPr>
        <w:t>Every layer shall publish stable contracts for objects, events, provenance, time, identity, policy, quality, confidence, versioning, and failure. A layer may be implemented by multiple services or products. Conversely, one service may support multiple layers. Logical architecture remains distinct from deployment topology.</w:t>
      </w:r>
    </w:p>
    <w:p>
      <w:pPr>
        <w:pStyle w:val="Heading2"/>
        <w:keepNext/>
      </w:pPr>
      <w:r>
        <w:rPr>
          <w:rFonts w:ascii="Arial" w:hAnsi="Arial" w:eastAsia="Arial"/>
          <w:b/>
          <w:color w:val="0B2545"/>
          <w:sz w:val="27"/>
        </w:rPr>
        <w:t>Knowledge Graph as the heart</w:t>
      </w:r>
    </w:p>
    <w:p>
      <w:r>
        <w:rPr>
          <w:rFonts w:ascii="Arial" w:hAnsi="Arial" w:eastAsia="Arial"/>
        </w:rPr>
        <w:t>The Knowledge Graph is listed as Layer 4 and functions as the connected semantic heart of the full platform. It does not own all storage or computation. It provides identity, relationships, temporal context, ontology, provenance links, and semantic continuity so that memory, twins, models, scenarios, simulations, decisions, and outcomes refer to the same world.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C-008  Ten-layer architecture</w:t>
            </w:r>
          </w:p>
          <w:p>
            <w:pPr>
              <w:spacing w:after="40" w:line="250" w:lineRule="auto"/>
            </w:pPr>
            <w:r>
              <w:rPr>
                <w:rFonts w:ascii="Arial" w:hAnsi="Arial" w:eastAsia="Arial"/>
                <w:b/>
                <w:color w:val="0B2545"/>
                <w:sz w:val="18"/>
              </w:rPr>
              <w:t>C-009  Knowledge Graph centrality</w:t>
            </w:r>
          </w:p>
          <w:p>
            <w:pPr>
              <w:spacing w:after="40" w:line="250" w:lineRule="auto"/>
            </w:pPr>
            <w:r>
              <w:rPr>
                <w:rFonts w:ascii="Arial" w:hAnsi="Arial" w:eastAsia="Arial"/>
                <w:b/>
                <w:color w:val="0B2545"/>
                <w:sz w:val="18"/>
              </w:rPr>
              <w:t>C-035  Trust as a system property</w:t>
            </w:r>
          </w:p>
        </w:tc>
      </w:tr>
    </w:tbl>
    <w:p>
      <w:pPr>
        <w:pStyle w:val="Heading1"/>
        <w:keepNext/>
        <w:pageBreakBefore/>
      </w:pPr>
      <w:r>
        <w:rPr>
          <w:rFonts w:ascii="Arial" w:hAnsi="Arial" w:eastAsia="Arial"/>
          <w:b/>
          <w:color w:val="0B2545"/>
          <w:sz w:val="36"/>
        </w:rPr>
        <w:t>8  World Observation Layer</w:t>
      </w:r>
    </w:p>
    <w:p>
      <w:pPr>
        <w:pStyle w:val="EyeLead"/>
        <w:keepLines/>
      </w:pPr>
      <w:r>
        <w:rPr>
          <w:rFonts w:ascii="Arial" w:hAnsi="Arial" w:eastAsia="Arial"/>
          <w:color w:val="0B2545"/>
          <w:sz w:val="25"/>
        </w:rPr>
        <w:t>Observation is an evidence discipline, not a scraping feature. The layer must know what was observed, from where, when, under what authority, with what quality, and what remains unseen.</w:t>
      </w:r>
    </w:p>
    <w:p>
      <w:pPr>
        <w:pStyle w:val="Heading2"/>
        <w:keepNext/>
      </w:pPr>
      <w:r>
        <w:rPr>
          <w:rFonts w:ascii="Arial" w:hAnsi="Arial" w:eastAsia="Arial"/>
          <w:b/>
          <w:color w:val="0B2545"/>
          <w:sz w:val="27"/>
        </w:rPr>
        <w:t>Source universe</w:t>
      </w:r>
    </w:p>
    <w:p>
      <w:r>
        <w:rPr>
          <w:rFonts w:ascii="Arial" w:hAnsi="Arial" w:eastAsia="Arial"/>
        </w:rPr>
        <w:t>The canonical source universe includes governments, regulations, news, financial markets, research, scientific papers, patents, company filings, supply chains, IoT, ERP, CRM, internal documents, satellites, climate data, geopolitical events, social signals, APIs, RSS, and customer-defined sources. Support means more than connection: it includes discovery, authorization, acquisition, change detection, schema understanding, rights enforcement, source health, backfill, replay, and retirement.</w:t>
      </w:r>
    </w:p>
    <w:p>
      <w:pPr>
        <w:pStyle w:val="Heading2"/>
        <w:keepNext/>
      </w:pPr>
      <w:r>
        <w:rPr>
          <w:rFonts w:ascii="Arial" w:hAnsi="Arial" w:eastAsia="Arial"/>
          <w:b/>
          <w:color w:val="0B2545"/>
          <w:sz w:val="27"/>
        </w:rPr>
        <w:t>Observation object</w:t>
      </w:r>
    </w:p>
    <w:p>
      <w:r>
        <w:rPr>
          <w:rFonts w:ascii="Arial" w:hAnsi="Arial" w:eastAsia="Arial"/>
        </w:rPr>
        <w:t>Every collected object shall preserve source identity, source type, acquisition method, event time where available, collection time, publication time, effective time, content hash, original payload reference, parser and connector version, licensing or usage restrictions, geographic scope, language, classification, sensitivity, tenant, and quality indicators. The original evidence must remain accessible according to policy even after derived intelligence has been created.</w:t>
      </w:r>
    </w:p>
    <w:p>
      <w:pPr>
        <w:pStyle w:val="Heading2"/>
        <w:keepNext/>
      </w:pPr>
      <w:r>
        <w:rPr>
          <w:rFonts w:ascii="Arial" w:hAnsi="Arial" w:eastAsia="Arial"/>
          <w:b/>
          <w:color w:val="0B2545"/>
          <w:sz w:val="27"/>
        </w:rPr>
        <w:t>Coverage intelligence</w:t>
      </w:r>
    </w:p>
    <w:p>
      <w:r>
        <w:rPr>
          <w:rFonts w:ascii="Arial" w:hAnsi="Arial" w:eastAsia="Arial"/>
        </w:rPr>
        <w:t>The layer shall model its own field of view. Source gaps, delayed feeds, failed connectors, regional blind spots, licensing exclusions, sampling bias, sensor degradation, and collection uncertainty are intelligence. Downstream systems must be able to distinguish ‘no event occurred’ from ‘the platform could not observe whether an event occurred.’</w:t>
      </w:r>
    </w:p>
    <w:p>
      <w:pPr>
        <w:pStyle w:val="Heading2"/>
        <w:keepNext/>
      </w:pPr>
      <w:r>
        <w:rPr>
          <w:rFonts w:ascii="Arial" w:hAnsi="Arial" w:eastAsia="Arial"/>
          <w:b/>
          <w:color w:val="0B2545"/>
          <w:sz w:val="27"/>
        </w:rPr>
        <w:t>Adversarial environment</w:t>
      </w:r>
    </w:p>
    <w:p>
      <w:r>
        <w:rPr>
          <w:rFonts w:ascii="Arial" w:hAnsi="Arial" w:eastAsia="Arial"/>
        </w:rPr>
        <w:t>External information may be manipulated, duplicated, poisoned, spoofed, selectively released, or generated to influence analysis. Observation workflows shall support source reputation, corroboration, anomaly detection, content authenticity signals, malicious payload isolation, prompt-injection resistance, and escalation to human review.</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C-012  End-to-end provenance</w:t>
            </w:r>
          </w:p>
          <w:p>
            <w:pPr>
              <w:spacing w:after="40" w:line="250" w:lineRule="auto"/>
            </w:pPr>
            <w:r>
              <w:rPr>
                <w:rFonts w:ascii="Arial" w:hAnsi="Arial" w:eastAsia="Arial"/>
                <w:b/>
                <w:color w:val="0B2545"/>
                <w:sz w:val="18"/>
              </w:rPr>
              <w:t>C-013  Observation breadth</w:t>
            </w:r>
          </w:p>
          <w:p>
            <w:pPr>
              <w:spacing w:after="40" w:line="250" w:lineRule="auto"/>
            </w:pPr>
            <w:r>
              <w:rPr>
                <w:rFonts w:ascii="Arial" w:hAnsi="Arial" w:eastAsia="Arial"/>
                <w:b/>
                <w:color w:val="0B2545"/>
                <w:sz w:val="18"/>
              </w:rPr>
              <w:t>C-014  Freshness and quality contracts</w:t>
            </w:r>
          </w:p>
        </w:tc>
      </w:tr>
    </w:tbl>
    <w:p>
      <w:pPr>
        <w:pStyle w:val="Heading1"/>
        <w:keepNext/>
        <w:pageBreakBefore/>
      </w:pPr>
      <w:r>
        <w:rPr>
          <w:rFonts w:ascii="Arial" w:hAnsi="Arial" w:eastAsia="Arial"/>
          <w:b/>
          <w:color w:val="0B2545"/>
          <w:sz w:val="36"/>
        </w:rPr>
        <w:t>9  Intelligence Layer</w:t>
      </w:r>
    </w:p>
    <w:p>
      <w:pPr>
        <w:pStyle w:val="EyeLead"/>
        <w:keepLines/>
      </w:pPr>
      <w:r>
        <w:rPr>
          <w:rFonts w:ascii="Arial" w:hAnsi="Arial" w:eastAsia="Arial"/>
          <w:color w:val="0B2545"/>
          <w:sz w:val="25"/>
        </w:rPr>
        <w:t>The Intelligence Layer turns evidence into structured understanding while preserving the difference between what a source said, what the system inferred, and what a human accepted.</w:t>
      </w:r>
    </w:p>
    <w:p>
      <w:pPr>
        <w:pStyle w:val="Heading2"/>
        <w:keepNext/>
      </w:pPr>
      <w:r>
        <w:rPr>
          <w:rFonts w:ascii="Arial" w:hAnsi="Arial" w:eastAsia="Arial"/>
          <w:b/>
          <w:color w:val="0B2545"/>
          <w:sz w:val="27"/>
        </w:rPr>
        <w:t>Core transformations</w:t>
      </w:r>
    </w:p>
    <w:p>
      <w:r>
        <w:rPr>
          <w:rFonts w:ascii="Arial" w:hAnsi="Arial" w:eastAsia="Arial"/>
        </w:rPr>
        <w:t>The layer coordinates collection, cleaning, normalization, language processing, classification, summarization, named-entity recognition, entity resolution, event extraction, relationship extraction, claim extraction, topic and theme analysis, geospatial and temporal alignment, contradiction detection, source comparison, weak-signal detection, and analytical assessment. These transformations may use deterministic rules, statistical models, graph methods, foundation models, specialist models, human review, or combinations of them.</w:t>
      </w:r>
    </w:p>
    <w:p>
      <w:pPr>
        <w:pStyle w:val="Heading2"/>
        <w:keepNext/>
      </w:pPr>
      <w:r>
        <w:rPr>
          <w:rFonts w:ascii="Arial" w:hAnsi="Arial" w:eastAsia="Arial"/>
          <w:b/>
          <w:color w:val="0B2545"/>
          <w:sz w:val="27"/>
        </w:rPr>
        <w:t>Intelligence object model</w:t>
      </w:r>
    </w:p>
    <w:p>
      <w:pPr>
        <w:pStyle w:val="EyeDefinition"/>
      </w:pPr>
      <w:r>
        <w:rPr>
          <w:rFonts w:ascii="Arial" w:hAnsi="Arial" w:eastAsia="Arial"/>
          <w:b/>
          <w:color w:val="0B2545"/>
        </w:rPr>
        <w:t xml:space="preserve">Evidence. </w:t>
      </w:r>
      <w:r>
        <w:rPr>
          <w:rFonts w:ascii="Arial" w:hAnsi="Arial" w:eastAsia="Arial"/>
        </w:rPr>
        <w:t>A preserved observation obtained from an identified source.</w:t>
      </w:r>
    </w:p>
    <w:p>
      <w:pPr>
        <w:pStyle w:val="EyeDefinition"/>
      </w:pPr>
      <w:r>
        <w:rPr>
          <w:rFonts w:ascii="Arial" w:hAnsi="Arial" w:eastAsia="Arial"/>
          <w:b/>
          <w:color w:val="0B2545"/>
        </w:rPr>
        <w:t xml:space="preserve">Claim. </w:t>
      </w:r>
      <w:r>
        <w:rPr>
          <w:rFonts w:ascii="Arial" w:hAnsi="Arial" w:eastAsia="Arial"/>
        </w:rPr>
        <w:t>A proposition asserted by a source, model, analyst, or institution, linked to supporting and contradicting evidence.</w:t>
      </w:r>
    </w:p>
    <w:p>
      <w:pPr>
        <w:pStyle w:val="EyeDefinition"/>
      </w:pPr>
      <w:r>
        <w:rPr>
          <w:rFonts w:ascii="Arial" w:hAnsi="Arial" w:eastAsia="Arial"/>
          <w:b/>
          <w:color w:val="0B2545"/>
        </w:rPr>
        <w:t xml:space="preserve">Assessment. </w:t>
      </w:r>
      <w:r>
        <w:rPr>
          <w:rFonts w:ascii="Arial" w:hAnsi="Arial" w:eastAsia="Arial"/>
        </w:rPr>
        <w:t>A time-bounded analytical judgment that synthesizes claims and evidence, with confidence, assumptions, alternatives, and accountable authorship.</w:t>
      </w:r>
    </w:p>
    <w:p>
      <w:pPr>
        <w:pStyle w:val="EyeDefinition"/>
      </w:pPr>
      <w:r>
        <w:rPr>
          <w:rFonts w:ascii="Arial" w:hAnsi="Arial" w:eastAsia="Arial"/>
          <w:b/>
          <w:color w:val="0B2545"/>
        </w:rPr>
        <w:t xml:space="preserve">Hypothesis. </w:t>
      </w:r>
      <w:r>
        <w:rPr>
          <w:rFonts w:ascii="Arial" w:hAnsi="Arial" w:eastAsia="Arial"/>
        </w:rPr>
        <w:t>A testable explanation or expectation with indicators that would strengthen, weaken, or falsify it.</w:t>
      </w:r>
    </w:p>
    <w:p>
      <w:pPr>
        <w:pStyle w:val="EyeDefinition"/>
      </w:pPr>
      <w:r>
        <w:rPr>
          <w:rFonts w:ascii="Arial" w:hAnsi="Arial" w:eastAsia="Arial"/>
          <w:b/>
          <w:color w:val="0B2545"/>
        </w:rPr>
        <w:t xml:space="preserve">Signal. </w:t>
      </w:r>
      <w:r>
        <w:rPr>
          <w:rFonts w:ascii="Arial" w:hAnsi="Arial" w:eastAsia="Arial"/>
        </w:rPr>
        <w:t>A change or pattern potentially relevant to an objective, risk, opportunity, scenario, or decision.</w:t>
      </w:r>
    </w:p>
    <w:p>
      <w:pPr>
        <w:pStyle w:val="Heading2"/>
        <w:keepNext/>
      </w:pPr>
      <w:r>
        <w:rPr>
          <w:rFonts w:ascii="Arial" w:hAnsi="Arial" w:eastAsia="Arial"/>
          <w:b/>
          <w:color w:val="0B2545"/>
          <w:sz w:val="27"/>
        </w:rPr>
        <w:t>Conflict and uncertainty</w:t>
      </w:r>
    </w:p>
    <w:p>
      <w:r>
        <w:rPr>
          <w:rFonts w:ascii="Arial" w:hAnsi="Arial" w:eastAsia="Arial"/>
        </w:rPr>
        <w:t>Conflicting claims shall not be flattened into one convenient answer. The layer shall retain disagreement, identify source dependence, estimate confidence, surface missing evidence, and allow multiple assessments to coexist. Human analysts must be able to endorse, challenge, amend, or supersede an assessment without deleting the historical record.</w:t>
      </w:r>
    </w:p>
    <w:p>
      <w:pPr>
        <w:pStyle w:val="Heading2"/>
        <w:keepNext/>
      </w:pPr>
      <w:r>
        <w:rPr>
          <w:rFonts w:ascii="Arial" w:hAnsi="Arial" w:eastAsia="Arial"/>
          <w:b/>
          <w:color w:val="0B2545"/>
          <w:sz w:val="27"/>
        </w:rPr>
        <w:t>Time and revision</w:t>
      </w:r>
    </w:p>
    <w:p>
      <w:r>
        <w:rPr>
          <w:rFonts w:ascii="Arial" w:hAnsi="Arial" w:eastAsia="Arial"/>
        </w:rPr>
        <w:t>Intelligence is provisional. Each object shall declare when it was valid, when it was known, when it was revised, and what evidence caused the revision. This bitemporal discipline enables Decision Replay, prevents hindsight leakage in model evaluation, and makes intelligence evolution auditable.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C-010  Truth-state separation</w:t>
            </w:r>
          </w:p>
          <w:p>
            <w:pPr>
              <w:spacing w:after="40" w:line="250" w:lineRule="auto"/>
            </w:pPr>
            <w:r>
              <w:rPr>
                <w:rFonts w:ascii="Arial" w:hAnsi="Arial" w:eastAsia="Arial"/>
                <w:b/>
                <w:color w:val="0B2545"/>
                <w:sz w:val="18"/>
              </w:rPr>
              <w:t>C-011  Temporal truth</w:t>
            </w:r>
          </w:p>
          <w:p>
            <w:pPr>
              <w:spacing w:after="40" w:line="250" w:lineRule="auto"/>
            </w:pPr>
            <w:r>
              <w:rPr>
                <w:rFonts w:ascii="Arial" w:hAnsi="Arial" w:eastAsia="Arial"/>
                <w:b/>
                <w:color w:val="0B2545"/>
                <w:sz w:val="18"/>
              </w:rPr>
              <w:t>C-045  Continuous evaluation</w:t>
            </w:r>
          </w:p>
        </w:tc>
      </w:tr>
    </w:tbl>
    <w:p>
      <w:pPr>
        <w:pStyle w:val="Heading1"/>
        <w:keepNext/>
        <w:pageBreakBefore/>
      </w:pPr>
      <w:r>
        <w:rPr>
          <w:rFonts w:ascii="Arial" w:hAnsi="Arial" w:eastAsia="Arial"/>
          <w:b/>
          <w:color w:val="0B2545"/>
          <w:sz w:val="36"/>
        </w:rPr>
        <w:t>10  Enterprise Memory and Strategic Memory</w:t>
      </w:r>
    </w:p>
    <w:p>
      <w:pPr>
        <w:pStyle w:val="EyeLead"/>
        <w:keepLines/>
      </w:pPr>
      <w:r>
        <w:rPr>
          <w:rFonts w:ascii="Arial" w:hAnsi="Arial" w:eastAsia="Arial"/>
          <w:color w:val="0B2545"/>
          <w:sz w:val="25"/>
        </w:rPr>
        <w:t>The Eye must remember more than documents. It must remember context: what the organization knew, believed, assumed, decided, attempted, observed, and learned.</w:t>
      </w:r>
    </w:p>
    <w:p>
      <w:pPr>
        <w:pStyle w:val="Heading2"/>
        <w:keepNext/>
      </w:pPr>
      <w:r>
        <w:rPr>
          <w:rFonts w:ascii="Arial" w:hAnsi="Arial" w:eastAsia="Arial"/>
          <w:b/>
          <w:color w:val="0B2545"/>
          <w:sz w:val="27"/>
        </w:rPr>
        <w:t>Enterprise Memory</w:t>
      </w:r>
    </w:p>
    <w:p>
      <w:r>
        <w:rPr>
          <w:rFonts w:ascii="Arial" w:hAnsi="Arial" w:eastAsia="Arial"/>
        </w:rPr>
        <w:t>Enterprise Memory is the governed, durable memory of sources, documents, messages, telemetry, entities, events, claims, analyses, workflows, decisions, actions, and outcomes. It spans structured and unstructured data and preserves access policy, provenance, time, version, classification, and tenant boundaries. Retrieval must be contextual and permission-aware rather than merely lexical.</w:t>
      </w:r>
    </w:p>
    <w:p>
      <w:pPr>
        <w:pStyle w:val="Heading2"/>
        <w:keepNext/>
      </w:pPr>
      <w:r>
        <w:rPr>
          <w:rFonts w:ascii="Arial" w:hAnsi="Arial" w:eastAsia="Arial"/>
          <w:b/>
          <w:color w:val="0B2545"/>
          <w:sz w:val="27"/>
        </w:rPr>
        <w:t>Strategic Memory</w:t>
      </w:r>
    </w:p>
    <w:p>
      <w:r>
        <w:rPr>
          <w:rFonts w:ascii="Arial" w:hAnsi="Arial" w:eastAsia="Arial"/>
        </w:rPr>
        <w:t>Strategic Memory is the decision-centric subset and interpretation layer of Enterprise Memory. It preserves objectives, hypotheses, assumptions, scenarios, forecasts, simulation configurations, recommendations, dissent, approvals, commitments, outcomes, post-decision reviews, and lessons. It allows a future team to understand not only what was decided, but why the decision was rational given the evidence available at the time.</w:t>
      </w:r>
    </w:p>
    <w:p>
      <w:pPr>
        <w:pStyle w:val="Heading2"/>
        <w:keepNext/>
      </w:pPr>
      <w:r>
        <w:rPr>
          <w:rFonts w:ascii="Arial" w:hAnsi="Arial" w:eastAsia="Arial"/>
          <w:b/>
          <w:color w:val="0B2545"/>
          <w:sz w:val="27"/>
        </w:rPr>
        <w:t>Memory writes</w:t>
      </w:r>
    </w:p>
    <w:p>
      <w:r>
        <w:rPr>
          <w:rFonts w:ascii="Arial" w:hAnsi="Arial" w:eastAsia="Arial"/>
        </w:rPr>
        <w:t>Model output shall not become accepted institutional memory merely because it was generated. Writes shall carry truth state, provenance, confidence, author, review status, expiry, and correction history. High-impact assessments, decisions, and lessons require governed acceptance. Retrieval systems must communicate whether content is observed, inferred, disputed, superseded, simulated, or approved.</w:t>
      </w:r>
    </w:p>
    <w:p>
      <w:pPr>
        <w:pStyle w:val="Heading2"/>
        <w:keepNext/>
      </w:pPr>
      <w:r>
        <w:rPr>
          <w:rFonts w:ascii="Arial" w:hAnsi="Arial" w:eastAsia="Arial"/>
          <w:b/>
          <w:color w:val="0B2545"/>
          <w:sz w:val="27"/>
        </w:rPr>
        <w:t>Durability and forgetting</w:t>
      </w:r>
    </w:p>
    <w:p>
      <w:r>
        <w:rPr>
          <w:rFonts w:ascii="Arial" w:hAnsi="Arial" w:eastAsia="Arial"/>
        </w:rPr>
        <w:t>‘Remember Permanently’ means that strategic context does not disappear through application boundaries, staff turnover, or model context limits. It does not override law, contract, consent, security policy, or customer-directed deletion. The platform shall support legal holds, retention schedules, archival tiers, correction, redaction, and verifiable deletion while preserving permitted audit facts about the operation performed.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C-015  Durable institutional memory</w:t>
            </w:r>
          </w:p>
          <w:p>
            <w:pPr>
              <w:spacing w:after="40" w:line="250" w:lineRule="auto"/>
            </w:pPr>
            <w:r>
              <w:rPr>
                <w:rFonts w:ascii="Arial" w:hAnsi="Arial" w:eastAsia="Arial"/>
                <w:b/>
                <w:color w:val="0B2545"/>
                <w:sz w:val="18"/>
              </w:rPr>
              <w:t>C-016  Memory governance</w:t>
            </w:r>
          </w:p>
          <w:p>
            <w:pPr>
              <w:spacing w:after="40" w:line="250" w:lineRule="auto"/>
            </w:pPr>
            <w:r>
              <w:rPr>
                <w:rFonts w:ascii="Arial" w:hAnsi="Arial" w:eastAsia="Arial"/>
                <w:b/>
                <w:color w:val="0B2545"/>
                <w:sz w:val="18"/>
              </w:rPr>
              <w:t>C-040  Privacy and minimization</w:t>
            </w:r>
          </w:p>
        </w:tc>
      </w:tr>
    </w:tbl>
    <w:p>
      <w:pPr>
        <w:pStyle w:val="Heading1"/>
        <w:keepNext/>
        <w:pageBreakBefore/>
      </w:pPr>
      <w:r>
        <w:rPr>
          <w:rFonts w:ascii="Arial" w:hAnsi="Arial" w:eastAsia="Arial"/>
          <w:b/>
          <w:color w:val="0B2545"/>
          <w:sz w:val="36"/>
        </w:rPr>
        <w:t>11  Knowledge Graph and Strategy Graph</w:t>
      </w:r>
    </w:p>
    <w:p>
      <w:pPr>
        <w:pStyle w:val="EyeLead"/>
        <w:keepLines/>
      </w:pPr>
      <w:r>
        <w:rPr>
          <w:rFonts w:ascii="Arial" w:hAnsi="Arial" w:eastAsia="Arial"/>
          <w:color w:val="0B2545"/>
          <w:sz w:val="25"/>
        </w:rPr>
        <w:t>The Knowledge Graph is the semantic heart of The Eye. It gives every layer a shared, temporal, provenance-rich understanding of what exists, how it is related, and how that understanding changes.</w:t>
      </w:r>
    </w:p>
    <w:p>
      <w:pPr>
        <w:pStyle w:val="Heading2"/>
        <w:keepNext/>
      </w:pPr>
      <w:r>
        <w:rPr>
          <w:rFonts w:ascii="Arial" w:hAnsi="Arial" w:eastAsia="Arial"/>
          <w:b/>
          <w:color w:val="0B2545"/>
          <w:sz w:val="27"/>
        </w:rPr>
        <w:t>Knowledge Graph scope</w:t>
      </w:r>
    </w:p>
    <w:p>
      <w:r>
        <w:rPr>
          <w:rFonts w:ascii="Arial" w:hAnsi="Arial" w:eastAsia="Arial"/>
        </w:rPr>
        <w:t>The graph connects companies, countries, governments, products, technologies, people, supply chains, markets, regulations, events, risks, objectives, capabilities, and any governed domain extension. Nodes and relationships are typed, versioned, time-aware, source-linked, confidence-bearing, policy-scoped, and globally identifiable within the appropriate tenant or federation boundary.</w:t>
      </w:r>
    </w:p>
    <w:p>
      <w:pPr>
        <w:pStyle w:val="Heading2"/>
        <w:keepNext/>
      </w:pPr>
      <w:r>
        <w:rPr>
          <w:rFonts w:ascii="Arial" w:hAnsi="Arial" w:eastAsia="Arial"/>
          <w:b/>
          <w:color w:val="0B2545"/>
          <w:sz w:val="27"/>
        </w:rPr>
        <w:t>Graph truth model</w:t>
      </w:r>
    </w:p>
    <w:p>
      <w:r>
        <w:rPr>
          <w:rFonts w:ascii="Arial" w:hAnsi="Arial" w:eastAsia="Arial"/>
        </w:rPr>
        <w:t>A graph edge is not automatically a fact. Relationships may be observed, asserted, inferred, predicted, simulated, disputed, or accepted. The graph shall preserve this state, the supporting and contradicting evidence, derivation method, confidence, validity interval, and reviewer status. Identity resolution decisions shall be reversible and merge history shall remain auditable.</w:t>
      </w:r>
    </w:p>
    <w:p>
      <w:pPr>
        <w:pStyle w:val="Heading2"/>
        <w:keepNext/>
      </w:pPr>
      <w:r>
        <w:rPr>
          <w:rFonts w:ascii="Arial" w:hAnsi="Arial" w:eastAsia="Arial"/>
          <w:b/>
          <w:color w:val="0B2545"/>
          <w:sz w:val="27"/>
        </w:rPr>
        <w:t>Strategy Graph</w:t>
      </w:r>
    </w:p>
    <w:p>
      <w:r>
        <w:rPr>
          <w:rFonts w:ascii="Arial" w:hAnsi="Arial" w:eastAsia="Arial"/>
        </w:rPr>
        <w:t>The Strategy Graph is a governed strategic overlay anchored to the Knowledge Graph. It connects objectives to indicators, assumptions, risks, opportunities, scenarios, decisions, initiatives, capabilities, resources, owners, dependencies, commitments, and outcomes. It makes strategy executable and inspectable: a change in a supplier, regulation, market, technology, or geopolitical condition can be traced to the objectives and decisions it may affect.</w:t>
      </w:r>
    </w:p>
    <w:p>
      <w:pPr>
        <w:pStyle w:val="Heading2"/>
        <w:keepNext/>
      </w:pPr>
      <w:r>
        <w:rPr>
          <w:rFonts w:ascii="Arial" w:hAnsi="Arial" w:eastAsia="Arial"/>
          <w:b/>
          <w:color w:val="0B2545"/>
          <w:sz w:val="27"/>
        </w:rPr>
        <w:t>Ontology governance</w:t>
      </w:r>
    </w:p>
    <w:p>
      <w:r>
        <w:rPr>
          <w:rFonts w:ascii="Arial" w:hAnsi="Arial" w:eastAsia="Arial"/>
        </w:rPr>
        <w:t>Ontologies shall be modular, versioned, namespaced, reviewable, and backward-compatible where practical. Changes require impact analysis across data mappings, agents, models, twins, policies, simulations, APIs, and user experiences. Domain experts must be able to participate in ontology review without editing storage schemas directly.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C-009  Knowledge Graph centrality</w:t>
            </w:r>
          </w:p>
          <w:p>
            <w:pPr>
              <w:spacing w:after="40" w:line="250" w:lineRule="auto"/>
            </w:pPr>
            <w:r>
              <w:rPr>
                <w:rFonts w:ascii="Arial" w:hAnsi="Arial" w:eastAsia="Arial"/>
                <w:b/>
                <w:color w:val="0B2545"/>
                <w:sz w:val="18"/>
              </w:rPr>
              <w:t>C-011  Temporal truth</w:t>
            </w:r>
          </w:p>
          <w:p>
            <w:pPr>
              <w:spacing w:after="40" w:line="250" w:lineRule="auto"/>
            </w:pPr>
            <w:r>
              <w:rPr>
                <w:rFonts w:ascii="Arial" w:hAnsi="Arial" w:eastAsia="Arial"/>
                <w:b/>
                <w:color w:val="0B2545"/>
                <w:sz w:val="18"/>
              </w:rPr>
              <w:t>C-017  Strategy Graph</w:t>
            </w:r>
          </w:p>
        </w:tc>
      </w:tr>
    </w:tbl>
    <w:p>
      <w:pPr>
        <w:pStyle w:val="Heading1"/>
        <w:keepNext/>
        <w:pageBreakBefore/>
      </w:pPr>
      <w:r>
        <w:rPr>
          <w:rFonts w:ascii="Arial" w:hAnsi="Arial" w:eastAsia="Arial"/>
          <w:b/>
          <w:color w:val="0B2545"/>
          <w:sz w:val="36"/>
        </w:rPr>
        <w:t>12  Digital Twins</w:t>
      </w:r>
    </w:p>
    <w:p>
      <w:pPr>
        <w:pStyle w:val="EyeLead"/>
        <w:keepLines/>
      </w:pPr>
      <w:r>
        <w:rPr>
          <w:rFonts w:ascii="Arial" w:hAnsi="Arial" w:eastAsia="Arial"/>
          <w:color w:val="0B2545"/>
          <w:sz w:val="25"/>
        </w:rPr>
        <w:t>A Digital Twin is a living, evidence-grounded, versioned model of a strategic system—not a static profile and not a decorative visualization.</w:t>
      </w:r>
    </w:p>
    <w:p>
      <w:pPr>
        <w:pStyle w:val="Heading2"/>
        <w:keepNext/>
      </w:pPr>
      <w:r>
        <w:rPr>
          <w:rFonts w:ascii="Arial" w:hAnsi="Arial" w:eastAsia="Arial"/>
          <w:b/>
          <w:color w:val="0B2545"/>
          <w:sz w:val="27"/>
        </w:rPr>
        <w:t>Canonical twin portfolio</w:t>
      </w:r>
    </w:p>
    <w:p>
      <w:r>
        <w:rPr>
          <w:rFonts w:ascii="Arial" w:hAnsi="Arial" w:eastAsia="Arial"/>
        </w:rPr>
        <w:t>Every customer may maintain Digital Twins for the company or institution, competitors, supply chain, products, markets, regulations, infrastructure, business processes, and organization. Twins may be composed: a company twin can reference product, market, workforce, infrastructure, regulatory, and supply-chain twins while preserving ownership and update boundaries.</w:t>
      </w:r>
    </w:p>
    <w:p>
      <w:pPr>
        <w:pStyle w:val="Heading2"/>
        <w:keepNext/>
      </w:pPr>
      <w:r>
        <w:rPr>
          <w:rFonts w:ascii="Arial" w:hAnsi="Arial" w:eastAsia="Arial"/>
          <w:b/>
          <w:color w:val="0B2545"/>
          <w:sz w:val="27"/>
        </w:rPr>
        <w:t>Twin anatomy</w:t>
      </w:r>
    </w:p>
    <w:p>
      <w:pPr>
        <w:numPr>
          <w:ilvl w:val="0"/>
          <w:numId w:val="13"/>
        </w:numPr>
        <w:spacing w:after="160" w:line="280" w:lineRule="auto"/>
        <w:ind w:left="720" w:hanging="360"/>
      </w:pPr>
      <w:r>
        <w:rPr>
          <w:rFonts w:ascii="Arial" w:hAnsi="Arial" w:eastAsia="Arial"/>
        </w:rPr>
        <w:t>Identity and scope: the real-world system represented, boundaries, owners, jurisdictions, and intended decisions.</w:t>
      </w:r>
    </w:p>
    <w:p>
      <w:pPr>
        <w:numPr>
          <w:ilvl w:val="0"/>
          <w:numId w:val="13"/>
        </w:numPr>
        <w:spacing w:after="160" w:line="280" w:lineRule="auto"/>
        <w:ind w:left="720" w:hanging="360"/>
      </w:pPr>
      <w:r>
        <w:rPr>
          <w:rFonts w:ascii="Arial" w:hAnsi="Arial" w:eastAsia="Arial"/>
        </w:rPr>
        <w:t>State: current and historical attributes, relationships, events, metrics, capabilities, constraints, and health indicators.</w:t>
      </w:r>
    </w:p>
    <w:p>
      <w:pPr>
        <w:numPr>
          <w:ilvl w:val="0"/>
          <w:numId w:val="13"/>
        </w:numPr>
        <w:spacing w:after="160" w:line="280" w:lineRule="auto"/>
        <w:ind w:left="720" w:hanging="360"/>
      </w:pPr>
      <w:r>
        <w:rPr>
          <w:rFonts w:ascii="Arial" w:hAnsi="Arial" w:eastAsia="Arial"/>
        </w:rPr>
        <w:t>Behavior: rules, causal structures, statistical models, agent behaviors, feedback loops, delays, thresholds, and resource constraints.</w:t>
      </w:r>
    </w:p>
    <w:p>
      <w:pPr>
        <w:numPr>
          <w:ilvl w:val="0"/>
          <w:numId w:val="13"/>
        </w:numPr>
        <w:spacing w:after="160" w:line="280" w:lineRule="auto"/>
        <w:ind w:left="720" w:hanging="360"/>
      </w:pPr>
      <w:r>
        <w:rPr>
          <w:rFonts w:ascii="Arial" w:hAnsi="Arial" w:eastAsia="Arial"/>
        </w:rPr>
        <w:t>Evidence: observations and claims supporting each material state element, with provenance and confidence.</w:t>
      </w:r>
    </w:p>
    <w:p>
      <w:pPr>
        <w:numPr>
          <w:ilvl w:val="0"/>
          <w:numId w:val="13"/>
        </w:numPr>
        <w:spacing w:after="160" w:line="280" w:lineRule="auto"/>
        <w:ind w:left="720" w:hanging="360"/>
      </w:pPr>
      <w:r>
        <w:rPr>
          <w:rFonts w:ascii="Arial" w:hAnsi="Arial" w:eastAsia="Arial"/>
        </w:rPr>
        <w:t>Interfaces: inputs, outputs, dependencies, control variables, policy limits, and composition contracts with other twins.</w:t>
      </w:r>
    </w:p>
    <w:p>
      <w:pPr>
        <w:numPr>
          <w:ilvl w:val="0"/>
          <w:numId w:val="13"/>
        </w:numPr>
        <w:spacing w:after="160" w:line="280" w:lineRule="auto"/>
        <w:ind w:left="720" w:hanging="360"/>
      </w:pPr>
      <w:r>
        <w:rPr>
          <w:rFonts w:ascii="Arial" w:hAnsi="Arial" w:eastAsia="Arial"/>
        </w:rPr>
        <w:t>Validation: calibration history, known limitations, operating envelope, drift status, and approved uses.</w:t>
      </w:r>
    </w:p>
    <w:p>
      <w:pPr>
        <w:pStyle w:val="Heading2"/>
        <w:keepNext/>
      </w:pPr>
      <w:r>
        <w:rPr>
          <w:rFonts w:ascii="Arial" w:hAnsi="Arial" w:eastAsia="Arial"/>
          <w:b/>
          <w:color w:val="0B2545"/>
          <w:sz w:val="27"/>
        </w:rPr>
        <w:t>Actual and simulated state</w:t>
      </w:r>
    </w:p>
    <w:p>
      <w:r>
        <w:rPr>
          <w:rFonts w:ascii="Arial" w:hAnsi="Arial" w:eastAsia="Arial"/>
        </w:rPr>
        <w:t>A twin shall distinguish actual observed state, estimated current state, predicted state, and simulated state. Scenario branches must not overwrite the baseline. Users shall be able to compare branches, inspect their assumptions, reconcile them against later observation, and reproduce the model state used in a past decision.</w:t>
      </w:r>
    </w:p>
    <w:p>
      <w:pPr>
        <w:pStyle w:val="Heading2"/>
        <w:keepNext/>
      </w:pPr>
      <w:r>
        <w:rPr>
          <w:rFonts w:ascii="Arial" w:hAnsi="Arial" w:eastAsia="Arial"/>
          <w:b/>
          <w:color w:val="0B2545"/>
          <w:sz w:val="27"/>
        </w:rPr>
        <w:t>Twin confidence</w:t>
      </w:r>
    </w:p>
    <w:p>
      <w:r>
        <w:rPr>
          <w:rFonts w:ascii="Arial" w:hAnsi="Arial" w:eastAsia="Arial"/>
        </w:rPr>
        <w:t>Completeness and confidence shall be computed at component level. A polished twin with stale financial data, missing suppliers, or an unvalidated behavioral model is not healthy. The interface must expose blind spots, staleness, model validity, and sensitivity alongside outputs.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C-018  Grounded Digital Twins</w:t>
            </w:r>
          </w:p>
          <w:p>
            <w:pPr>
              <w:spacing w:after="40" w:line="250" w:lineRule="auto"/>
            </w:pPr>
            <w:r>
              <w:rPr>
                <w:rFonts w:ascii="Arial" w:hAnsi="Arial" w:eastAsia="Arial"/>
                <w:b/>
                <w:color w:val="0B2545"/>
                <w:sz w:val="18"/>
              </w:rPr>
              <w:t>C-019  Twin versionability</w:t>
            </w:r>
          </w:p>
          <w:p>
            <w:pPr>
              <w:spacing w:after="40" w:line="250" w:lineRule="auto"/>
            </w:pPr>
            <w:r>
              <w:rPr>
                <w:rFonts w:ascii="Arial" w:hAnsi="Arial" w:eastAsia="Arial"/>
                <w:b/>
                <w:color w:val="0B2545"/>
                <w:sz w:val="18"/>
              </w:rPr>
              <w:t>C-014  Freshness and quality contracts</w:t>
            </w:r>
          </w:p>
        </w:tc>
      </w:tr>
    </w:tbl>
    <w:p>
      <w:pPr>
        <w:pStyle w:val="Heading1"/>
        <w:keepNext/>
        <w:pageBreakBefore/>
      </w:pPr>
      <w:r>
        <w:rPr>
          <w:rFonts w:ascii="Arial" w:hAnsi="Arial" w:eastAsia="Arial"/>
          <w:b/>
          <w:color w:val="0B2545"/>
          <w:sz w:val="36"/>
        </w:rPr>
        <w:t>13  Prediction Engine</w:t>
      </w:r>
    </w:p>
    <w:p>
      <w:pPr>
        <w:pStyle w:val="EyeLead"/>
        <w:keepLines/>
      </w:pPr>
      <w:r>
        <w:rPr>
          <w:rFonts w:ascii="Arial" w:hAnsi="Arial" w:eastAsia="Arial"/>
          <w:color w:val="0B2545"/>
          <w:sz w:val="25"/>
        </w:rPr>
        <w:t>Prediction in The Eye is a governed portfolio of forecasts tied to world state, decisions, and uncertainty—not a single model producing a single number.</w:t>
      </w:r>
    </w:p>
    <w:tbl>
      <w:tblPr>
        <w:tblW w:type="dxa" w:w="9360"/>
        <w:jc w:val="left"/>
        <w:tblLayout w:type="fixed"/>
        <w:tblLook w:firstColumn="1" w:firstRow="1" w:lastColumn="0" w:lastRow="0" w:noHBand="0" w:noVBand="1" w:val="04A0"/>
        <w:tblInd w:w="120" w:type="dxa"/>
      </w:tblPr>
      <w:tblGrid>
        <w:gridCol w:w="1250"/>
        <w:gridCol w:w="2450"/>
        <w:gridCol w:w="5660"/>
      </w:tblGrid>
      <w:tr>
        <w:trPr>
          <w:tblHeader w:val="true"/>
          <w:cantSplit/>
        </w:trPr>
        <w:tc>
          <w:tcPr>
            <w:tcW w:type="dxa" w:w="125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HORIZON</w:t>
            </w:r>
          </w:p>
        </w:tc>
        <w:tc>
          <w:tcPr>
            <w:tcW w:type="dxa" w:w="245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STRATEGIC CHARACTER</w:t>
            </w:r>
          </w:p>
        </w:tc>
        <w:tc>
          <w:tcPr>
            <w:tcW w:type="dxa" w:w="566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REQUIRED TREATMENT</w:t>
            </w:r>
          </w:p>
        </w:tc>
      </w:tr>
      <w:tr>
        <w:trPr>
          <w:cantSplit/>
        </w:trPr>
        <w:tc>
          <w:tcPr>
            <w:tcW w:type="dxa" w:w="12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30 days</w:t>
            </w:r>
          </w:p>
        </w:tc>
        <w:tc>
          <w:tcPr>
            <w:tcW w:type="dxa" w:w="24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Operational and immediate</w:t>
            </w:r>
          </w:p>
        </w:tc>
        <w:tc>
          <w:tcPr>
            <w:tcW w:type="dxa" w:w="56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High-frequency indicators, near-term events, intervention windows, and explicit data freshness.</w:t>
            </w:r>
          </w:p>
        </w:tc>
      </w:tr>
      <w:tr>
        <w:trPr>
          <w:cantSplit/>
        </w:trPr>
        <w:tc>
          <w:tcPr>
            <w:tcW w:type="dxa" w:w="12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90 days</w:t>
            </w:r>
          </w:p>
        </w:tc>
        <w:tc>
          <w:tcPr>
            <w:tcW w:type="dxa" w:w="24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Tactical</w:t>
            </w:r>
          </w:p>
        </w:tc>
        <w:tc>
          <w:tcPr>
            <w:tcW w:type="dxa" w:w="56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Pipeline, policy, demand, supply, competitor, financial, and geopolitical developments with scenario triggers.</w:t>
            </w:r>
          </w:p>
        </w:tc>
      </w:tr>
      <w:tr>
        <w:trPr>
          <w:cantSplit/>
        </w:trPr>
        <w:tc>
          <w:tcPr>
            <w:tcW w:type="dxa" w:w="12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180 days</w:t>
            </w:r>
          </w:p>
        </w:tc>
        <w:tc>
          <w:tcPr>
            <w:tcW w:type="dxa" w:w="24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Planning</w:t>
            </w:r>
          </w:p>
        </w:tc>
        <w:tc>
          <w:tcPr>
            <w:tcW w:type="dxa" w:w="56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Capacity, market, regulatory, technology, capital, workforce, and supply-chain implications.</w:t>
            </w:r>
          </w:p>
        </w:tc>
      </w:tr>
      <w:tr>
        <w:trPr>
          <w:cantSplit/>
        </w:trPr>
        <w:tc>
          <w:tcPr>
            <w:tcW w:type="dxa" w:w="12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1 year</w:t>
            </w:r>
          </w:p>
        </w:tc>
        <w:tc>
          <w:tcPr>
            <w:tcW w:type="dxa" w:w="24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Annual strategic</w:t>
            </w:r>
          </w:p>
        </w:tc>
        <w:tc>
          <w:tcPr>
            <w:tcW w:type="dxa" w:w="56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Budget, portfolio, capability, investment, regulatory, and market evolution under multiple scenarios.</w:t>
            </w:r>
          </w:p>
        </w:tc>
      </w:tr>
      <w:tr>
        <w:trPr>
          <w:cantSplit/>
        </w:trPr>
        <w:tc>
          <w:tcPr>
            <w:tcW w:type="dxa" w:w="12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3 years</w:t>
            </w:r>
          </w:p>
        </w:tc>
        <w:tc>
          <w:tcPr>
            <w:tcW w:type="dxa" w:w="24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Medium-term structural</w:t>
            </w:r>
          </w:p>
        </w:tc>
        <w:tc>
          <w:tcPr>
            <w:tcW w:type="dxa" w:w="56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Industry structure, technology adoption, geopolitical alignment, infrastructure, capability, and business-model change.</w:t>
            </w:r>
          </w:p>
        </w:tc>
      </w:tr>
      <w:tr>
        <w:trPr>
          <w:cantSplit/>
        </w:trPr>
        <w:tc>
          <w:tcPr>
            <w:tcW w:type="dxa" w:w="12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5 years</w:t>
            </w:r>
          </w:p>
        </w:tc>
        <w:tc>
          <w:tcPr>
            <w:tcW w:type="dxa" w:w="24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Long-term strategic</w:t>
            </w:r>
          </w:p>
        </w:tc>
        <w:tc>
          <w:tcPr>
            <w:tcW w:type="dxa" w:w="56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Structural uncertainty, alternative regimes, path dependence, option value, and resilience rather than point estimates.</w:t>
            </w:r>
          </w:p>
        </w:tc>
      </w:tr>
    </w:tbl>
    <w:p>
      <w:pPr>
        <w:pStyle w:val="Heading2"/>
        <w:keepNext/>
      </w:pPr>
      <w:r>
        <w:rPr>
          <w:rFonts w:ascii="Arial" w:hAnsi="Arial" w:eastAsia="Arial"/>
          <w:b/>
          <w:color w:val="0B2545"/>
          <w:sz w:val="27"/>
        </w:rPr>
        <w:t>Forecast package</w:t>
      </w:r>
    </w:p>
    <w:p>
      <w:r>
        <w:rPr>
          <w:rFonts w:ascii="Arial" w:hAnsi="Arial" w:eastAsia="Arial"/>
        </w:rPr>
        <w:t>A material forecast shall include the target variable or event, horizon, as-of time, data window, method, model and feature versions, base rate, probability distribution or interval, confidence, calibration history, important drivers, causal assumptions where claimed, scenario dependencies, sensitivity, out-of-distribution warnings, expiry, and conditions that would cause revision.</w:t>
      </w:r>
    </w:p>
    <w:p>
      <w:pPr>
        <w:pStyle w:val="Heading2"/>
        <w:keepNext/>
      </w:pPr>
      <w:r>
        <w:rPr>
          <w:rFonts w:ascii="Arial" w:hAnsi="Arial" w:eastAsia="Arial"/>
          <w:b/>
          <w:color w:val="0B2545"/>
          <w:sz w:val="27"/>
        </w:rPr>
        <w:t>Model ensembles and disagreement</w:t>
      </w:r>
    </w:p>
    <w:p>
      <w:r>
        <w:rPr>
          <w:rFonts w:ascii="Arial" w:hAnsi="Arial" w:eastAsia="Arial"/>
        </w:rPr>
        <w:t>The engine may combine time-series, econometric, causal, graph, simulation, machine-learning, expert, and foundation-model approaches. Model disagreement is not an implementation defect to hide; it is strategic information. The system shall show when different credible methods imply different futures and identify which assumptions drive the divergence.</w:t>
      </w:r>
    </w:p>
    <w:p>
      <w:pPr>
        <w:pStyle w:val="Heading2"/>
        <w:keepNext/>
      </w:pPr>
      <w:r>
        <w:rPr>
          <w:rFonts w:ascii="Arial" w:hAnsi="Arial" w:eastAsia="Arial"/>
          <w:b/>
          <w:color w:val="0B2545"/>
          <w:sz w:val="27"/>
        </w:rPr>
        <w:t>Evaluation</w:t>
      </w:r>
    </w:p>
    <w:p>
      <w:r>
        <w:rPr>
          <w:rFonts w:ascii="Arial" w:hAnsi="Arial" w:eastAsia="Arial"/>
        </w:rPr>
        <w:t>Forecasts shall be scored after outcomes become observable using horizon-appropriate metrics, calibration curves, baseline comparisons, and segmented error analysis. Evaluation shall prevent hindsight leakage by reconstructing only the information available at forecast time. Performance shall be visible by domain, geography, regime, model, and confidence band.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C-020  Canonical prediction horizons</w:t>
            </w:r>
          </w:p>
          <w:p>
            <w:pPr>
              <w:spacing w:after="40" w:line="250" w:lineRule="auto"/>
            </w:pPr>
            <w:r>
              <w:rPr>
                <w:rFonts w:ascii="Arial" w:hAnsi="Arial" w:eastAsia="Arial"/>
                <w:b/>
                <w:color w:val="0B2545"/>
                <w:sz w:val="18"/>
              </w:rPr>
              <w:t>C-021  Probabilistic forecasting</w:t>
            </w:r>
          </w:p>
          <w:p>
            <w:pPr>
              <w:spacing w:after="40" w:line="250" w:lineRule="auto"/>
            </w:pPr>
            <w:r>
              <w:rPr>
                <w:rFonts w:ascii="Arial" w:hAnsi="Arial" w:eastAsia="Arial"/>
                <w:b/>
                <w:color w:val="0B2545"/>
                <w:sz w:val="18"/>
              </w:rPr>
              <w:t>C-045  Continuous evaluation</w:t>
            </w:r>
          </w:p>
        </w:tc>
      </w:tr>
    </w:tbl>
    <w:p>
      <w:pPr>
        <w:pStyle w:val="Heading1"/>
        <w:keepNext/>
        <w:pageBreakBefore/>
      </w:pPr>
      <w:r>
        <w:rPr>
          <w:rFonts w:ascii="Arial" w:hAnsi="Arial" w:eastAsia="Arial"/>
          <w:b/>
          <w:color w:val="0B2545"/>
          <w:sz w:val="36"/>
        </w:rPr>
        <w:t>14  Scenario Intelligence</w:t>
      </w:r>
    </w:p>
    <w:p>
      <w:pPr>
        <w:pStyle w:val="EyeLead"/>
        <w:keepLines/>
      </w:pPr>
      <w:r>
        <w:rPr>
          <w:rFonts w:ascii="Arial" w:hAnsi="Arial" w:eastAsia="Arial"/>
          <w:color w:val="0B2545"/>
          <w:sz w:val="25"/>
        </w:rPr>
        <w:t>Scenarios are coherent, inspectable possible futures used to challenge strategy. They are not long-form narratives detached from live evidence, and they are not predictions disguised as certainty.</w:t>
      </w:r>
    </w:p>
    <w:p>
      <w:pPr>
        <w:pStyle w:val="Heading2"/>
        <w:keepNext/>
      </w:pPr>
      <w:r>
        <w:rPr>
          <w:rFonts w:ascii="Arial" w:hAnsi="Arial" w:eastAsia="Arial"/>
          <w:b/>
          <w:color w:val="0B2545"/>
          <w:sz w:val="27"/>
        </w:rPr>
        <w:t>Scenario anatomy</w:t>
      </w:r>
    </w:p>
    <w:p>
      <w:r>
        <w:rPr>
          <w:rFonts w:ascii="Arial" w:hAnsi="Arial" w:eastAsia="Arial"/>
        </w:rPr>
        <w:t>A scenario shall identify its purpose, scope, horizon, initial conditions, driving forces, critical uncertainties, actors, assumptions, causal logic, events, indicators, branch points, constraints, expected impacts, probability treatment where appropriate, and signals that strengthen or weaken it. It shall link to the entities, relationships, twins, objectives, risks, and opportunities it affects.</w:t>
      </w:r>
    </w:p>
    <w:p>
      <w:pPr>
        <w:pStyle w:val="Heading2"/>
        <w:keepNext/>
      </w:pPr>
      <w:r>
        <w:rPr>
          <w:rFonts w:ascii="Arial" w:hAnsi="Arial" w:eastAsia="Arial"/>
          <w:b/>
          <w:color w:val="0B2545"/>
          <w:sz w:val="27"/>
        </w:rPr>
        <w:t>Scenario portfolio</w:t>
      </w:r>
    </w:p>
    <w:p>
      <w:r>
        <w:rPr>
          <w:rFonts w:ascii="Arial" w:hAnsi="Arial" w:eastAsia="Arial"/>
        </w:rPr>
        <w:t>The system shall support baseline, upside, downside, disruption, stress, adversarial, counterfactual, and user-defined scenarios. Scenario portfolios should span the uncertainty space relevant to a decision rather than merely surround a preferred plan with cosmetic alternatives. Minority and expert dissent may be represented as separate scenarios when assumptions differ materially.</w:t>
      </w:r>
    </w:p>
    <w:p>
      <w:pPr>
        <w:pStyle w:val="Heading2"/>
        <w:keepNext/>
      </w:pPr>
      <w:r>
        <w:rPr>
          <w:rFonts w:ascii="Arial" w:hAnsi="Arial" w:eastAsia="Arial"/>
          <w:b/>
          <w:color w:val="0B2545"/>
          <w:sz w:val="27"/>
        </w:rPr>
        <w:t>Living scenarios</w:t>
      </w:r>
    </w:p>
    <w:p>
      <w:r>
        <w:rPr>
          <w:rFonts w:ascii="Arial" w:hAnsi="Arial" w:eastAsia="Arial"/>
        </w:rPr>
        <w:t>Scenarios shall remain linked to leading indicators and observed events. As the world changes, the platform updates scenario relevance, notifies owners when assumptions are invalidated, records transitions between branches, and preserves the original edition used for a decision. A scenario may become less plausible without being deleted; its lessons may remain valuable.</w:t>
      </w:r>
    </w:p>
    <w:p>
      <w:pPr>
        <w:pStyle w:val="Heading2"/>
        <w:keepNext/>
      </w:pPr>
      <w:r>
        <w:rPr>
          <w:rFonts w:ascii="Arial" w:hAnsi="Arial" w:eastAsia="Arial"/>
          <w:b/>
          <w:color w:val="0B2545"/>
          <w:sz w:val="27"/>
        </w:rPr>
        <w:t>Scenario Marketplace</w:t>
      </w:r>
    </w:p>
    <w:p>
      <w:r>
        <w:rPr>
          <w:rFonts w:ascii="Arial" w:hAnsi="Arial" w:eastAsia="Arial"/>
        </w:rPr>
        <w:t>Governed scenario packages may be published, licensed, adapted, and evaluated across customers without exposing private data. A package contains ontology dependencies, assumptions, models, indicators, evaluation evidence, permissions, and compatibility metadata. Customer instantiation creates a separate governed copy linked to the publisher and version.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C-022  Scenario plurality</w:t>
            </w:r>
          </w:p>
          <w:p>
            <w:pPr>
              <w:spacing w:after="40" w:line="250" w:lineRule="auto"/>
            </w:pPr>
            <w:r>
              <w:rPr>
                <w:rFonts w:ascii="Arial" w:hAnsi="Arial" w:eastAsia="Arial"/>
                <w:b/>
                <w:color w:val="0B2545"/>
                <w:sz w:val="18"/>
              </w:rPr>
              <w:t>C-046  Governed marketplaces</w:t>
            </w:r>
          </w:p>
        </w:tc>
      </w:tr>
    </w:tbl>
    <w:p>
      <w:pPr>
        <w:pStyle w:val="Heading1"/>
        <w:keepNext/>
        <w:pageBreakBefore/>
      </w:pPr>
      <w:r>
        <w:rPr>
          <w:rFonts w:ascii="Arial" w:hAnsi="Arial" w:eastAsia="Arial"/>
          <w:b/>
          <w:color w:val="0B2545"/>
          <w:sz w:val="36"/>
        </w:rPr>
        <w:t>15  Simulation Engine</w:t>
      </w:r>
    </w:p>
    <w:p>
      <w:pPr>
        <w:pStyle w:val="EyeLead"/>
        <w:keepLines/>
      </w:pPr>
      <w:r>
        <w:rPr>
          <w:rFonts w:ascii="Arial" w:hAnsi="Arial" w:eastAsia="Arial"/>
          <w:color w:val="0B2545"/>
          <w:sz w:val="25"/>
        </w:rPr>
        <w:t>Simulation enables decision-makers to intervene in a model before intervening in the world. Its authority depends on reproducibility, validation, and honest limits.</w:t>
      </w:r>
    </w:p>
    <w:p>
      <w:pPr>
        <w:pStyle w:val="Heading2"/>
        <w:keepNext/>
      </w:pPr>
      <w:r>
        <w:rPr>
          <w:rFonts w:ascii="Arial" w:hAnsi="Arial" w:eastAsia="Arial"/>
          <w:b/>
          <w:color w:val="0B2545"/>
          <w:sz w:val="27"/>
        </w:rPr>
        <w:t>Simulation classes</w:t>
      </w:r>
    </w:p>
    <w:p>
      <w:r>
        <w:rPr>
          <w:rFonts w:ascii="Arial" w:hAnsi="Arial" w:eastAsia="Arial"/>
        </w:rPr>
        <w:t>The engine shall support deterministic and stochastic simulations, discrete-event and system-dynamics models, agent-based models, Monte Carlo analysis, network propagation, optimization, stress testing, war-gaming, counterfactual analysis, and domain-specific methods. No method is universally preferred; selection shall match the decision, system behavior, data, horizon, and validation evidence.</w:t>
      </w:r>
    </w:p>
    <w:p>
      <w:pPr>
        <w:pStyle w:val="Heading2"/>
        <w:keepNext/>
      </w:pPr>
      <w:r>
        <w:rPr>
          <w:rFonts w:ascii="Arial" w:hAnsi="Arial" w:eastAsia="Arial"/>
          <w:b/>
          <w:color w:val="0B2545"/>
          <w:sz w:val="27"/>
        </w:rPr>
        <w:t>Experiment contract</w:t>
      </w:r>
    </w:p>
    <w:p>
      <w:r>
        <w:rPr>
          <w:rFonts w:ascii="Arial" w:hAnsi="Arial" w:eastAsia="Arial"/>
        </w:rPr>
        <w:t>Every run shall identify the twin and scenario versions, initial state, intervention, control case, constraints, policy boundaries, assumptions, model versions, parameters, random seeds, execution environment, outputs, uncertainty, sensitivity, and responsible operator. Runs shall be immutable once completed; corrections produce a new version linked to the original.</w:t>
      </w:r>
    </w:p>
    <w:p>
      <w:pPr>
        <w:pStyle w:val="Heading2"/>
        <w:keepNext/>
      </w:pPr>
      <w:r>
        <w:rPr>
          <w:rFonts w:ascii="Arial" w:hAnsi="Arial" w:eastAsia="Arial"/>
          <w:b/>
          <w:color w:val="0B2545"/>
          <w:sz w:val="27"/>
        </w:rPr>
        <w:t>Causal discipline</w:t>
      </w:r>
    </w:p>
    <w:p>
      <w:r>
        <w:rPr>
          <w:rFonts w:ascii="Arial" w:hAnsi="Arial" w:eastAsia="Arial"/>
        </w:rPr>
        <w:t>A simulation may explore consequences without proving causality. The interface shall distinguish mechanistic assumptions, empirically estimated causal effects, correlations, expert judgments, and speculative relationships. When the model crosses its validated operating envelope, results must be marked accordingly and approval thresholds increased.</w:t>
      </w:r>
    </w:p>
    <w:p>
      <w:pPr>
        <w:pStyle w:val="Heading2"/>
        <w:keepNext/>
      </w:pPr>
      <w:r>
        <w:rPr>
          <w:rFonts w:ascii="Arial" w:hAnsi="Arial" w:eastAsia="Arial"/>
          <w:b/>
          <w:color w:val="0B2545"/>
          <w:sz w:val="27"/>
        </w:rPr>
        <w:t>Human challenge</w:t>
      </w:r>
    </w:p>
    <w:p>
      <w:r>
        <w:rPr>
          <w:rFonts w:ascii="Arial" w:hAnsi="Arial" w:eastAsia="Arial"/>
        </w:rPr>
        <w:t>Decision-makers and domain experts shall be able to inspect assumptions, modify interventions, compare runs, challenge model structure, and request sensitivity analysis. Simulation results shall never be summarized into a recommendation without retaining access to the experiment and its limitations.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C-018  Grounded Digital Twins</w:t>
            </w:r>
          </w:p>
          <w:p>
            <w:pPr>
              <w:spacing w:after="40" w:line="250" w:lineRule="auto"/>
            </w:pPr>
            <w:r>
              <w:rPr>
                <w:rFonts w:ascii="Arial" w:hAnsi="Arial" w:eastAsia="Arial"/>
                <w:b/>
                <w:color w:val="0B2545"/>
                <w:sz w:val="18"/>
              </w:rPr>
              <w:t>C-023  Reproducible simulation</w:t>
            </w:r>
          </w:p>
          <w:p>
            <w:pPr>
              <w:spacing w:after="40" w:line="250" w:lineRule="auto"/>
            </w:pPr>
            <w:r>
              <w:rPr>
                <w:rFonts w:ascii="Arial" w:hAnsi="Arial" w:eastAsia="Arial"/>
                <w:b/>
                <w:color w:val="0B2545"/>
                <w:sz w:val="18"/>
              </w:rPr>
              <w:t>C-005  Explain every recommendation</w:t>
            </w:r>
          </w:p>
        </w:tc>
      </w:tr>
    </w:tbl>
    <w:p>
      <w:pPr>
        <w:pStyle w:val="Heading1"/>
        <w:keepNext/>
        <w:pageBreakBefore/>
      </w:pPr>
      <w:r>
        <w:rPr>
          <w:rFonts w:ascii="Arial" w:hAnsi="Arial" w:eastAsia="Arial"/>
          <w:b/>
          <w:color w:val="0B2545"/>
          <w:sz w:val="36"/>
        </w:rPr>
        <w:t>16  Decision Intelligence</w:t>
      </w:r>
    </w:p>
    <w:p>
      <w:pPr>
        <w:pStyle w:val="EyeLead"/>
        <w:keepLines/>
      </w:pPr>
      <w:r>
        <w:rPr>
          <w:rFonts w:ascii="Arial" w:hAnsi="Arial" w:eastAsia="Arial"/>
          <w:color w:val="0B2545"/>
          <w:sz w:val="25"/>
        </w:rPr>
        <w:t>Decision Intelligence is the constitutional bridge between machine-supported foresight and accountable human choice.</w:t>
      </w:r>
    </w:p>
    <w:p>
      <w:pPr>
        <w:pStyle w:val="Heading2"/>
        <w:keepNext/>
      </w:pPr>
      <w:r>
        <w:rPr>
          <w:rFonts w:ascii="Arial" w:hAnsi="Arial" w:eastAsia="Arial"/>
          <w:b/>
          <w:color w:val="0B2545"/>
          <w:sz w:val="27"/>
        </w:rPr>
        <w:t>Decision object</w:t>
      </w:r>
    </w:p>
    <w:p>
      <w:r>
        <w:rPr>
          <w:rFonts w:ascii="Arial" w:hAnsi="Arial" w:eastAsia="Arial"/>
        </w:rPr>
        <w:t>A strategic decision shall be a first-class, versioned object containing question, scope, owner, deadline, objectives, constraints, stakeholders, options, evidence, assumptions, forecasts, scenarios, simulations, risks, opportunities, trade-offs, confidence, dissent, recommendation, approval, conditions, actions, review triggers, and outcome measures. The record captures both the decision and the decision environment.</w:t>
      </w:r>
    </w:p>
    <w:p>
      <w:pPr>
        <w:pStyle w:val="Heading2"/>
        <w:keepNext/>
      </w:pPr>
      <w:r>
        <w:rPr>
          <w:rFonts w:ascii="Arial" w:hAnsi="Arial" w:eastAsia="Arial"/>
          <w:b/>
          <w:color w:val="0B2545"/>
          <w:sz w:val="27"/>
        </w:rPr>
        <w:t>Option architecture</w:t>
      </w:r>
    </w:p>
    <w:p>
      <w:r>
        <w:rPr>
          <w:rFonts w:ascii="Arial" w:hAnsi="Arial" w:eastAsia="Arial"/>
        </w:rPr>
        <w:t>The system shall identify viable alternatives, including defer, stage, pilot, acquire information, hedge, partner, exit, and maintain status quo where relevant. Options shall be assessed against explicit objectives and constraints; scoring models must expose weights and sensitivity. The most likely option is not automatically the most valuable, and the highest expected value is not automatically acceptable under risk, rights, or policy constraints.</w:t>
      </w:r>
    </w:p>
    <w:p>
      <w:pPr>
        <w:pStyle w:val="Heading2"/>
        <w:keepNext/>
      </w:pPr>
      <w:r>
        <w:rPr>
          <w:rFonts w:ascii="Arial" w:hAnsi="Arial" w:eastAsia="Arial"/>
          <w:b/>
          <w:color w:val="0B2545"/>
          <w:sz w:val="27"/>
        </w:rPr>
        <w:t>Recommendation contract</w:t>
      </w:r>
    </w:p>
    <w:p>
      <w:r>
        <w:rPr>
          <w:rFonts w:ascii="Arial" w:hAnsi="Arial" w:eastAsia="Arial"/>
        </w:rPr>
        <w:t>A recommendation shall state what is proposed, for whom, by when, under which assumptions, why it is preferred, which alternatives were considered, what could make it wrong, what evidence is missing, which consequences are material, how reversible it is, and what monitoring or decision triggers follow approval. Confidence in the recommendation shall not exceed confidence in its evidence, twin state, forecasts, and assumptions.</w:t>
      </w:r>
    </w:p>
    <w:p>
      <w:pPr>
        <w:pStyle w:val="Heading2"/>
        <w:keepNext/>
      </w:pPr>
      <w:r>
        <w:rPr>
          <w:rFonts w:ascii="Arial" w:hAnsi="Arial" w:eastAsia="Arial"/>
          <w:b/>
          <w:color w:val="0B2545"/>
          <w:sz w:val="27"/>
        </w:rPr>
        <w:t>Decision Replay</w:t>
      </w:r>
    </w:p>
    <w:p>
      <w:r>
        <w:rPr>
          <w:rFonts w:ascii="Arial" w:hAnsi="Arial" w:eastAsia="Arial"/>
        </w:rPr>
        <w:t>Decision Replay reconstructs the exact knowledge state available at decision time: source versions, claims, graph, twin state, forecasts, scenarios, simulations, recommendation, dissent, policy, and approvals. Later outcomes are then overlaid without altering the original. Replay supports accountability, institutional learning, model evaluation, and identification of avoidable versus irreducible uncertainty.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C-024  Decision completeness</w:t>
            </w:r>
          </w:p>
          <w:p>
            <w:pPr>
              <w:spacing w:after="40" w:line="250" w:lineRule="auto"/>
            </w:pPr>
            <w:r>
              <w:rPr>
                <w:rFonts w:ascii="Arial" w:hAnsi="Arial" w:eastAsia="Arial"/>
                <w:b/>
                <w:color w:val="0B2545"/>
                <w:sz w:val="18"/>
              </w:rPr>
              <w:t>C-025  Decision Replay</w:t>
            </w:r>
          </w:p>
          <w:p>
            <w:pPr>
              <w:spacing w:after="40" w:line="250" w:lineRule="auto"/>
            </w:pPr>
            <w:r>
              <w:rPr>
                <w:rFonts w:ascii="Arial" w:hAnsi="Arial" w:eastAsia="Arial"/>
                <w:b/>
                <w:color w:val="0B2545"/>
                <w:sz w:val="18"/>
              </w:rPr>
              <w:t>C-026  Objective alignment</w:t>
            </w:r>
          </w:p>
        </w:tc>
      </w:tr>
    </w:tbl>
    <w:p>
      <w:pPr>
        <w:pStyle w:val="Heading1"/>
        <w:keepNext/>
        <w:pageBreakBefore/>
      </w:pPr>
      <w:r>
        <w:rPr>
          <w:rFonts w:ascii="Arial" w:hAnsi="Arial" w:eastAsia="Arial"/>
          <w:b/>
          <w:color w:val="0B2545"/>
          <w:sz w:val="36"/>
        </w:rPr>
        <w:t>17  Executive Operating System</w:t>
      </w:r>
    </w:p>
    <w:p>
      <w:pPr>
        <w:pStyle w:val="EyeLead"/>
        <w:keepLines/>
      </w:pPr>
      <w:r>
        <w:rPr>
          <w:rFonts w:ascii="Arial" w:hAnsi="Arial" w:eastAsia="Arial"/>
          <w:color w:val="0B2545"/>
          <w:sz w:val="25"/>
        </w:rPr>
        <w:t>The Executive Operating System is where strategic attention is allocated and institutional commitments are governed. Its primary unit is the decision, not the chart.</w:t>
      </w:r>
    </w:p>
    <w:p>
      <w:pPr>
        <w:pStyle w:val="Heading2"/>
        <w:keepNext/>
      </w:pPr>
      <w:r>
        <w:rPr>
          <w:rFonts w:ascii="Arial" w:hAnsi="Arial" w:eastAsia="Arial"/>
          <w:b/>
          <w:color w:val="0B2545"/>
          <w:sz w:val="27"/>
        </w:rPr>
        <w:t>Executive workspaces</w:t>
      </w:r>
    </w:p>
    <w:p>
      <w:r>
        <w:rPr>
          <w:rFonts w:ascii="Arial" w:hAnsi="Arial" w:eastAsia="Arial"/>
        </w:rPr>
        <w:t>The executive surface shall organize strategic objectives, external change, weak signals, early warnings, health, risks, opportunities, scenarios, decision queues, simulations, commitments, owners, review cadences, and outcomes. It shall support decision rooms where participants examine the same evidence and assumptions, record dissent, approve actions, and establish monitoring triggers.</w:t>
      </w:r>
    </w:p>
    <w:p>
      <w:pPr>
        <w:pStyle w:val="Heading2"/>
        <w:keepNext/>
      </w:pPr>
      <w:r>
        <w:rPr>
          <w:rFonts w:ascii="Arial" w:hAnsi="Arial" w:eastAsia="Arial"/>
          <w:b/>
          <w:color w:val="0B2545"/>
          <w:sz w:val="27"/>
        </w:rPr>
        <w:t>Briefing as a product</w:t>
      </w:r>
    </w:p>
    <w:p>
      <w:r>
        <w:rPr>
          <w:rFonts w:ascii="Arial" w:hAnsi="Arial" w:eastAsia="Arial"/>
        </w:rPr>
        <w:t>Executive briefings shall be generated from live intelligence objects, not copied into isolated documents. Every statement must be traceable to evidence and current as-of time. Changes since the prior briefing, disputed assessments, stale dependencies, emerging scenario indicators, and required decisions shall be explicit. The Executive Briefing and Reporting agents may compose and distribute material only within policy and approval boundaries.</w:t>
      </w:r>
    </w:p>
    <w:p>
      <w:pPr>
        <w:pStyle w:val="Heading2"/>
        <w:keepNext/>
      </w:pPr>
      <w:r>
        <w:rPr>
          <w:rFonts w:ascii="Arial" w:hAnsi="Arial" w:eastAsia="Arial"/>
          <w:b/>
          <w:color w:val="0B2545"/>
          <w:sz w:val="27"/>
        </w:rPr>
        <w:t>Attention governance</w:t>
      </w:r>
    </w:p>
    <w:p>
      <w:r>
        <w:rPr>
          <w:rFonts w:ascii="Arial" w:hAnsi="Arial" w:eastAsia="Arial"/>
        </w:rPr>
        <w:t>The system shall protect executive attention. Priority shall combine materiality, urgency, confidence, novelty, strategic relevance, reversibility, and required action. Users must be able to understand why an item is elevated, tune policy, suppress duplicates, delegate review, and see what was deprioritized. Engagement optimization is not an acceptable objective for strategic alerting.</w:t>
      </w:r>
    </w:p>
    <w:p>
      <w:pPr>
        <w:pStyle w:val="Heading2"/>
        <w:keepNext/>
      </w:pPr>
      <w:r>
        <w:rPr>
          <w:rFonts w:ascii="Arial" w:hAnsi="Arial" w:eastAsia="Arial"/>
          <w:b/>
          <w:color w:val="0B2545"/>
          <w:sz w:val="27"/>
        </w:rPr>
        <w:t>Multiple interfaces, one truth</w:t>
      </w:r>
    </w:p>
    <w:p>
      <w:r>
        <w:rPr>
          <w:rFonts w:ascii="Arial" w:hAnsi="Arial" w:eastAsia="Arial"/>
        </w:rPr>
        <w:t>Dashboards, maps, timelines, graph exploration, scenario canvases, simulation controls, documents, mobile briefings, APIs, and conversational interaction may coexist. They shall access the same governed intelligence objects. Conversation is an interface, not the architecture, and must not bypass provenance, permissions, or decision controls.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C-027  Executive Operating System</w:t>
            </w:r>
          </w:p>
          <w:p>
            <w:pPr>
              <w:spacing w:after="40" w:line="250" w:lineRule="auto"/>
            </w:pPr>
            <w:r>
              <w:rPr>
                <w:rFonts w:ascii="Arial" w:hAnsi="Arial" w:eastAsia="Arial"/>
                <w:b/>
                <w:color w:val="0B2545"/>
                <w:sz w:val="18"/>
              </w:rPr>
              <w:t>C-032  Proactive intelligence</w:t>
            </w:r>
          </w:p>
          <w:p>
            <w:pPr>
              <w:spacing w:after="40" w:line="250" w:lineRule="auto"/>
            </w:pPr>
            <w:r>
              <w:rPr>
                <w:rFonts w:ascii="Arial" w:hAnsi="Arial" w:eastAsia="Arial"/>
                <w:b/>
                <w:color w:val="0B2545"/>
                <w:sz w:val="18"/>
              </w:rPr>
              <w:t>C-047  Experience integrity</w:t>
            </w:r>
          </w:p>
        </w:tc>
      </w:tr>
    </w:tbl>
    <w:p>
      <w:pPr>
        <w:pStyle w:val="Heading1"/>
        <w:keepNext/>
        <w:pageBreakBefore/>
      </w:pPr>
      <w:r>
        <w:rPr>
          <w:rFonts w:ascii="Arial" w:hAnsi="Arial" w:eastAsia="Arial"/>
          <w:b/>
          <w:color w:val="0B2545"/>
          <w:sz w:val="36"/>
        </w:rPr>
        <w:t>18  Multi-Agent Architecture</w:t>
      </w:r>
    </w:p>
    <w:p>
      <w:pPr>
        <w:pStyle w:val="EyeLead"/>
        <w:keepLines/>
      </w:pPr>
      <w:r>
        <w:rPr>
          <w:rFonts w:ascii="Arial" w:hAnsi="Arial" w:eastAsia="Arial"/>
          <w:color w:val="0B2545"/>
          <w:sz w:val="25"/>
        </w:rPr>
        <w:t>Agents are bounded, governed workers inside The Eye. They extend reach and parallelism; they do not create a second, unaccountable organization inside the product.</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AGENT FAMILY</w:t>
            </w:r>
          </w:p>
        </w:tc>
        <w:tc>
          <w:tcPr>
            <w:tcW w:type="dxa" w:w="716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CANONICAL AGENTS AND RESPONSIBILITY</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Observation and acquisition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Observation, Crawler, Search, Collection — discover, retrieve, monitor, and preserve authorized sources.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Data preparation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Cleaning, Classification, Summarization — normalize, quality-control, label, and compress evidence without losing lineage.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Semantic intelligence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NER, Relationship, Knowledge Graph — resolve entities, events, claims, relationships, and graph updates.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Analytical intelligence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Reasoning, Prediction, Scenario, Simulation, Decision — generate assessments, futures, experiments, and decision packages.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Strategic sensing</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Risk, Opportunity, Competitor, Supply Chain — monitor exposures, options, actors, dependencies, and change.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Domain intelligence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Geopolitical, Technology, Cyber, Financial — apply specialist ontologies, sources, methods, policy, and evaluation.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Communication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Executive Briefing, Reporting — compose role-appropriate, source-linked intelligence products under approval policy.</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Control and assurance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Governance, Learning — enforce policy, evaluate performance, preserve audit, and manage approved improvement loops.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Orchestration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Planner, Supervisor, Workflow — decompose objectives, assign bounded work, coordinate dependencies, enforce gates, and recover safely.</w:t>
            </w:r>
          </w:p>
        </w:tc>
      </w:tr>
    </w:tbl>
    <w:p>
      <w:pPr>
        <w:pStyle w:val="Heading2"/>
        <w:keepNext/>
      </w:pPr>
      <w:r>
        <w:rPr>
          <w:rFonts w:ascii="Arial" w:hAnsi="Arial" w:eastAsia="Arial"/>
          <w:b/>
          <w:color w:val="0B2545"/>
          <w:sz w:val="27"/>
        </w:rPr>
        <w:t>Agent contract</w:t>
      </w:r>
    </w:p>
    <w:p>
      <w:r>
        <w:rPr>
          <w:rFonts w:ascii="Arial" w:hAnsi="Arial" w:eastAsia="Arial"/>
        </w:rPr>
        <w:t>Every agent shall publish an agent card defining purpose, owner, model dependencies, tools, input and output schemas, data and tenant scope, permissions, budgets, timeouts, allowed autonomy, escalation rules, prohibited actions, evaluation suites, known failure modes, logging, and rollback. Agent identity and version shall appear in every material artifact it creates or changes.</w:t>
      </w:r>
    </w:p>
    <w:p>
      <w:pPr>
        <w:pStyle w:val="Heading2"/>
        <w:keepNext/>
      </w:pPr>
      <w:r>
        <w:rPr>
          <w:rFonts w:ascii="Arial" w:hAnsi="Arial" w:eastAsia="Arial"/>
          <w:b/>
          <w:color w:val="0B2545"/>
          <w:sz w:val="27"/>
        </w:rPr>
        <w:t>Orchestration and separation of duties</w:t>
      </w:r>
    </w:p>
    <w:p>
      <w:r>
        <w:rPr>
          <w:rFonts w:ascii="Arial" w:hAnsi="Arial" w:eastAsia="Arial"/>
        </w:rPr>
        <w:t>A Planner may decompose work but may not grant itself permissions. A Supervisor may evaluate and route work but may not erase failures. Workflow policy shall define which steps are automatic, which require review, and which require decision authority. High-impact tasks shall separate proposal, verification, and approval roles where practical. Agents shall not approve their own policy exceptions.</w:t>
      </w:r>
    </w:p>
    <w:p>
      <w:pPr>
        <w:pStyle w:val="Heading2"/>
        <w:keepNext/>
      </w:pPr>
      <w:r>
        <w:rPr>
          <w:rFonts w:ascii="Arial" w:hAnsi="Arial" w:eastAsia="Arial"/>
          <w:b/>
          <w:color w:val="0B2545"/>
          <w:sz w:val="27"/>
        </w:rPr>
        <w:t>Tool and model boundaries</w:t>
      </w:r>
    </w:p>
    <w:p>
      <w:r>
        <w:rPr>
          <w:rFonts w:ascii="Arial" w:hAnsi="Arial" w:eastAsia="Arial"/>
        </w:rPr>
        <w:t>Tool access shall be capability-scoped and least-privileged. External side effects require explicit workflow authority, idempotency, and audit. Models shall be accessed through governed model interfaces that expose provider, version, configuration, data handling, cost, latency, and evaluation status. The architecture shall support local, private, and hosted models without changing agent semantics.</w:t>
      </w:r>
    </w:p>
    <w:p>
      <w:pPr>
        <w:pStyle w:val="Heading2"/>
        <w:keepNext/>
      </w:pPr>
      <w:r>
        <w:rPr>
          <w:rFonts w:ascii="Arial" w:hAnsi="Arial" w:eastAsia="Arial"/>
          <w:b/>
          <w:color w:val="0B2545"/>
          <w:sz w:val="27"/>
        </w:rPr>
        <w:t>Learning boundary</w:t>
      </w:r>
    </w:p>
    <w:p>
      <w:r>
        <w:rPr>
          <w:rFonts w:ascii="Arial" w:hAnsi="Arial" w:eastAsia="Arial"/>
        </w:rPr>
        <w:t>Agents may propose improvements to prompts, workflows, tools, policies, ontologies, and models. Proposals are artifacts, not production changes. Release requires evaluation, security review, policy review, approval, versioning, monitoring, and rollback appropriate to risk.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C-028  Bounded agent authority</w:t>
            </w:r>
          </w:p>
          <w:p>
            <w:pPr>
              <w:spacing w:after="40" w:line="250" w:lineRule="auto"/>
            </w:pPr>
            <w:r>
              <w:rPr>
                <w:rFonts w:ascii="Arial" w:hAnsi="Arial" w:eastAsia="Arial"/>
                <w:b/>
                <w:color w:val="0B2545"/>
                <w:sz w:val="18"/>
              </w:rPr>
              <w:t>C-029  Supervised orchestration</w:t>
            </w:r>
          </w:p>
          <w:p>
            <w:pPr>
              <w:spacing w:after="40" w:line="250" w:lineRule="auto"/>
            </w:pPr>
            <w:r>
              <w:rPr>
                <w:rFonts w:ascii="Arial" w:hAnsi="Arial" w:eastAsia="Arial"/>
                <w:b/>
                <w:color w:val="0B2545"/>
                <w:sz w:val="18"/>
              </w:rPr>
              <w:t>C-030  Model pluralism</w:t>
            </w:r>
          </w:p>
          <w:p>
            <w:pPr>
              <w:spacing w:after="40" w:line="250" w:lineRule="auto"/>
            </w:pPr>
            <w:r>
              <w:rPr>
                <w:rFonts w:ascii="Arial" w:hAnsi="Arial" w:eastAsia="Arial"/>
                <w:b/>
                <w:color w:val="0B2545"/>
                <w:sz w:val="18"/>
              </w:rPr>
              <w:t>C-031  No silent self-modification</w:t>
            </w:r>
          </w:p>
        </w:tc>
      </w:tr>
    </w:tbl>
    <w:p>
      <w:r>
        <w:br w:type="page"/>
      </w:r>
    </w:p>
    <w:p>
      <w:pPr>
        <w:spacing w:before="2400" w:after="320"/>
      </w:pPr>
      <w:r>
        <w:rPr>
          <w:rFonts w:ascii="Arial" w:hAnsi="Arial" w:eastAsia="Arial"/>
          <w:b/>
          <w:caps/>
          <w:color w:val="007E80"/>
          <w:sz w:val="20"/>
        </w:rPr>
        <w:t>PART III</w:t>
      </w:r>
    </w:p>
    <w:p>
      <w:pPr>
        <w:pStyle w:val="EyePart"/>
      </w:pPr>
      <w:r>
        <w:rPr>
          <w:rFonts w:ascii="Arial" w:hAnsi="Arial" w:eastAsia="Arial"/>
          <w:b/>
          <w:color w:val="0B2545"/>
          <w:sz w:val="50"/>
        </w:rPr>
        <w:t>Trust and Enterprise Foundation</w:t>
      </w:r>
    </w:p>
    <w:p>
      <w:pPr>
        <w:pStyle w:val="EyePartSubtitle"/>
      </w:pPr>
      <w:r>
        <w:rPr>
          <w:rFonts w:ascii="Arial" w:hAnsi="Arial" w:eastAsia="Arial"/>
          <w:color w:val="566575"/>
          <w:sz w:val="24"/>
        </w:rPr>
        <w:t>The cross-cutting controls that make intelligence reliable, governable, sovereign, deployable, and fit for long-term institutional use.</w:t>
      </w:r>
    </w:p>
    <w:p>
      <w:pPr>
        <w:spacing w:before="560" w:after="0"/>
      </w:pPr>
      <w:r>
        <w:rPr>
          <w:rFonts w:ascii="Arial" w:hAnsi="Arial" w:eastAsia="Arial"/>
          <w:b/>
          <w:caps/>
          <w:color w:val="007E80"/>
          <w:sz w:val="17"/>
        </w:rPr>
        <w:t>THE EYE  /  THE OPERATING SYSTEM FOR STRATEGIC INTELLIGENCE</w:t>
      </w:r>
    </w:p>
    <w:p>
      <w:pPr>
        <w:pStyle w:val="Heading1"/>
        <w:keepNext/>
        <w:pageBreakBefore/>
      </w:pPr>
      <w:r>
        <w:rPr>
          <w:rFonts w:ascii="Arial" w:hAnsi="Arial" w:eastAsia="Arial"/>
          <w:b/>
          <w:color w:val="0B2545"/>
          <w:sz w:val="36"/>
        </w:rPr>
        <w:t>19  Trust and Provenance Layer</w:t>
      </w:r>
    </w:p>
    <w:p>
      <w:pPr>
        <w:pStyle w:val="EyeLead"/>
        <w:keepLines/>
      </w:pPr>
      <w:r>
        <w:rPr>
          <w:rFonts w:ascii="Arial" w:hAnsi="Arial" w:eastAsia="Arial"/>
          <w:color w:val="0B2545"/>
          <w:sz w:val="25"/>
        </w:rPr>
        <w:t>Trust in The Eye is not a confidence badge. It is the inspectable chain connecting source, transformation, inference, approval, decision, action, and outcome.</w:t>
      </w:r>
    </w:p>
    <w:p>
      <w:pPr>
        <w:pStyle w:val="Heading2"/>
        <w:keepNext/>
      </w:pPr>
      <w:r>
        <w:rPr>
          <w:rFonts w:ascii="Arial" w:hAnsi="Arial" w:eastAsia="Arial"/>
          <w:b/>
          <w:color w:val="0B2545"/>
          <w:sz w:val="27"/>
        </w:rPr>
        <w:t>Trust envelope</w:t>
      </w:r>
    </w:p>
    <w:p>
      <w:r>
        <w:rPr>
          <w:rFonts w:ascii="Arial" w:hAnsi="Arial" w:eastAsia="Arial"/>
        </w:rPr>
        <w:t>Every intelligence object shall carry a trust envelope appropriate to its type. The envelope includes object identity, tenant, owner, source references, chain of custody, truth state, temporal state, classification, sensitivity, usage rights, transformation lineage, model and agent versions, quality, confidence, review status, policy decisions, signatures or hashes where required, expiry, and known limitations.</w:t>
      </w:r>
    </w:p>
    <w:p>
      <w:pPr>
        <w:pStyle w:val="Heading2"/>
        <w:keepNext/>
      </w:pPr>
      <w:r>
        <w:rPr>
          <w:rFonts w:ascii="Arial" w:hAnsi="Arial" w:eastAsia="Arial"/>
          <w:b/>
          <w:color w:val="0B2545"/>
          <w:sz w:val="27"/>
        </w:rPr>
        <w:t>Provenance graph</w:t>
      </w:r>
    </w:p>
    <w:p>
      <w:r>
        <w:rPr>
          <w:rFonts w:ascii="Arial" w:hAnsi="Arial" w:eastAsia="Arial"/>
        </w:rPr>
        <w:t>Provenance shall itself be graph-addressable. Users and auditors must be able to trace a recommendation to decision criteria, simulations, scenario branches, forecasts, twin state, graph claims, transformations, and original evidence. The reverse path shall also be possible: a corrected source should identify every downstream object and decision potentially affected.</w:t>
      </w:r>
    </w:p>
    <w:p>
      <w:pPr>
        <w:pStyle w:val="Heading2"/>
        <w:keepNext/>
      </w:pPr>
      <w:r>
        <w:rPr>
          <w:rFonts w:ascii="Arial" w:hAnsi="Arial" w:eastAsia="Arial"/>
          <w:b/>
          <w:color w:val="0B2545"/>
          <w:sz w:val="27"/>
        </w:rPr>
        <w:t>Trust policy</w:t>
      </w:r>
    </w:p>
    <w:p>
      <w:r>
        <w:rPr>
          <w:rFonts w:ascii="Arial" w:hAnsi="Arial" w:eastAsia="Arial"/>
        </w:rPr>
        <w:t>Trust is contextual. An official filing may be authoritative for a reported figure and incomplete for underlying risk. A specialist model may be calibrated in one geography and unreliable in another. Trust policy shall combine source authority, corroboration, recency, method fitness, lineage integrity, conflict, evaluation, and human review rather than assigning permanent universal reputation.</w:t>
      </w:r>
    </w:p>
    <w:p>
      <w:pPr>
        <w:pStyle w:val="Heading2"/>
        <w:keepNext/>
      </w:pPr>
      <w:r>
        <w:rPr>
          <w:rFonts w:ascii="Arial" w:hAnsi="Arial" w:eastAsia="Arial"/>
          <w:b/>
          <w:color w:val="0B2545"/>
          <w:sz w:val="27"/>
        </w:rPr>
        <w:t>Audit and non-repudiation</w:t>
      </w:r>
    </w:p>
    <w:p>
      <w:r>
        <w:rPr>
          <w:rFonts w:ascii="Arial" w:hAnsi="Arial" w:eastAsia="Arial"/>
        </w:rPr>
        <w:t>Material reads, writes, transformations, exports, policy decisions, agent tool calls, model invocations, approvals, overrides, releases, and administrative actions shall be attributable and tamper-evident. Audit records must be searchable by object, identity, decision, tenant, policy, and time, with retention and disclosure controlled separately from operational data.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C-012  End-to-end provenance</w:t>
            </w:r>
          </w:p>
          <w:p>
            <w:pPr>
              <w:spacing w:after="40" w:line="250" w:lineRule="auto"/>
            </w:pPr>
            <w:r>
              <w:rPr>
                <w:rFonts w:ascii="Arial" w:hAnsi="Arial" w:eastAsia="Arial"/>
                <w:b/>
                <w:color w:val="0B2545"/>
                <w:sz w:val="18"/>
              </w:rPr>
              <w:t>C-035  Trust as a system property</w:t>
            </w:r>
          </w:p>
          <w:p>
            <w:pPr>
              <w:spacing w:after="40" w:line="250" w:lineRule="auto"/>
            </w:pPr>
            <w:r>
              <w:rPr>
                <w:rFonts w:ascii="Arial" w:hAnsi="Arial" w:eastAsia="Arial"/>
                <w:b/>
                <w:color w:val="0B2545"/>
                <w:sz w:val="18"/>
              </w:rPr>
              <w:t>C-036  Non-repudiable accountability</w:t>
            </w:r>
          </w:p>
        </w:tc>
      </w:tr>
    </w:tbl>
    <w:p>
      <w:pPr>
        <w:pStyle w:val="Heading1"/>
        <w:keepNext/>
        <w:pageBreakBefore/>
      </w:pPr>
      <w:r>
        <w:rPr>
          <w:rFonts w:ascii="Arial" w:hAnsi="Arial" w:eastAsia="Arial"/>
          <w:b/>
          <w:color w:val="0B2545"/>
          <w:sz w:val="36"/>
        </w:rPr>
        <w:t>20  Data Governance and Interoperability</w:t>
      </w:r>
    </w:p>
    <w:p>
      <w:pPr>
        <w:pStyle w:val="EyeLead"/>
        <w:keepLines/>
      </w:pPr>
      <w:r>
        <w:rPr>
          <w:rFonts w:ascii="Arial" w:hAnsi="Arial" w:eastAsia="Arial"/>
          <w:color w:val="0B2545"/>
          <w:sz w:val="25"/>
        </w:rPr>
        <w:t>Data becomes strategic infrastructure when it is governed across meaning, time, quality, rights, lineage, and access—not merely moved into a common storage layer.</w:t>
      </w:r>
    </w:p>
    <w:p>
      <w:pPr>
        <w:pStyle w:val="Heading2"/>
        <w:keepNext/>
      </w:pPr>
      <w:r>
        <w:rPr>
          <w:rFonts w:ascii="Arial" w:hAnsi="Arial" w:eastAsia="Arial"/>
          <w:b/>
          <w:color w:val="0B2545"/>
          <w:sz w:val="27"/>
        </w:rPr>
        <w:t>Data product model</w:t>
      </w:r>
    </w:p>
    <w:p>
      <w:r>
        <w:rPr>
          <w:rFonts w:ascii="Arial" w:hAnsi="Arial" w:eastAsia="Arial"/>
        </w:rPr>
        <w:t>Sources and derived datasets shall be managed as data products with owners, contracts, schemas, semantics, quality objectives, freshness objectives, lineage, access policy, retention, cost, and lifecycle state. The platform shall support batch, streaming, event, document, time-series, geospatial, graph, vector, media, telemetry, and model-derived data without forcing every form into one storage model.</w:t>
      </w:r>
    </w:p>
    <w:p>
      <w:pPr>
        <w:pStyle w:val="Heading2"/>
        <w:keepNext/>
      </w:pPr>
      <w:r>
        <w:rPr>
          <w:rFonts w:ascii="Arial" w:hAnsi="Arial" w:eastAsia="Arial"/>
          <w:b/>
          <w:color w:val="0B2545"/>
          <w:sz w:val="27"/>
        </w:rPr>
        <w:t>Canonical semantics</w:t>
      </w:r>
    </w:p>
    <w:p>
      <w:r>
        <w:rPr>
          <w:rFonts w:ascii="Arial" w:hAnsi="Arial" w:eastAsia="Arial"/>
        </w:rPr>
        <w:t>Canonical identifiers, temporal semantics, truth states, provenance fields, confidence, policy labels, and version rules shall be shared across the platform. Source-specific schemas remain preserved, and mappings to canonical models are versioned. Lossy transformations must be declared. Data contracts shall make breaking changes visible before they corrupt downstream intelligence.</w:t>
      </w:r>
    </w:p>
    <w:p>
      <w:pPr>
        <w:pStyle w:val="Heading2"/>
        <w:keepNext/>
      </w:pPr>
      <w:r>
        <w:rPr>
          <w:rFonts w:ascii="Arial" w:hAnsi="Arial" w:eastAsia="Arial"/>
          <w:b/>
          <w:color w:val="0B2545"/>
          <w:sz w:val="27"/>
        </w:rPr>
        <w:t>Ownership and federation</w:t>
      </w:r>
    </w:p>
    <w:p>
      <w:r>
        <w:rPr>
          <w:rFonts w:ascii="Arial" w:hAnsi="Arial" w:eastAsia="Arial"/>
        </w:rPr>
        <w:t>Data ownership may remain with domains, business units, agencies, regions, or customers while The Eye provides federated discovery, policy, identity, lineage, and semantic connection. Central governance shall define non-negotiable controls; domain owners shall govern meaning and quality within those controls. Federation must not create untraceable replicas or inconsistent policy enforcement.</w:t>
      </w:r>
    </w:p>
    <w:p>
      <w:pPr>
        <w:pStyle w:val="Heading2"/>
        <w:keepNext/>
      </w:pPr>
      <w:r>
        <w:rPr>
          <w:rFonts w:ascii="Arial" w:hAnsi="Arial" w:eastAsia="Arial"/>
          <w:b/>
          <w:color w:val="0B2545"/>
          <w:sz w:val="27"/>
        </w:rPr>
        <w:t>Interoperability and exit</w:t>
      </w:r>
    </w:p>
    <w:p>
      <w:r>
        <w:rPr>
          <w:rFonts w:ascii="Arial" w:hAnsi="Arial" w:eastAsia="Arial"/>
        </w:rPr>
        <w:t>The platform shall expose documented APIs, event contracts, bulk export, metadata export, graph export, model and scenario packaging, and standard identity and policy integrations. Customers shall be able to retrieve their authorized data, knowledge structures, decisions, audit material, and configuration in usable formats. Proprietary optimization may add value; proprietary captivity may not be the retention mechanism.</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C-011  Temporal truth</w:t>
            </w:r>
          </w:p>
          <w:p>
            <w:pPr>
              <w:spacing w:after="40" w:line="250" w:lineRule="auto"/>
            </w:pPr>
            <w:r>
              <w:rPr>
                <w:rFonts w:ascii="Arial" w:hAnsi="Arial" w:eastAsia="Arial"/>
                <w:b/>
                <w:color w:val="0B2545"/>
                <w:sz w:val="18"/>
              </w:rPr>
              <w:t>C-037  Customer data control</w:t>
            </w:r>
          </w:p>
          <w:p>
            <w:pPr>
              <w:spacing w:after="40" w:line="250" w:lineRule="auto"/>
            </w:pPr>
            <w:r>
              <w:rPr>
                <w:rFonts w:ascii="Arial" w:hAnsi="Arial" w:eastAsia="Arial"/>
                <w:b/>
                <w:color w:val="0B2545"/>
                <w:sz w:val="18"/>
              </w:rPr>
              <w:t>C-038  Open interoperability</w:t>
            </w:r>
          </w:p>
        </w:tc>
      </w:tr>
    </w:tbl>
    <w:p>
      <w:pPr>
        <w:pStyle w:val="Heading1"/>
        <w:keepNext/>
        <w:pageBreakBefore/>
      </w:pPr>
      <w:r>
        <w:rPr>
          <w:rFonts w:ascii="Arial" w:hAnsi="Arial" w:eastAsia="Arial"/>
          <w:b/>
          <w:color w:val="0B2545"/>
          <w:sz w:val="36"/>
        </w:rPr>
        <w:t>21  Security, Privacy, Sovereignty, and Resilience</w:t>
      </w:r>
    </w:p>
    <w:p>
      <w:pPr>
        <w:pStyle w:val="EyeLead"/>
        <w:keepLines/>
        <w:spacing w:after="160" w:line="269" w:lineRule="auto"/>
      </w:pPr>
      <w:r>
        <w:rPr>
          <w:rFonts w:ascii="Arial" w:hAnsi="Arial" w:eastAsia="Arial"/>
          <w:color w:val="0B2545"/>
          <w:sz w:val="24"/>
        </w:rPr>
        <w:t>The Eye will hold the evidence, models, assumptions, and decisions an institution considers most sensitive. Its security architecture must therefore protect not only data, but strategic intent and decision integrity.</w:t>
      </w:r>
    </w:p>
    <w:p>
      <w:pPr>
        <w:pStyle w:val="Heading2"/>
        <w:keepNext/>
        <w:spacing w:before="160" w:after="80"/>
      </w:pPr>
      <w:r>
        <w:rPr>
          <w:rFonts w:ascii="Arial" w:hAnsi="Arial" w:eastAsia="Arial"/>
          <w:b/>
          <w:color w:val="0B2545"/>
          <w:sz w:val="27"/>
        </w:rPr>
        <w:t>Zero-trust operating model</w:t>
      </w:r>
    </w:p>
    <w:p>
      <w:pPr>
        <w:spacing w:after="80" w:line="254" w:lineRule="auto"/>
      </w:pPr>
      <w:r>
        <w:rPr>
          <w:rFonts w:ascii="Arial" w:hAnsi="Arial" w:eastAsia="Arial"/>
          <w:sz w:val="20"/>
        </w:rPr>
        <w:t>Every human, service, device, workload, agent, model, connector, source, and deployment component shall have verifiable identity and scoped authority. Access decisions shall combine role, attributes, purpose, tenant, classification, data policy, device and workload posture, network context, and risk. Authorization is continuous; network location is not trust.</w:t>
      </w:r>
    </w:p>
    <w:p>
      <w:pPr>
        <w:pStyle w:val="Heading2"/>
        <w:keepNext/>
        <w:spacing w:before="160" w:after="80"/>
      </w:pPr>
      <w:r>
        <w:rPr>
          <w:rFonts w:ascii="Arial" w:hAnsi="Arial" w:eastAsia="Arial"/>
          <w:b/>
          <w:color w:val="0B2545"/>
          <w:sz w:val="27"/>
        </w:rPr>
        <w:t>Data and model protection</w:t>
      </w:r>
    </w:p>
    <w:p>
      <w:pPr>
        <w:spacing w:after="80" w:line="254" w:lineRule="auto"/>
      </w:pPr>
      <w:r>
        <w:rPr>
          <w:rFonts w:ascii="Arial" w:hAnsi="Arial" w:eastAsia="Arial"/>
          <w:sz w:val="20"/>
        </w:rPr>
        <w:t>Protection shall include encryption in transit and at rest, customer-managed keys where required, secrets isolation, field- and row-level controls, confidential-computing options where appropriate, secure deletion, backup protection, exfiltration controls, watermarking or export controls for sensitive products, and isolation of training and evaluation data. Models, prompts, ontologies, agent definitions, simulation configurations, and strategic graphs are protected assets.</w:t>
      </w:r>
    </w:p>
    <w:p>
      <w:pPr>
        <w:pStyle w:val="Heading2"/>
        <w:keepNext/>
        <w:spacing w:before="160" w:after="80"/>
      </w:pPr>
      <w:r>
        <w:rPr>
          <w:rFonts w:ascii="Arial" w:hAnsi="Arial" w:eastAsia="Arial"/>
          <w:b/>
          <w:color w:val="0B2545"/>
          <w:sz w:val="27"/>
        </w:rPr>
        <w:t>AI and information threats</w:t>
      </w:r>
    </w:p>
    <w:p>
      <w:pPr>
        <w:spacing w:after="80" w:line="254" w:lineRule="auto"/>
      </w:pPr>
      <w:r>
        <w:rPr>
          <w:rFonts w:ascii="Arial" w:hAnsi="Arial" w:eastAsia="Arial"/>
          <w:sz w:val="20"/>
        </w:rPr>
        <w:t>The security program shall address prompt injection, data poisoning, adversarial examples, malicious source content, model extraction, insecure tool use, hallucination, identity spoofing, supply-chain compromise, agent privilege escalation, covert channels, and manipulated feedback. Untrusted content shall not be able to grant tools, change policy, or cross tenant and classification boundaries.</w:t>
      </w:r>
    </w:p>
    <w:p>
      <w:pPr>
        <w:pStyle w:val="Heading2"/>
        <w:keepNext/>
        <w:spacing w:before="160" w:after="80"/>
      </w:pPr>
      <w:r>
        <w:rPr>
          <w:rFonts w:ascii="Arial" w:hAnsi="Arial" w:eastAsia="Arial"/>
          <w:b/>
          <w:color w:val="0B2545"/>
          <w:sz w:val="27"/>
        </w:rPr>
        <w:t>Privacy and lawful use</w:t>
      </w:r>
    </w:p>
    <w:p>
      <w:pPr>
        <w:spacing w:after="80" w:line="254" w:lineRule="auto"/>
      </w:pPr>
      <w:r>
        <w:rPr>
          <w:rFonts w:ascii="Arial" w:hAnsi="Arial" w:eastAsia="Arial"/>
          <w:sz w:val="20"/>
        </w:rPr>
        <w:t>Personal and sensitive data shall be collected and used only for authorized purpose with applicable legal basis, minimization, notice or consent where required, access and correction workflows, retention, deletion, and review. The Knowledge Graph must support policy on relationships as well as nodes because sensitive inference may arise from connection rather than a single field.</w:t>
      </w:r>
    </w:p>
    <w:p>
      <w:pPr>
        <w:pStyle w:val="Heading2"/>
        <w:keepNext/>
        <w:spacing w:before="160" w:after="80"/>
      </w:pPr>
      <w:r>
        <w:rPr>
          <w:rFonts w:ascii="Arial" w:hAnsi="Arial" w:eastAsia="Arial"/>
          <w:b/>
          <w:color w:val="0B2545"/>
          <w:sz w:val="27"/>
        </w:rPr>
        <w:t>Resilience and safe degradation</w:t>
      </w:r>
    </w:p>
    <w:p>
      <w:pPr>
        <w:spacing w:after="80" w:line="254" w:lineRule="auto"/>
      </w:pPr>
      <w:r>
        <w:rPr>
          <w:rFonts w:ascii="Arial" w:hAnsi="Arial" w:eastAsia="Arial"/>
          <w:sz w:val="20"/>
        </w:rPr>
        <w:t>The platform shall be designed for fault containment, redundancy, backup, restore, disaster recovery, cyber recovery, dependency failure, model outage, connector degradation, and disconnected operation. When freshness, provenance, model availability, or policy services are degraded, the user must see the condition and the system must restrict actions accordingly. Stale confidence is not resilience.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C-039  Zero-trust security</w:t>
            </w:r>
          </w:p>
          <w:p>
            <w:pPr>
              <w:spacing w:after="40" w:line="250" w:lineRule="auto"/>
            </w:pPr>
            <w:r>
              <w:rPr>
                <w:rFonts w:ascii="Arial" w:hAnsi="Arial" w:eastAsia="Arial"/>
                <w:b/>
                <w:color w:val="0B2545"/>
                <w:sz w:val="18"/>
              </w:rPr>
              <w:t>C-040  Privacy and minimization</w:t>
            </w:r>
          </w:p>
          <w:p>
            <w:pPr>
              <w:spacing w:after="40" w:line="250" w:lineRule="auto"/>
            </w:pPr>
            <w:r>
              <w:rPr>
                <w:rFonts w:ascii="Arial" w:hAnsi="Arial" w:eastAsia="Arial"/>
                <w:b/>
                <w:color w:val="0B2545"/>
                <w:sz w:val="18"/>
              </w:rPr>
              <w:t>C-041  Sovereignty by design</w:t>
            </w:r>
          </w:p>
          <w:p>
            <w:pPr>
              <w:spacing w:after="40" w:line="250" w:lineRule="auto"/>
            </w:pPr>
            <w:r>
              <w:rPr>
                <w:rFonts w:ascii="Arial" w:hAnsi="Arial" w:eastAsia="Arial"/>
                <w:b/>
                <w:color w:val="0B2545"/>
                <w:sz w:val="18"/>
              </w:rPr>
              <w:t>C-043  Resilient operation</w:t>
            </w:r>
          </w:p>
          <w:p>
            <w:pPr>
              <w:spacing w:after="40" w:line="250" w:lineRule="auto"/>
            </w:pPr>
            <w:r>
              <w:rPr>
                <w:rFonts w:ascii="Arial" w:hAnsi="Arial" w:eastAsia="Arial"/>
                <w:b/>
                <w:color w:val="0B2545"/>
                <w:sz w:val="18"/>
              </w:rPr>
              <w:t>C-050  Responsible-use boundary</w:t>
            </w:r>
          </w:p>
        </w:tc>
      </w:tr>
    </w:tbl>
    <w:p>
      <w:pPr>
        <w:pStyle w:val="Heading1"/>
        <w:keepNext/>
        <w:pageBreakBefore/>
      </w:pPr>
      <w:r>
        <w:rPr>
          <w:rFonts w:ascii="Arial" w:hAnsi="Arial" w:eastAsia="Arial"/>
          <w:b/>
          <w:color w:val="0B2545"/>
          <w:sz w:val="36"/>
        </w:rPr>
        <w:t>22  Deployment Constitution</w:t>
      </w:r>
    </w:p>
    <w:p>
      <w:pPr>
        <w:pStyle w:val="EyeLead"/>
        <w:keepLines/>
      </w:pPr>
      <w:r>
        <w:rPr>
          <w:rFonts w:ascii="Arial" w:hAnsi="Arial" w:eastAsia="Arial"/>
          <w:color w:val="0B2545"/>
          <w:sz w:val="25"/>
        </w:rPr>
        <w:t>SaaS, Private Cloud, and On-Premise are first-class operating modes of one product, not three unrelated editions.</w:t>
      </w:r>
    </w:p>
    <w:tbl>
      <w:tblPr>
        <w:tblW w:type="dxa" w:w="9360"/>
        <w:jc w:val="left"/>
        <w:tblLayout w:type="fixed"/>
        <w:tblLook w:firstColumn="1" w:firstRow="1" w:lastColumn="0" w:lastRow="0" w:noHBand="0" w:noVBand="1" w:val="04A0"/>
        <w:tblInd w:w="120" w:type="dxa"/>
      </w:tblPr>
      <w:tblGrid>
        <w:gridCol w:w="1500"/>
        <w:gridCol w:w="2950"/>
        <w:gridCol w:w="4910"/>
      </w:tblGrid>
      <w:tr>
        <w:trPr>
          <w:tblHeader w:val="true"/>
          <w:cantSplit/>
        </w:trPr>
        <w:tc>
          <w:tcPr>
            <w:tcW w:type="dxa" w:w="15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MODE</w:t>
            </w:r>
          </w:p>
        </w:tc>
        <w:tc>
          <w:tcPr>
            <w:tcW w:type="dxa" w:w="295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CONTROL BOUNDARY</w:t>
            </w:r>
          </w:p>
        </w:tc>
        <w:tc>
          <w:tcPr>
            <w:tcW w:type="dxa" w:w="491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CONSTITUTIONAL EXPECTATION</w:t>
            </w:r>
          </w:p>
        </w:tc>
      </w:tr>
      <w:tr>
        <w:trPr>
          <w:cantSplit/>
        </w:trPr>
        <w:tc>
          <w:tcPr>
            <w:tcW w:type="dxa" w:w="15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SaaS</w:t>
            </w:r>
          </w:p>
        </w:tc>
        <w:tc>
          <w:tcPr>
            <w:tcW w:type="dxa" w:w="29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Eye-managed service with tenant isolation</w:t>
            </w:r>
          </w:p>
        </w:tc>
        <w:tc>
          <w:tcPr>
            <w:tcW w:type="dxa" w:w="491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Fastest managed operation with explicit residency, encryption, policy, portability, and tenant controls.</w:t>
            </w:r>
          </w:p>
        </w:tc>
      </w:tr>
      <w:tr>
        <w:trPr>
          <w:cantSplit/>
        </w:trPr>
        <w:tc>
          <w:tcPr>
            <w:tcW w:type="dxa" w:w="15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Private Cloud</w:t>
            </w:r>
          </w:p>
        </w:tc>
        <w:tc>
          <w:tcPr>
            <w:tcW w:type="dxa" w:w="29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Dedicated customer or vendor-managed cloud environment</w:t>
            </w:r>
          </w:p>
        </w:tc>
        <w:tc>
          <w:tcPr>
            <w:tcW w:type="dxa" w:w="491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Customer-specific network, keys, regions, integrations, models, controls, and operational responsibility.</w:t>
            </w:r>
          </w:p>
        </w:tc>
      </w:tr>
      <w:tr>
        <w:trPr>
          <w:cantSplit/>
        </w:trPr>
        <w:tc>
          <w:tcPr>
            <w:tcW w:type="dxa" w:w="15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On-Premise</w:t>
            </w:r>
          </w:p>
        </w:tc>
        <w:tc>
          <w:tcPr>
            <w:tcW w:type="dxa" w:w="295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Customer-controlled data centre, edge, sovereign, or disconnected environment</w:t>
            </w:r>
          </w:p>
        </w:tc>
        <w:tc>
          <w:tcPr>
            <w:tcW w:type="dxa" w:w="491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Local operation, local administration, local inference options, offline update paths, and no mandatory external telemetry.</w:t>
            </w:r>
          </w:p>
        </w:tc>
      </w:tr>
    </w:tbl>
    <w:p>
      <w:pPr>
        <w:pStyle w:val="Heading2"/>
        <w:keepNext/>
      </w:pPr>
      <w:r>
        <w:rPr>
          <w:rFonts w:ascii="Arial" w:hAnsi="Arial" w:eastAsia="Arial"/>
          <w:b/>
          <w:color w:val="0B2545"/>
          <w:sz w:val="27"/>
        </w:rPr>
        <w:t>Semantic parity</w:t>
      </w:r>
    </w:p>
    <w:p>
      <w:r>
        <w:rPr>
          <w:rFonts w:ascii="Arial" w:hAnsi="Arial" w:eastAsia="Arial"/>
        </w:rPr>
        <w:t>Core objects, APIs, provenance, policy, agent contracts, workflows, model interfaces, twin packaging, scenarios, decisions, audit, and user concepts shall remain consistent across modes. Operational topology, managed services, scale profile, and available third-party integrations may differ. Differences must be documented as capability constraints, not hidden product fragmentation.</w:t>
      </w:r>
    </w:p>
    <w:p>
      <w:pPr>
        <w:pStyle w:val="Heading2"/>
        <w:keepNext/>
      </w:pPr>
      <w:r>
        <w:rPr>
          <w:rFonts w:ascii="Arial" w:hAnsi="Arial" w:eastAsia="Arial"/>
          <w:b/>
          <w:color w:val="0B2545"/>
          <w:sz w:val="27"/>
        </w:rPr>
        <w:t>Control-plane boundaries</w:t>
      </w:r>
    </w:p>
    <w:p>
      <w:r>
        <w:rPr>
          <w:rFonts w:ascii="Arial" w:hAnsi="Arial" w:eastAsia="Arial"/>
        </w:rPr>
        <w:t>Management capabilities shall be separable from customer data and intelligence planes. Remote support, telemetry, updates, marketplace access, and licensing must respect deployment policy and be independently controllable. On-premise and sovereign environments shall not depend on an external service for core decision operations unless the customer explicitly configures that dependency.</w:t>
      </w:r>
    </w:p>
    <w:p>
      <w:pPr>
        <w:pStyle w:val="Heading2"/>
        <w:keepNext/>
      </w:pPr>
      <w:r>
        <w:rPr>
          <w:rFonts w:ascii="Arial" w:hAnsi="Arial" w:eastAsia="Arial"/>
          <w:b/>
          <w:color w:val="0B2545"/>
          <w:sz w:val="27"/>
        </w:rPr>
        <w:t>Portability and reproducibility</w:t>
      </w:r>
    </w:p>
    <w:p>
      <w:r>
        <w:rPr>
          <w:rFonts w:ascii="Arial" w:hAnsi="Arial" w:eastAsia="Arial"/>
        </w:rPr>
        <w:t>Artifacts required to reproduce material intelligence—data references, graph versions, model packages, prompts, policies, agent definitions, twin states, scenario packages, and simulation configuration—shall be versioned and portable within licensing and security constraints. Deployment change must not silently change the meaning of a decision result.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C-041  Sovereignty by design</w:t>
            </w:r>
          </w:p>
          <w:p>
            <w:pPr>
              <w:spacing w:after="40" w:line="250" w:lineRule="auto"/>
            </w:pPr>
            <w:r>
              <w:rPr>
                <w:rFonts w:ascii="Arial" w:hAnsi="Arial" w:eastAsia="Arial"/>
                <w:b/>
                <w:color w:val="0B2545"/>
                <w:sz w:val="18"/>
              </w:rPr>
              <w:t>C-042  Deployment semantic parity</w:t>
            </w:r>
          </w:p>
          <w:p>
            <w:pPr>
              <w:spacing w:after="40" w:line="250" w:lineRule="auto"/>
            </w:pPr>
            <w:r>
              <w:rPr>
                <w:rFonts w:ascii="Arial" w:hAnsi="Arial" w:eastAsia="Arial"/>
                <w:b/>
                <w:color w:val="0B2545"/>
                <w:sz w:val="18"/>
              </w:rPr>
              <w:t>C-043  Resilient operation</w:t>
            </w:r>
          </w:p>
        </w:tc>
      </w:tr>
    </w:tbl>
    <w:p>
      <w:pPr>
        <w:pStyle w:val="Heading1"/>
        <w:keepNext/>
        <w:pageBreakBefore/>
      </w:pPr>
      <w:r>
        <w:rPr>
          <w:rFonts w:ascii="Arial" w:hAnsi="Arial" w:eastAsia="Arial"/>
          <w:b/>
          <w:color w:val="0B2545"/>
          <w:sz w:val="36"/>
        </w:rPr>
        <w:t>23  Continuous Learning and Evaluation</w:t>
      </w:r>
    </w:p>
    <w:p>
      <w:pPr>
        <w:pStyle w:val="EyeLead"/>
        <w:keepLines/>
        <w:spacing w:after="160" w:line="269" w:lineRule="auto"/>
      </w:pPr>
      <w:r>
        <w:rPr>
          <w:rFonts w:ascii="Arial" w:hAnsi="Arial" w:eastAsia="Arial"/>
          <w:color w:val="0B2545"/>
          <w:sz w:val="24"/>
        </w:rPr>
        <w:t>The Eye learns continuously through governed evidence and outcomes. It does not learn by silently converting every interaction into truth or every model suggestion into production behavior.</w:t>
      </w:r>
    </w:p>
    <w:p>
      <w:pPr>
        <w:pStyle w:val="Heading2"/>
        <w:keepNext/>
        <w:spacing w:before="160" w:after="80"/>
      </w:pPr>
      <w:r>
        <w:rPr>
          <w:rFonts w:ascii="Arial" w:hAnsi="Arial" w:eastAsia="Arial"/>
          <w:b/>
          <w:color w:val="0B2545"/>
          <w:sz w:val="27"/>
        </w:rPr>
        <w:t>Learning loop</w:t>
      </w:r>
    </w:p>
    <w:p>
      <w:pPr>
        <w:numPr>
          <w:ilvl w:val="0"/>
          <w:numId w:val="14"/>
        </w:numPr>
        <w:spacing w:after="80" w:line="254" w:lineRule="auto"/>
        <w:ind w:left="720" w:hanging="360"/>
      </w:pPr>
      <w:r>
        <w:rPr>
          <w:rFonts w:ascii="Arial" w:hAnsi="Arial" w:eastAsia="Arial"/>
          <w:sz w:val="20"/>
        </w:rPr>
        <w:t>Capture the original observation, prediction, scenario, simulation, recommendation, human decision, action, and measurable outcome.</w:t>
      </w:r>
    </w:p>
    <w:p>
      <w:pPr>
        <w:numPr>
          <w:ilvl w:val="0"/>
          <w:numId w:val="14"/>
        </w:numPr>
        <w:spacing w:after="80" w:line="254" w:lineRule="auto"/>
        <w:ind w:left="720" w:hanging="360"/>
      </w:pPr>
      <w:r>
        <w:rPr>
          <w:rFonts w:ascii="Arial" w:hAnsi="Arial" w:eastAsia="Arial"/>
          <w:sz w:val="20"/>
        </w:rPr>
        <w:t>Evaluate performance against explicit baselines and metrics, segmented by context, horizon, domain, confidence, and operating regime.</w:t>
      </w:r>
    </w:p>
    <w:p>
      <w:pPr>
        <w:numPr>
          <w:ilvl w:val="0"/>
          <w:numId w:val="14"/>
        </w:numPr>
        <w:spacing w:after="80" w:line="254" w:lineRule="auto"/>
        <w:ind w:left="720" w:hanging="360"/>
      </w:pPr>
      <w:r>
        <w:rPr>
          <w:rFonts w:ascii="Arial" w:hAnsi="Arial" w:eastAsia="Arial"/>
          <w:sz w:val="20"/>
        </w:rPr>
        <w:t>Diagnose error sources across data, ontology, extraction, reasoning, model, twin, assumption, workflow, policy, and human use.</w:t>
      </w:r>
    </w:p>
    <w:p>
      <w:pPr>
        <w:numPr>
          <w:ilvl w:val="0"/>
          <w:numId w:val="14"/>
        </w:numPr>
        <w:spacing w:after="80" w:line="254" w:lineRule="auto"/>
        <w:ind w:left="720" w:hanging="360"/>
      </w:pPr>
      <w:r>
        <w:rPr>
          <w:rFonts w:ascii="Arial" w:hAnsi="Arial" w:eastAsia="Arial"/>
          <w:sz w:val="20"/>
        </w:rPr>
        <w:t>Propose changes as versioned artifacts with expected benefit, risk, evidence, test plan, compatibility impact, and rollback path.</w:t>
      </w:r>
    </w:p>
    <w:p>
      <w:pPr>
        <w:numPr>
          <w:ilvl w:val="0"/>
          <w:numId w:val="14"/>
        </w:numPr>
        <w:spacing w:after="80" w:line="254" w:lineRule="auto"/>
        <w:ind w:left="720" w:hanging="360"/>
      </w:pPr>
      <w:r>
        <w:rPr>
          <w:rFonts w:ascii="Arial" w:hAnsi="Arial" w:eastAsia="Arial"/>
          <w:sz w:val="20"/>
        </w:rPr>
        <w:t>Evaluate offline and in controlled environments, including regression, adversarial, security, privacy, bias, calibration, and cost tests.</w:t>
      </w:r>
    </w:p>
    <w:p>
      <w:pPr>
        <w:numPr>
          <w:ilvl w:val="0"/>
          <w:numId w:val="14"/>
        </w:numPr>
        <w:spacing w:after="80" w:line="254" w:lineRule="auto"/>
        <w:ind w:left="720" w:hanging="360"/>
      </w:pPr>
      <w:r>
        <w:rPr>
          <w:rFonts w:ascii="Arial" w:hAnsi="Arial" w:eastAsia="Arial"/>
          <w:sz w:val="20"/>
        </w:rPr>
        <w:t>Approve, release progressively, monitor, compare, and roll back when performance or policy deviates from the accepted envelope.</w:t>
      </w:r>
    </w:p>
    <w:p>
      <w:pPr>
        <w:pStyle w:val="Heading2"/>
        <w:keepNext/>
        <w:spacing w:before="160" w:after="80"/>
      </w:pPr>
      <w:r>
        <w:rPr>
          <w:rFonts w:ascii="Arial" w:hAnsi="Arial" w:eastAsia="Arial"/>
          <w:b/>
          <w:color w:val="0B2545"/>
          <w:sz w:val="27"/>
        </w:rPr>
        <w:t>Feedback is evidence, not truth</w:t>
      </w:r>
    </w:p>
    <w:p>
      <w:pPr>
        <w:spacing w:after="80" w:line="254" w:lineRule="auto"/>
      </w:pPr>
      <w:r>
        <w:rPr>
          <w:rFonts w:ascii="Arial" w:hAnsi="Arial" w:eastAsia="Arial"/>
          <w:sz w:val="20"/>
        </w:rPr>
        <w:t>User acceptance, overrides, ratings, and corrections are important signals but can reflect incentives, incomplete information, politics, fatigue, or misuse. Feedback shall retain source, role, context, and outcome and shall be evaluated before changing production behavior. A popular answer is not necessarily a correct or responsible answer.</w:t>
      </w:r>
    </w:p>
    <w:p>
      <w:pPr>
        <w:pStyle w:val="Heading2"/>
        <w:keepNext/>
        <w:spacing w:before="160" w:after="80"/>
      </w:pPr>
      <w:r>
        <w:rPr>
          <w:rFonts w:ascii="Arial" w:hAnsi="Arial" w:eastAsia="Arial"/>
          <w:b/>
          <w:color w:val="0B2545"/>
          <w:sz w:val="27"/>
        </w:rPr>
        <w:t>Evaluation system</w:t>
      </w:r>
    </w:p>
    <w:p>
      <w:pPr>
        <w:spacing w:after="80" w:line="254" w:lineRule="auto"/>
      </w:pPr>
      <w:r>
        <w:rPr>
          <w:rFonts w:ascii="Arial" w:hAnsi="Arial" w:eastAsia="Arial"/>
          <w:sz w:val="20"/>
        </w:rPr>
        <w:t>Evaluation shall cover collection fidelity, extraction, entity resolution, relationship accuracy, retrieval, summarization, graph quality, forecast calibration, scenario coverage, simulation validity, recommendation quality, explanation usefulness, agent task success, tool safety, policy compliance, robustness, bias, latency, cost, and operator workload. Evaluation datasets and graders shall be versioned and protected from contamination.</w:t>
      </w:r>
    </w:p>
    <w:p>
      <w:pPr>
        <w:pStyle w:val="Heading2"/>
        <w:keepNext/>
        <w:spacing w:before="160" w:after="80"/>
      </w:pPr>
      <w:r>
        <w:rPr>
          <w:rFonts w:ascii="Arial" w:hAnsi="Arial" w:eastAsia="Arial"/>
          <w:b/>
          <w:color w:val="0B2545"/>
          <w:sz w:val="27"/>
        </w:rPr>
        <w:t>Tenant isolation</w:t>
      </w:r>
    </w:p>
    <w:p>
      <w:pPr>
        <w:spacing w:after="80" w:line="254" w:lineRule="auto"/>
      </w:pPr>
      <w:r>
        <w:rPr>
          <w:rFonts w:ascii="Arial" w:hAnsi="Arial" w:eastAsia="Arial"/>
          <w:sz w:val="20"/>
        </w:rPr>
        <w:t>Customer data and feedback shall not be used to train shared models or improve other tenants without explicit authority, legal basis, contractual permission, and technical separation. Federated or privacy-preserving learning may be supported, but participation and contribution boundaries must be inspectable.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C-031  No silent self-modification</w:t>
            </w:r>
          </w:p>
          <w:p>
            <w:pPr>
              <w:spacing w:after="40" w:line="250" w:lineRule="auto"/>
            </w:pPr>
            <w:r>
              <w:rPr>
                <w:rFonts w:ascii="Arial" w:hAnsi="Arial" w:eastAsia="Arial"/>
                <w:b/>
                <w:color w:val="0B2545"/>
                <w:sz w:val="18"/>
              </w:rPr>
              <w:t>C-044  Governed learning loop</w:t>
            </w:r>
          </w:p>
          <w:p>
            <w:pPr>
              <w:spacing w:after="40" w:line="250" w:lineRule="auto"/>
            </w:pPr>
            <w:r>
              <w:rPr>
                <w:rFonts w:ascii="Arial" w:hAnsi="Arial" w:eastAsia="Arial"/>
                <w:b/>
                <w:color w:val="0B2545"/>
                <w:sz w:val="18"/>
              </w:rPr>
              <w:t>C-045  Continuous evaluation</w:t>
            </w:r>
          </w:p>
        </w:tc>
      </w:tr>
    </w:tbl>
    <w:p>
      <w:pPr>
        <w:pStyle w:val="Heading1"/>
        <w:keepNext/>
        <w:pageBreakBefore/>
      </w:pPr>
      <w:r>
        <w:rPr>
          <w:rFonts w:ascii="Arial" w:hAnsi="Arial" w:eastAsia="Arial"/>
          <w:b/>
          <w:color w:val="0B2545"/>
          <w:sz w:val="36"/>
        </w:rPr>
        <w:t>24  Proactive Intelligence and Marketplaces</w:t>
      </w:r>
    </w:p>
    <w:p>
      <w:pPr>
        <w:pStyle w:val="EyeLead"/>
        <w:keepLines/>
      </w:pPr>
      <w:r>
        <w:rPr>
          <w:rFonts w:ascii="Arial" w:hAnsi="Arial" w:eastAsia="Arial"/>
          <w:color w:val="0B2545"/>
          <w:sz w:val="25"/>
        </w:rPr>
        <w:t>The Eye must identify strategic change before a user formulates the right question, while preserving attention, evidence, and human control.</w:t>
      </w:r>
    </w:p>
    <w:p>
      <w:pPr>
        <w:pStyle w:val="Heading2"/>
        <w:keepNext/>
      </w:pPr>
      <w:r>
        <w:rPr>
          <w:rFonts w:ascii="Arial" w:hAnsi="Arial" w:eastAsia="Arial"/>
          <w:b/>
          <w:color w:val="0B2545"/>
          <w:sz w:val="27"/>
        </w:rPr>
        <w:t>Weak signals and early warning</w:t>
      </w:r>
    </w:p>
    <w:p>
      <w:r>
        <w:rPr>
          <w:rFonts w:ascii="Arial" w:hAnsi="Arial" w:eastAsia="Arial"/>
        </w:rPr>
        <w:t>Weak Signal Detection shall identify low-frequency, low-confidence, or cross-domain changes that may become strategically material. The Early Warning System shall combine weak signals, leading indicators, scenario movement, threshold breaches, graph changes, twin degradation, forecast revision, and model-detected anomalies. It shall distinguish observation from interpretation and warning from confirmed event.</w:t>
      </w:r>
    </w:p>
    <w:p>
      <w:pPr>
        <w:pStyle w:val="Heading2"/>
        <w:keepNext/>
      </w:pPr>
      <w:r>
        <w:rPr>
          <w:rFonts w:ascii="Arial" w:hAnsi="Arial" w:eastAsia="Arial"/>
          <w:b/>
          <w:color w:val="0B2545"/>
          <w:sz w:val="27"/>
        </w:rPr>
        <w:t>Risk and opportunity symmetry</w:t>
      </w:r>
    </w:p>
    <w:p>
      <w:r>
        <w:rPr>
          <w:rFonts w:ascii="Arial" w:hAnsi="Arial" w:eastAsia="Arial"/>
        </w:rPr>
        <w:t>The same world change may create risk for one objective and opportunity for another. Risk and Opportunity agents shall evaluate exposure, probability, impact, velocity, persistence, controllability, interdependence, and option value. Mitigation and exploitation actions shall be treated as strategic choices with costs, dependencies, and second-order effects.</w:t>
      </w:r>
    </w:p>
    <w:p>
      <w:pPr>
        <w:pStyle w:val="Heading2"/>
        <w:keepNext/>
      </w:pPr>
      <w:r>
        <w:rPr>
          <w:rFonts w:ascii="Arial" w:hAnsi="Arial" w:eastAsia="Arial"/>
          <w:b/>
          <w:color w:val="0B2545"/>
          <w:sz w:val="27"/>
        </w:rPr>
        <w:t>Strategic Health Score</w:t>
      </w:r>
    </w:p>
    <w:p>
      <w:r>
        <w:rPr>
          <w:rFonts w:ascii="Arial" w:hAnsi="Arial" w:eastAsia="Arial"/>
        </w:rPr>
        <w:t>The Strategic Health Score may provide a compact view of organizational readiness and exposure across objectives, capabilities, operations, finance, technology, people, supply chain, market, regulation, cyber, and geopolitical conditions. It shall never be a mysterious grade. Components, weights, evidence, freshness, uncertainty, trend, peer or baseline comparison, and sensitivity shall remain visible.</w:t>
      </w:r>
    </w:p>
    <w:p>
      <w:pPr>
        <w:pStyle w:val="Heading2"/>
        <w:keepNext/>
      </w:pPr>
      <w:r>
        <w:rPr>
          <w:rFonts w:ascii="Arial" w:hAnsi="Arial" w:eastAsia="Arial"/>
          <w:b/>
          <w:color w:val="0B2545"/>
          <w:sz w:val="27"/>
        </w:rPr>
        <w:t>Agent Marketplace</w:t>
      </w:r>
    </w:p>
    <w:p>
      <w:r>
        <w:rPr>
          <w:rFonts w:ascii="Arial" w:hAnsi="Arial" w:eastAsia="Arial"/>
        </w:rPr>
        <w:t>The Agent Marketplace shall allow approved agents, tools, workflows, and domain capabilities to be discovered and deployed under governance. Packages must declare publisher, purpose, permissions, model dependencies, data use, evaluation evidence, compatibility, cost, limitations, licensing, update policy, and revocation. Execution shall occur in a sandbox and customer policy shall control installation and activation.</w:t>
      </w:r>
    </w:p>
    <w:p>
      <w:pPr>
        <w:pStyle w:val="Heading2"/>
        <w:keepNext/>
      </w:pPr>
      <w:r>
        <w:rPr>
          <w:rFonts w:ascii="Arial" w:hAnsi="Arial" w:eastAsia="Arial"/>
          <w:b/>
          <w:color w:val="0B2545"/>
          <w:sz w:val="27"/>
        </w:rPr>
        <w:t>Scenario Marketplace</w:t>
      </w:r>
    </w:p>
    <w:p>
      <w:r>
        <w:rPr>
          <w:rFonts w:ascii="Arial" w:hAnsi="Arial" w:eastAsia="Arial"/>
        </w:rPr>
        <w:t>The Scenario Marketplace shall distribute scenario frameworks, indicators, models, assumptions, and monitoring logic as governed packages. Marketplace quality is not established by popularity alone; validation evidence, update cadence, domain fitness, publisher accountability, and customer-specific calibration must be visible.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C-032  Proactive intelligence</w:t>
            </w:r>
          </w:p>
          <w:p>
            <w:pPr>
              <w:spacing w:after="40" w:line="250" w:lineRule="auto"/>
            </w:pPr>
            <w:r>
              <w:rPr>
                <w:rFonts w:ascii="Arial" w:hAnsi="Arial" w:eastAsia="Arial"/>
                <w:b/>
                <w:color w:val="0B2545"/>
                <w:sz w:val="18"/>
              </w:rPr>
              <w:t>C-033  Early-warning discipline</w:t>
            </w:r>
          </w:p>
          <w:p>
            <w:pPr>
              <w:spacing w:after="40" w:line="250" w:lineRule="auto"/>
            </w:pPr>
            <w:r>
              <w:rPr>
                <w:rFonts w:ascii="Arial" w:hAnsi="Arial" w:eastAsia="Arial"/>
                <w:b/>
                <w:color w:val="0B2545"/>
                <w:sz w:val="18"/>
              </w:rPr>
              <w:t>C-034  Decomposable Strategic Health Score</w:t>
            </w:r>
          </w:p>
          <w:p>
            <w:pPr>
              <w:spacing w:after="40" w:line="250" w:lineRule="auto"/>
            </w:pPr>
            <w:r>
              <w:rPr>
                <w:rFonts w:ascii="Arial" w:hAnsi="Arial" w:eastAsia="Arial"/>
                <w:b/>
                <w:color w:val="0B2545"/>
                <w:sz w:val="18"/>
              </w:rPr>
              <w:t>C-046  Governed marketplaces</w:t>
            </w:r>
          </w:p>
        </w:tc>
      </w:tr>
    </w:tbl>
    <w:p>
      <w:pPr>
        <w:pStyle w:val="Heading1"/>
        <w:keepNext/>
        <w:pageBreakBefore/>
      </w:pPr>
      <w:r>
        <w:rPr>
          <w:rFonts w:ascii="Arial" w:hAnsi="Arial" w:eastAsia="Arial"/>
          <w:b/>
          <w:color w:val="0B2545"/>
          <w:sz w:val="36"/>
        </w:rPr>
        <w:t>25  Product Experience and Operational Quality</w:t>
      </w:r>
    </w:p>
    <w:p>
      <w:pPr>
        <w:pStyle w:val="EyeLead"/>
        <w:keepLines/>
      </w:pPr>
      <w:r>
        <w:rPr>
          <w:rFonts w:ascii="Arial" w:hAnsi="Arial" w:eastAsia="Arial"/>
          <w:color w:val="0B2545"/>
          <w:sz w:val="25"/>
        </w:rPr>
        <w:t>The interface must make strategic complexity governable without pretending that complexity has disappeared.</w:t>
      </w:r>
    </w:p>
    <w:p>
      <w:pPr>
        <w:pStyle w:val="Heading2"/>
        <w:keepNext/>
      </w:pPr>
      <w:r>
        <w:rPr>
          <w:rFonts w:ascii="Arial" w:hAnsi="Arial" w:eastAsia="Arial"/>
          <w:b/>
          <w:color w:val="0B2545"/>
          <w:sz w:val="27"/>
        </w:rPr>
        <w:t>Experience hierarchy</w:t>
      </w:r>
    </w:p>
    <w:p>
      <w:r>
        <w:rPr>
          <w:rFonts w:ascii="Arial" w:hAnsi="Arial" w:eastAsia="Arial"/>
        </w:rPr>
        <w:t>The primary experience hierarchy is objective, change, evidence, implication, scenario, decision, action, and outcome. Users should enter the system through the work they are accountable for, not through the database technology underneath it. Every view shall make as-of time, truth state, confidence, provenance, policy, and decision status available at the point where interpretation occurs.</w:t>
      </w:r>
    </w:p>
    <w:p>
      <w:pPr>
        <w:pStyle w:val="Heading2"/>
        <w:keepNext/>
      </w:pPr>
      <w:r>
        <w:rPr>
          <w:rFonts w:ascii="Arial" w:hAnsi="Arial" w:eastAsia="Arial"/>
          <w:b/>
          <w:color w:val="0B2545"/>
          <w:sz w:val="27"/>
        </w:rPr>
        <w:t>Role-specific operation</w:t>
      </w:r>
    </w:p>
    <w:p>
      <w:r>
        <w:rPr>
          <w:rFonts w:ascii="Arial" w:hAnsi="Arial" w:eastAsia="Arial"/>
        </w:rPr>
        <w:t>Executives require materiality, choices, consequence, commitments, and review. Analysts require evidence, methods, graph context, uncertainty, and challenge tools. Operators require actions, thresholds, workflow state, and escalation. Domain experts require semantic and model inspection. Administrators require identity, policy, deployment, health, and lifecycle control. Governance teams require audit, evaluation, rights, and exception management. These are different operating views over one system of record.</w:t>
      </w:r>
    </w:p>
    <w:p>
      <w:pPr>
        <w:pStyle w:val="Heading2"/>
        <w:keepNext/>
      </w:pPr>
      <w:r>
        <w:rPr>
          <w:rFonts w:ascii="Arial" w:hAnsi="Arial" w:eastAsia="Arial"/>
          <w:b/>
          <w:color w:val="0B2545"/>
          <w:sz w:val="27"/>
        </w:rPr>
        <w:t>Explainability by interaction</w:t>
      </w:r>
    </w:p>
    <w:p>
      <w:r>
        <w:rPr>
          <w:rFonts w:ascii="Arial" w:hAnsi="Arial" w:eastAsia="Arial"/>
        </w:rPr>
        <w:t>Explanations shall be layered. An executive can begin with a concise basis and material uncertainty; an analyst can descend into model drivers, competing hypotheses, source evidence, and sensitivity; an auditor can reconstruct lineage and approval. Simplification shall reduce cognitive load without removing facts that would change a reasonable decision.</w:t>
      </w:r>
    </w:p>
    <w:p>
      <w:pPr>
        <w:pStyle w:val="Heading2"/>
        <w:keepNext/>
      </w:pPr>
      <w:r>
        <w:rPr>
          <w:rFonts w:ascii="Arial" w:hAnsi="Arial" w:eastAsia="Arial"/>
          <w:b/>
          <w:color w:val="0B2545"/>
          <w:sz w:val="27"/>
        </w:rPr>
        <w:t>Operational quality attributes</w:t>
      </w:r>
    </w:p>
    <w:p>
      <w:r>
        <w:rPr>
          <w:rFonts w:ascii="Arial" w:hAnsi="Arial" w:eastAsia="Arial"/>
        </w:rPr>
        <w:t>Reliability, performance, scalability, freshness, accuracy, calibration, robustness, reproducibility, explainability, security, privacy, sovereignty, accessibility, interoperability, portability, observability, maintainability, and cost efficiency are product qualities. Later volumes shall define measurable objectives, error budgets, acceptance gates, and operating procedures for each material workflow.</w:t>
      </w:r>
    </w:p>
    <w:p>
      <w:pPr>
        <w:pStyle w:val="Heading2"/>
        <w:keepNext/>
      </w:pPr>
      <w:r>
        <w:rPr>
          <w:rFonts w:ascii="Arial" w:hAnsi="Arial" w:eastAsia="Arial"/>
          <w:b/>
          <w:color w:val="0B2545"/>
          <w:sz w:val="27"/>
        </w:rPr>
        <w:t>Failure communication</w:t>
      </w:r>
    </w:p>
    <w:p>
      <w:r>
        <w:rPr>
          <w:rFonts w:ascii="Arial" w:hAnsi="Arial" w:eastAsia="Arial"/>
        </w:rPr>
        <w:t>The product shall expose missing data, stale data, failed agents, unavailable models, incomplete twins, weak provenance, policy denials, evaluation gaps, and simulation limits in language appropriate to the user. A graceful interface that hides degraded intelligence is a product failure.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C-047  Experience integrity</w:t>
            </w:r>
          </w:p>
          <w:p>
            <w:pPr>
              <w:spacing w:after="40" w:line="250" w:lineRule="auto"/>
            </w:pPr>
            <w:r>
              <w:rPr>
                <w:rFonts w:ascii="Arial" w:hAnsi="Arial" w:eastAsia="Arial"/>
                <w:b/>
                <w:color w:val="0B2545"/>
                <w:sz w:val="18"/>
              </w:rPr>
              <w:t>C-048  Role and accessibility clarity</w:t>
            </w:r>
          </w:p>
          <w:p>
            <w:pPr>
              <w:spacing w:after="40" w:line="250" w:lineRule="auto"/>
            </w:pPr>
            <w:r>
              <w:rPr>
                <w:rFonts w:ascii="Arial" w:hAnsi="Arial" w:eastAsia="Arial"/>
                <w:b/>
                <w:color w:val="0B2545"/>
                <w:sz w:val="18"/>
              </w:rPr>
              <w:t>C-049  Operational quality contract</w:t>
            </w:r>
          </w:p>
        </w:tc>
      </w:tr>
    </w:tbl>
    <w:p>
      <w:r>
        <w:br w:type="page"/>
      </w:r>
    </w:p>
    <w:p>
      <w:pPr>
        <w:spacing w:before="2400" w:after="320"/>
      </w:pPr>
      <w:r>
        <w:rPr>
          <w:rFonts w:ascii="Arial" w:hAnsi="Arial" w:eastAsia="Arial"/>
          <w:b/>
          <w:caps/>
          <w:color w:val="007E80"/>
          <w:sz w:val="20"/>
        </w:rPr>
        <w:t>PART IV</w:t>
      </w:r>
    </w:p>
    <w:p>
      <w:pPr>
        <w:pStyle w:val="EyePart"/>
      </w:pPr>
      <w:r>
        <w:rPr>
          <w:rFonts w:ascii="Arial" w:hAnsi="Arial" w:eastAsia="Arial"/>
          <w:b/>
          <w:color w:val="0B2545"/>
          <w:sz w:val="50"/>
        </w:rPr>
        <w:t>Governance and Inheritance</w:t>
      </w:r>
    </w:p>
    <w:p>
      <w:pPr>
        <w:pStyle w:val="EyePartSubtitle"/>
      </w:pPr>
      <w:r>
        <w:rPr>
          <w:rFonts w:ascii="Arial" w:hAnsi="Arial" w:eastAsia="Arial"/>
          <w:color w:val="566575"/>
          <w:sz w:val="24"/>
        </w:rPr>
        <w:t>The authority model, amendment process, and documentation controls that preserve one coherent product as The Eye grows.</w:t>
      </w:r>
    </w:p>
    <w:p>
      <w:pPr>
        <w:spacing w:before="560" w:after="0"/>
      </w:pPr>
      <w:r>
        <w:rPr>
          <w:rFonts w:ascii="Arial" w:hAnsi="Arial" w:eastAsia="Arial"/>
          <w:b/>
          <w:caps/>
          <w:color w:val="007E80"/>
          <w:sz w:val="17"/>
        </w:rPr>
        <w:t>THE EYE  /  THE OPERATING SYSTEM FOR STRATEGIC INTELLIGENCE</w:t>
      </w:r>
    </w:p>
    <w:p>
      <w:pPr>
        <w:pStyle w:val="Heading1"/>
        <w:keepNext/>
        <w:pageBreakBefore/>
      </w:pPr>
      <w:r>
        <w:rPr>
          <w:rFonts w:ascii="Arial" w:hAnsi="Arial" w:eastAsia="Arial"/>
          <w:b/>
          <w:color w:val="0B2545"/>
          <w:sz w:val="36"/>
        </w:rPr>
        <w:t>26  Decision Rights and Control System</w:t>
      </w:r>
    </w:p>
    <w:p>
      <w:pPr>
        <w:pStyle w:val="EyeLead"/>
        <w:keepLines/>
      </w:pPr>
      <w:r>
        <w:rPr>
          <w:rFonts w:ascii="Arial" w:hAnsi="Arial" w:eastAsia="Arial"/>
          <w:color w:val="0B2545"/>
          <w:sz w:val="25"/>
        </w:rPr>
        <w:t>Governance must be executable. The Eye shall encode authority, policy, review, exception, and accountability into the operating model rather than depend on informal memory.</w:t>
      </w:r>
    </w:p>
    <w:p>
      <w:pPr>
        <w:pStyle w:val="Heading2"/>
        <w:keepNext/>
      </w:pPr>
      <w:r>
        <w:rPr>
          <w:rFonts w:ascii="Arial" w:hAnsi="Arial" w:eastAsia="Arial"/>
          <w:b/>
          <w:color w:val="0B2545"/>
          <w:sz w:val="27"/>
        </w:rPr>
        <w:t>Institutional decision rights</w:t>
      </w:r>
    </w:p>
    <w:p>
      <w:pPr>
        <w:pStyle w:val="EyeDefinition"/>
      </w:pPr>
      <w:r>
        <w:rPr>
          <w:rFonts w:ascii="Arial" w:hAnsi="Arial" w:eastAsia="Arial"/>
          <w:b/>
          <w:color w:val="0B2545"/>
        </w:rPr>
        <w:t xml:space="preserve">Business authority. </w:t>
      </w:r>
      <w:r>
        <w:rPr>
          <w:rFonts w:ascii="Arial" w:hAnsi="Arial" w:eastAsia="Arial"/>
        </w:rPr>
        <w:t>Owns strategic objectives, risk appetite, decision mandates, and acceptance of business consequences.</w:t>
      </w:r>
    </w:p>
    <w:p>
      <w:pPr>
        <w:pStyle w:val="EyeDefinition"/>
      </w:pPr>
      <w:r>
        <w:rPr>
          <w:rFonts w:ascii="Arial" w:hAnsi="Arial" w:eastAsia="Arial"/>
          <w:b/>
          <w:color w:val="0B2545"/>
        </w:rPr>
        <w:t xml:space="preserve">Domain authority. </w:t>
      </w:r>
      <w:r>
        <w:rPr>
          <w:rFonts w:ascii="Arial" w:hAnsi="Arial" w:eastAsia="Arial"/>
        </w:rPr>
        <w:t>Owns domain meaning, assumptions, methods, and professional standards.</w:t>
      </w:r>
    </w:p>
    <w:p>
      <w:pPr>
        <w:pStyle w:val="EyeDefinition"/>
      </w:pPr>
      <w:r>
        <w:rPr>
          <w:rFonts w:ascii="Arial" w:hAnsi="Arial" w:eastAsia="Arial"/>
          <w:b/>
          <w:color w:val="0B2545"/>
        </w:rPr>
        <w:t xml:space="preserve">Data authority. </w:t>
      </w:r>
      <w:r>
        <w:rPr>
          <w:rFonts w:ascii="Arial" w:hAnsi="Arial" w:eastAsia="Arial"/>
        </w:rPr>
        <w:t>Owns lawful access, quality, stewardship, retention, and permitted use of data products.</w:t>
      </w:r>
    </w:p>
    <w:p>
      <w:pPr>
        <w:pStyle w:val="EyeDefinition"/>
      </w:pPr>
      <w:r>
        <w:rPr>
          <w:rFonts w:ascii="Arial" w:hAnsi="Arial" w:eastAsia="Arial"/>
          <w:b/>
          <w:color w:val="0B2545"/>
        </w:rPr>
        <w:t xml:space="preserve">Model authority. </w:t>
      </w:r>
      <w:r>
        <w:rPr>
          <w:rFonts w:ascii="Arial" w:hAnsi="Arial" w:eastAsia="Arial"/>
        </w:rPr>
        <w:t>Owns validation, approved use, limitations, evaluation, release, and retirement of models.</w:t>
      </w:r>
    </w:p>
    <w:p>
      <w:pPr>
        <w:pStyle w:val="EyeDefinition"/>
      </w:pPr>
      <w:r>
        <w:rPr>
          <w:rFonts w:ascii="Arial" w:hAnsi="Arial" w:eastAsia="Arial"/>
          <w:b/>
          <w:color w:val="0B2545"/>
        </w:rPr>
        <w:t xml:space="preserve">Security and privacy authority. </w:t>
      </w:r>
      <w:r>
        <w:rPr>
          <w:rFonts w:ascii="Arial" w:hAnsi="Arial" w:eastAsia="Arial"/>
        </w:rPr>
        <w:t>Owns security posture, threat response, privacy obligations, classification, and exceptions.</w:t>
      </w:r>
    </w:p>
    <w:p>
      <w:pPr>
        <w:pStyle w:val="EyeDefinition"/>
      </w:pPr>
      <w:r>
        <w:rPr>
          <w:rFonts w:ascii="Arial" w:hAnsi="Arial" w:eastAsia="Arial"/>
          <w:b/>
          <w:color w:val="0B2545"/>
        </w:rPr>
        <w:t xml:space="preserve">Platform authority. </w:t>
      </w:r>
      <w:r>
        <w:rPr>
          <w:rFonts w:ascii="Arial" w:hAnsi="Arial" w:eastAsia="Arial"/>
        </w:rPr>
        <w:t>Owns architectural conformance, service health, deployment, compatibility, and technical lifecycle.</w:t>
      </w:r>
    </w:p>
    <w:p>
      <w:pPr>
        <w:pStyle w:val="EyeDefinition"/>
      </w:pPr>
      <w:r>
        <w:rPr>
          <w:rFonts w:ascii="Arial" w:hAnsi="Arial" w:eastAsia="Arial"/>
          <w:b/>
          <w:color w:val="0B2545"/>
        </w:rPr>
        <w:t xml:space="preserve">Human decision authority. </w:t>
      </w:r>
      <w:r>
        <w:rPr>
          <w:rFonts w:ascii="Arial" w:hAnsi="Arial" w:eastAsia="Arial"/>
        </w:rPr>
        <w:t>Owns the final strategic or high-impact decision and its recorded rationale.</w:t>
      </w:r>
    </w:p>
    <w:p>
      <w:pPr>
        <w:pStyle w:val="Heading2"/>
        <w:keepNext/>
      </w:pPr>
      <w:r>
        <w:rPr>
          <w:rFonts w:ascii="Arial" w:hAnsi="Arial" w:eastAsia="Arial"/>
          <w:b/>
          <w:color w:val="0B2545"/>
          <w:sz w:val="27"/>
        </w:rPr>
        <w:t>Policy as executable control</w:t>
      </w:r>
    </w:p>
    <w:p>
      <w:r>
        <w:rPr>
          <w:rFonts w:ascii="Arial" w:hAnsi="Arial" w:eastAsia="Arial"/>
        </w:rPr>
        <w:t>Policies shall be represented in human-readable and machine-enforceable forms where practical. They may govern source use, data access, model eligibility, agent tools, spending, jurisdictions, classification, retention, export, approval, simulation, marketplace installation, and external side effects. Policy decisions must return reasons, applicable rules, accountable owners, and appeal or exception paths.</w:t>
      </w:r>
    </w:p>
    <w:p>
      <w:pPr>
        <w:pStyle w:val="Heading2"/>
        <w:keepNext/>
      </w:pPr>
      <w:r>
        <w:rPr>
          <w:rFonts w:ascii="Arial" w:hAnsi="Arial" w:eastAsia="Arial"/>
          <w:b/>
          <w:color w:val="0B2545"/>
          <w:sz w:val="27"/>
        </w:rPr>
        <w:t>Exception governance</w:t>
      </w:r>
    </w:p>
    <w:p>
      <w:r>
        <w:rPr>
          <w:rFonts w:ascii="Arial" w:hAnsi="Arial" w:eastAsia="Arial"/>
        </w:rPr>
        <w:t>Exceptions shall be explicit, narrow, time-bounded, approved by the correct authority, linked to compensating controls, and automatically reviewed at expiry. An exception may not silently redefine the architecture or become permanent through repeated renewal without constitutional or policy review.</w:t>
      </w:r>
    </w:p>
    <w:p>
      <w:pPr>
        <w:pStyle w:val="Heading2"/>
        <w:keepNext/>
      </w:pPr>
      <w:r>
        <w:rPr>
          <w:rFonts w:ascii="Arial" w:hAnsi="Arial" w:eastAsia="Arial"/>
          <w:b/>
          <w:color w:val="0B2545"/>
          <w:sz w:val="27"/>
        </w:rPr>
        <w:t>Kill and containment controls</w:t>
      </w:r>
    </w:p>
    <w:p>
      <w:r>
        <w:rPr>
          <w:rFonts w:ascii="Arial" w:hAnsi="Arial" w:eastAsia="Arial"/>
        </w:rPr>
        <w:t>Authorized operators shall be able to suspend agents, models, connectors, workflows, marketplace packages, exports, and external actions at appropriate scopes. Containment must preserve evidence and audit, identify affected outputs, and support safe recovery. Emergency controls shall themselves be protected against misuse and tested regularly.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C-004  Human decision sovereignty</w:t>
            </w:r>
          </w:p>
          <w:p>
            <w:pPr>
              <w:spacing w:after="40" w:line="250" w:lineRule="auto"/>
            </w:pPr>
            <w:r>
              <w:rPr>
                <w:rFonts w:ascii="Arial" w:hAnsi="Arial" w:eastAsia="Arial"/>
                <w:b/>
                <w:color w:val="0B2545"/>
                <w:sz w:val="18"/>
              </w:rPr>
              <w:t>C-028  Bounded agent authority</w:t>
            </w:r>
          </w:p>
          <w:p>
            <w:pPr>
              <w:spacing w:after="40" w:line="250" w:lineRule="auto"/>
            </w:pPr>
            <w:r>
              <w:rPr>
                <w:rFonts w:ascii="Arial" w:hAnsi="Arial" w:eastAsia="Arial"/>
                <w:b/>
                <w:color w:val="0B2545"/>
                <w:sz w:val="18"/>
              </w:rPr>
              <w:t>C-036  Non-repudiable accountability</w:t>
            </w:r>
          </w:p>
        </w:tc>
      </w:tr>
    </w:tbl>
    <w:p>
      <w:pPr>
        <w:pStyle w:val="Heading1"/>
        <w:keepNext/>
        <w:pageBreakBefore/>
      </w:pPr>
      <w:r>
        <w:rPr>
          <w:rFonts w:ascii="Arial" w:hAnsi="Arial" w:eastAsia="Arial"/>
          <w:b/>
          <w:color w:val="0B2545"/>
          <w:sz w:val="36"/>
        </w:rPr>
        <w:t>27  Change and Constitutional Amendment</w:t>
      </w:r>
    </w:p>
    <w:p>
      <w:pPr>
        <w:pStyle w:val="EyeLead"/>
        <w:keepLines/>
      </w:pPr>
      <w:r>
        <w:rPr>
          <w:rFonts w:ascii="Arial" w:hAnsi="Arial" w:eastAsia="Arial"/>
          <w:color w:val="0B2545"/>
          <w:sz w:val="25"/>
        </w:rPr>
        <w:t>The architecture is frozen, not static. Innovation continues beneath stable commitments; changes to the commitments require deliberate constitutional action.</w:t>
      </w:r>
    </w:p>
    <w:p>
      <w:pPr>
        <w:pStyle w:val="Heading2"/>
        <w:keepNext/>
      </w:pPr>
      <w:r>
        <w:rPr>
          <w:rFonts w:ascii="Arial" w:hAnsi="Arial" w:eastAsia="Arial"/>
          <w:b/>
          <w:color w:val="0B2545"/>
          <w:sz w:val="27"/>
        </w:rPr>
        <w:t>Change classes</w:t>
      </w:r>
    </w:p>
    <w:tbl>
      <w:tblPr>
        <w:tblW w:type="dxa" w:w="9360"/>
        <w:jc w:val="left"/>
        <w:tblLayout w:type="fixed"/>
        <w:tblLook w:firstColumn="1" w:firstRow="1" w:lastColumn="0" w:lastRow="0" w:noHBand="0" w:noVBand="1" w:val="04A0"/>
        <w:tblInd w:w="120" w:type="dxa"/>
      </w:tblPr>
      <w:tblGrid>
        <w:gridCol w:w="1500"/>
        <w:gridCol w:w="3460"/>
        <w:gridCol w:w="4400"/>
      </w:tblGrid>
      <w:tr>
        <w:trPr>
          <w:tblHeader w:val="true"/>
          <w:cantSplit/>
        </w:trPr>
        <w:tc>
          <w:tcPr>
            <w:tcW w:type="dxa" w:w="15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CLASS</w:t>
            </w:r>
          </w:p>
        </w:tc>
        <w:tc>
          <w:tcPr>
            <w:tcW w:type="dxa" w:w="346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EXAMPLES</w:t>
            </w:r>
          </w:p>
        </w:tc>
        <w:tc>
          <w:tcPr>
            <w:tcW w:type="dxa" w:w="44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REQUIRED GOVERNANCE</w:t>
            </w:r>
          </w:p>
        </w:tc>
      </w:tr>
      <w:tr>
        <w:trPr>
          <w:cantSplit/>
        </w:trPr>
        <w:tc>
          <w:tcPr>
            <w:tcW w:type="dxa" w:w="15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Constitutional</w:t>
            </w:r>
          </w:p>
        </w:tc>
        <w:tc>
          <w:tcPr>
            <w:tcW w:type="dxa" w:w="34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Mission, category, principles, human authority, canonical layers, core semantics, deployment modes, horizons</w:t>
            </w:r>
          </w:p>
        </w:tc>
        <w:tc>
          <w:tcPr>
            <w:tcW w:type="dxa" w:w="44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Formal amendment, cross-volume impact analysis, founding authority ratification, new constitution version.</w:t>
            </w:r>
          </w:p>
        </w:tc>
      </w:tr>
      <w:tr>
        <w:trPr>
          <w:cantSplit/>
        </w:trPr>
        <w:tc>
          <w:tcPr>
            <w:tcW w:type="dxa" w:w="15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Architectural</w:t>
            </w:r>
          </w:p>
        </w:tc>
        <w:tc>
          <w:tcPr>
            <w:tcW w:type="dxa" w:w="34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Service boundaries, data stores, orchestration patterns, model gateways, control-plane topology</w:t>
            </w:r>
          </w:p>
        </w:tc>
        <w:tc>
          <w:tcPr>
            <w:tcW w:type="dxa" w:w="44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Architecture decision record, conformance analysis, security and operability review.</w:t>
            </w:r>
          </w:p>
        </w:tc>
      </w:tr>
      <w:tr>
        <w:trPr>
          <w:cantSplit/>
        </w:trPr>
        <w:tc>
          <w:tcPr>
            <w:tcW w:type="dxa" w:w="15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Implementation</w:t>
            </w:r>
          </w:p>
        </w:tc>
        <w:tc>
          <w:tcPr>
            <w:tcW w:type="dxa" w:w="34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Libraries, algorithms, UI components, deployment scripts, connector revisions</w:t>
            </w:r>
          </w:p>
        </w:tc>
        <w:tc>
          <w:tcPr>
            <w:tcW w:type="dxa" w:w="44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Normal engineering review, testing, release, observability, and rollback.</w:t>
            </w:r>
          </w:p>
        </w:tc>
      </w:tr>
      <w:tr>
        <w:trPr>
          <w:cantSplit/>
        </w:trPr>
        <w:tc>
          <w:tcPr>
            <w:tcW w:type="dxa" w:w="15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Configuration</w:t>
            </w:r>
          </w:p>
        </w:tc>
        <w:tc>
          <w:tcPr>
            <w:tcW w:type="dxa" w:w="34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Tenant policy, thresholds, source selection, roles, models, workflows, domain packs</w:t>
            </w:r>
          </w:p>
        </w:tc>
        <w:tc>
          <w:tcPr>
            <w:tcW w:type="dxa" w:w="44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Authorized customer or operator change with audit and policy validation.</w:t>
            </w:r>
          </w:p>
        </w:tc>
      </w:tr>
    </w:tbl>
    <w:p>
      <w:pPr>
        <w:pStyle w:val="Heading2"/>
        <w:keepNext/>
      </w:pPr>
      <w:r>
        <w:rPr>
          <w:rFonts w:ascii="Arial" w:hAnsi="Arial" w:eastAsia="Arial"/>
          <w:b/>
          <w:color w:val="0B2545"/>
          <w:sz w:val="27"/>
        </w:rPr>
        <w:t>Amendment procedure</w:t>
      </w:r>
    </w:p>
    <w:p>
      <w:pPr>
        <w:numPr>
          <w:ilvl w:val="0"/>
          <w:numId w:val="15"/>
        </w:numPr>
        <w:spacing w:after="160" w:line="280" w:lineRule="auto"/>
        <w:ind w:left="720" w:hanging="360"/>
      </w:pPr>
      <w:r>
        <w:rPr>
          <w:rFonts w:ascii="Arial" w:hAnsi="Arial" w:eastAsia="Arial"/>
        </w:rPr>
        <w:t>State the proposed amendment and the strategic problem it addresses.</w:t>
      </w:r>
    </w:p>
    <w:p>
      <w:pPr>
        <w:numPr>
          <w:ilvl w:val="0"/>
          <w:numId w:val="15"/>
        </w:numPr>
        <w:spacing w:after="160" w:line="280" w:lineRule="auto"/>
        <w:ind w:left="720" w:hanging="360"/>
      </w:pPr>
      <w:r>
        <w:rPr>
          <w:rFonts w:ascii="Arial" w:hAnsi="Arial" w:eastAsia="Arial"/>
        </w:rPr>
        <w:t>Identify every affected invariant, canonical term, architecture layer, product capability, customer promise, control, and documentation volume.</w:t>
      </w:r>
    </w:p>
    <w:p>
      <w:pPr>
        <w:numPr>
          <w:ilvl w:val="0"/>
          <w:numId w:val="15"/>
        </w:numPr>
        <w:spacing w:after="160" w:line="280" w:lineRule="auto"/>
        <w:ind w:left="720" w:hanging="360"/>
      </w:pPr>
      <w:r>
        <w:rPr>
          <w:rFonts w:ascii="Arial" w:hAnsi="Arial" w:eastAsia="Arial"/>
        </w:rPr>
        <w:t>Assess security, privacy, sovereignty, responsible-use, interoperability, operational, commercial, and migration consequences.</w:t>
      </w:r>
    </w:p>
    <w:p>
      <w:pPr>
        <w:numPr>
          <w:ilvl w:val="0"/>
          <w:numId w:val="15"/>
        </w:numPr>
        <w:spacing w:after="160" w:line="280" w:lineRule="auto"/>
        <w:ind w:left="720" w:hanging="360"/>
      </w:pPr>
      <w:r>
        <w:rPr>
          <w:rFonts w:ascii="Arial" w:hAnsi="Arial" w:eastAsia="Arial"/>
        </w:rPr>
        <w:t>Document alternatives considered and why implementation-level change is insufficient.</w:t>
      </w:r>
    </w:p>
    <w:p>
      <w:pPr>
        <w:numPr>
          <w:ilvl w:val="0"/>
          <w:numId w:val="15"/>
        </w:numPr>
        <w:spacing w:after="160" w:line="280" w:lineRule="auto"/>
        <w:ind w:left="720" w:hanging="360"/>
      </w:pPr>
      <w:r>
        <w:rPr>
          <w:rFonts w:ascii="Arial" w:hAnsi="Arial" w:eastAsia="Arial"/>
        </w:rPr>
        <w:t>Obtain review from product, architecture, engineering, AI, data, security, governance, design, and commercial authorities appropriate to impact.</w:t>
      </w:r>
    </w:p>
    <w:p>
      <w:pPr>
        <w:numPr>
          <w:ilvl w:val="0"/>
          <w:numId w:val="15"/>
        </w:numPr>
        <w:spacing w:after="160" w:line="280" w:lineRule="auto"/>
        <w:ind w:left="720" w:hanging="360"/>
      </w:pPr>
      <w:r>
        <w:rPr>
          <w:rFonts w:ascii="Arial" w:hAnsi="Arial" w:eastAsia="Arial"/>
        </w:rPr>
        <w:t>Ratify through the designated founding or successor constitutional authority; publish a new version, migration position, and supersession record.</w:t>
      </w:r>
    </w:p>
    <w:p>
      <w:pPr>
        <w:pStyle w:val="Heading2"/>
        <w:keepNext/>
      </w:pPr>
      <w:r>
        <w:rPr>
          <w:rFonts w:ascii="Arial" w:hAnsi="Arial" w:eastAsia="Arial"/>
          <w:b/>
          <w:color w:val="0B2545"/>
          <w:sz w:val="27"/>
        </w:rPr>
        <w:t>No amendment by implementation</w:t>
      </w:r>
    </w:p>
    <w:p>
      <w:r>
        <w:rPr>
          <w:rFonts w:ascii="Arial" w:hAnsi="Arial" w:eastAsia="Arial"/>
        </w:rPr>
        <w:t>A prototype, customer exception, model capability, vendor constraint, commercial deadline, or widely used workaround does not amend this constitution. If implementation cannot conform, the conflict shall be recorded and resolved through architecture change, scope adjustment, or formal amendment. Concealing the conflict is prohibited.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C-051  Constitutional change control</w:t>
            </w:r>
          </w:p>
        </w:tc>
      </w:tr>
    </w:tbl>
    <w:p>
      <w:pPr>
        <w:pStyle w:val="Heading1"/>
        <w:keepNext/>
        <w:pageBreakBefore/>
      </w:pPr>
      <w:r>
        <w:rPr>
          <w:rFonts w:ascii="Arial" w:hAnsi="Arial" w:eastAsia="Arial"/>
          <w:b/>
          <w:color w:val="0B2545"/>
          <w:sz w:val="36"/>
        </w:rPr>
        <w:t>28  Documentation Program and Inheritance</w:t>
      </w:r>
    </w:p>
    <w:p>
      <w:pPr>
        <w:pStyle w:val="EyeLead"/>
        <w:keepLines/>
      </w:pPr>
      <w:r>
        <w:rPr>
          <w:rFonts w:ascii="Arial" w:hAnsi="Arial" w:eastAsia="Arial"/>
          <w:color w:val="0B2545"/>
          <w:sz w:val="25"/>
        </w:rPr>
        <w:t>The documentation program is one controlled architecture expressed at different levels of detail. Each volume has a distinct job; none is permitted to invent a different product.</w:t>
      </w:r>
    </w:p>
    <w:tbl>
      <w:tblPr>
        <w:tblW w:type="dxa" w:w="9360"/>
        <w:jc w:val="left"/>
        <w:tblLayout w:type="fixed"/>
        <w:tblLook w:firstColumn="1" w:firstRow="1" w:lastColumn="0" w:lastRow="0" w:noHBand="0" w:noVBand="1" w:val="04A0"/>
        <w:tblInd w:w="120" w:type="dxa"/>
      </w:tblPr>
      <w:tblGrid>
        <w:gridCol w:w="1000"/>
        <w:gridCol w:w="2800"/>
        <w:gridCol w:w="5560"/>
      </w:tblGrid>
      <w:tr>
        <w:trPr>
          <w:tblHeader w:val="true"/>
          <w:cantSplit/>
        </w:trPr>
        <w:tc>
          <w:tcPr>
            <w:tcW w:type="dxa" w:w="10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VOLUME</w:t>
            </w:r>
          </w:p>
        </w:tc>
        <w:tc>
          <w:tcPr>
            <w:tcW w:type="dxa" w:w="28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CONTROLLED DOCUMENT</w:t>
            </w:r>
          </w:p>
        </w:tc>
        <w:tc>
          <w:tcPr>
            <w:tcW w:type="dxa" w:w="556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CONSTITUTIONAL ROLE</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0</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Product Constitution</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Governs mission, category, boundaries, principles, architecture invariants, authority, and terminology.</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1</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Executive Vision Book</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Translates the constitution into executive narrative, market relevance, institutional value, and strategic ambition.</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2</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Technical Presentation</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Communicates the end-to-end system, layer interactions, deployment posture, and technical differentiation visually.</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3</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Technical Architecture</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Defines logical architecture, component responsibilities, contracts, control planes, flows, and architecture decisions.</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4</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Engineering Specification</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Defines buildable services, interfaces, schemas, workflows, quality attributes, testing, delivery, and operations.</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5</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AI Architecture</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Defines models, agents, reasoning, forecasting, scenarios, simulation, evaluation, explainability, learning, and AI governance.</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6</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Infrastructure Architecture</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Defines SaaS, Private Cloud, and On-Premise deployment, security, networking, compute, storage, resilience, and operations.</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7</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Data Platform</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Defines source ingestion, data products, lakehouse and serving patterns, temporal and graph models, lineage, quality, and governance.</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8</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Product Requirements Document</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Defines personas, capabilities, workflows, requirements, acceptance criteria, releases, and measurable outcomes.</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9</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UI/UX Design System</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Defines information architecture, interaction models, strategic workspaces, visualization, accessibility, and design standards.</w:t>
            </w:r>
          </w:p>
        </w:tc>
      </w:tr>
      <w:tr>
        <w:trPr>
          <w:cantSplit/>
        </w:trPr>
        <w:tc>
          <w:tcPr>
            <w:tcW w:type="dxa" w:w="10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10</w:t>
            </w:r>
          </w:p>
        </w:tc>
        <w:tc>
          <w:tcPr>
            <w:tcW w:type="dxa" w:w="2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Investor Package</w:t>
            </w:r>
          </w:p>
        </w:tc>
        <w:tc>
          <w:tcPr>
            <w:tcW w:type="dxa" w:w="55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Presents market category, strategy, defensibility, business model, economics, roadmap, risks, governance, and capital plan.</w:t>
            </w:r>
          </w:p>
        </w:tc>
      </w:tr>
    </w:tbl>
    <w:p>
      <w:pPr>
        <w:pStyle w:val="Heading2"/>
        <w:keepNext/>
      </w:pPr>
      <w:r>
        <w:rPr>
          <w:rFonts w:ascii="Arial" w:hAnsi="Arial" w:eastAsia="Arial"/>
          <w:b/>
          <w:color w:val="0B2545"/>
          <w:sz w:val="27"/>
        </w:rPr>
        <w:t>Inheritance rules</w:t>
      </w:r>
    </w:p>
    <w:p>
      <w:pPr>
        <w:numPr>
          <w:ilvl w:val="0"/>
          <w:numId w:val="16"/>
        </w:numPr>
        <w:spacing w:after="160" w:line="280" w:lineRule="auto"/>
        <w:ind w:left="720" w:hanging="360"/>
      </w:pPr>
      <w:r>
        <w:rPr>
          <w:rFonts w:ascii="Arial" w:hAnsi="Arial" w:eastAsia="Arial"/>
        </w:rPr>
        <w:t>Every volume shall use the canonical product name, tagline, mission verbs, layer names, prediction horizons, deployment modes, and defined terms.</w:t>
      </w:r>
    </w:p>
    <w:p>
      <w:pPr>
        <w:numPr>
          <w:ilvl w:val="0"/>
          <w:numId w:val="16"/>
        </w:numPr>
        <w:spacing w:after="160" w:line="280" w:lineRule="auto"/>
        <w:ind w:left="720" w:hanging="360"/>
      </w:pPr>
      <w:r>
        <w:rPr>
          <w:rFonts w:ascii="Arial" w:hAnsi="Arial" w:eastAsia="Arial"/>
        </w:rPr>
        <w:t>Material requirements shall reference one or more C-xxx invariant IDs and may add traceable subordinate requirement IDs.</w:t>
      </w:r>
    </w:p>
    <w:p>
      <w:pPr>
        <w:numPr>
          <w:ilvl w:val="0"/>
          <w:numId w:val="16"/>
        </w:numPr>
        <w:spacing w:after="160" w:line="280" w:lineRule="auto"/>
        <w:ind w:left="720" w:hanging="360"/>
      </w:pPr>
      <w:r>
        <w:rPr>
          <w:rFonts w:ascii="Arial" w:hAnsi="Arial" w:eastAsia="Arial"/>
        </w:rPr>
        <w:t>A later volume may add detail but may not narrow a constitutional commitment without recording the conflict and amendment status.</w:t>
      </w:r>
    </w:p>
    <w:p>
      <w:pPr>
        <w:numPr>
          <w:ilvl w:val="0"/>
          <w:numId w:val="16"/>
        </w:numPr>
        <w:spacing w:after="160" w:line="280" w:lineRule="auto"/>
        <w:ind w:left="720" w:hanging="360"/>
      </w:pPr>
      <w:r>
        <w:rPr>
          <w:rFonts w:ascii="Arial" w:hAnsi="Arial" w:eastAsia="Arial"/>
        </w:rPr>
        <w:t>Diagrams shall preserve the ten-layer logical architecture even when they show cross-cutting planes, deployment components, or workflow paths.</w:t>
      </w:r>
    </w:p>
    <w:p>
      <w:pPr>
        <w:numPr>
          <w:ilvl w:val="0"/>
          <w:numId w:val="16"/>
        </w:numPr>
        <w:spacing w:after="160" w:line="280" w:lineRule="auto"/>
        <w:ind w:left="720" w:hanging="360"/>
      </w:pPr>
      <w:r>
        <w:rPr>
          <w:rFonts w:ascii="Arial" w:hAnsi="Arial" w:eastAsia="Arial"/>
        </w:rPr>
        <w:t>Examples and sector-specific material shall be labeled as examples, not silently promoted to universal architecture.</w:t>
      </w:r>
    </w:p>
    <w:p>
      <w:pPr>
        <w:numPr>
          <w:ilvl w:val="0"/>
          <w:numId w:val="16"/>
        </w:numPr>
        <w:spacing w:after="160" w:line="280" w:lineRule="auto"/>
        <w:ind w:left="720" w:hanging="360"/>
      </w:pPr>
      <w:r>
        <w:rPr>
          <w:rFonts w:ascii="Arial" w:hAnsi="Arial" w:eastAsia="Arial"/>
        </w:rPr>
        <w:t>Versions shall identify the constitution edition they inherit and the unresolved deviations, if any.</w:t>
      </w:r>
    </w:p>
    <w:p>
      <w:pPr>
        <w:pStyle w:val="Heading2"/>
        <w:keepNext/>
      </w:pPr>
      <w:r>
        <w:rPr>
          <w:rFonts w:ascii="Arial" w:hAnsi="Arial" w:eastAsia="Arial"/>
          <w:b/>
          <w:color w:val="0B2545"/>
          <w:sz w:val="27"/>
        </w:rPr>
        <w:t>Single terminology register</w:t>
      </w:r>
    </w:p>
    <w:p>
      <w:r>
        <w:rPr>
          <w:rFonts w:ascii="Arial" w:hAnsi="Arial" w:eastAsia="Arial"/>
        </w:rPr>
        <w:t>The glossary in Appendix A is the seed of the controlled terminology register. Later volumes may define additional terms, but each definition must identify its scope and relationship to existing terms. Synonyms may be used for audience readability only when the canonical term remains clear. Core terms shall not drift between product, engineering, AI, data, and investor materials.</w:t>
      </w:r>
    </w:p>
    <w:p>
      <w:pPr>
        <w:pStyle w:val="Heading2"/>
        <w:keepNext/>
      </w:pPr>
      <w:r>
        <w:rPr>
          <w:rFonts w:ascii="Arial" w:hAnsi="Arial" w:eastAsia="Arial"/>
          <w:b/>
          <w:color w:val="0B2545"/>
          <w:sz w:val="27"/>
        </w:rPr>
        <w:t>Traceability</w:t>
      </w:r>
    </w:p>
    <w:p>
      <w:r>
        <w:rPr>
          <w:rFonts w:ascii="Arial" w:hAnsi="Arial" w:eastAsia="Arial"/>
        </w:rPr>
        <w:t>Architecture components, engineering requirements, AI evaluations, data contracts, infrastructure controls, product requirements, interface patterns, and investor claims shall be traceable through a common identifier system. Traceability is not documentation overhead; it is the mechanism that proves the company is building the product it says it is building.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7FA"/>
            <w:tcBorders>
              <w:top w:val="single" w:sz="5" w:space="0" w:color="D8E0E8"/>
              <w:left w:val="single" w:sz="18" w:space="0" w:color="0B2545"/>
              <w:bottom w:val="single" w:sz="5" w:space="0" w:color="D8E0E8"/>
              <w:right w:val="single" w:sz="5" w:space="0" w:color="D8E0E8"/>
              <w:insideH w:val="single" w:sz="5" w:space="0" w:color="D8E0E8"/>
              <w:insideV w:val="single" w:sz="5" w:space="0" w:color="D8E0E8"/>
            </w:tcBorders>
            <w:vAlign w:val="center"/>
            <w:tcMar>
              <w:top w:w="80" w:type="dxa"/>
              <w:start w:w="120" w:type="dxa"/>
              <w:bottom w:w="80" w:type="dxa"/>
              <w:end w:w="120" w:type="dxa"/>
            </w:tcMar>
          </w:tcPr>
          <w:p>
            <w:pPr>
              <w:spacing w:after="100"/>
            </w:pPr>
            <w:r>
              <w:rPr>
                <w:rFonts w:ascii="Arial" w:hAnsi="Arial" w:eastAsia="Arial"/>
                <w:b/>
                <w:caps/>
                <w:color w:val="0B2545"/>
                <w:sz w:val="17"/>
              </w:rPr>
              <w:t>CONSTITUTIONAL INVARIANTS</w:t>
            </w:r>
          </w:p>
          <w:p>
            <w:pPr>
              <w:spacing w:after="40" w:line="250" w:lineRule="auto"/>
            </w:pPr>
            <w:r>
              <w:rPr>
                <w:rFonts w:ascii="Arial" w:hAnsi="Arial" w:eastAsia="Arial"/>
                <w:b/>
                <w:color w:val="0B2545"/>
                <w:sz w:val="18"/>
              </w:rPr>
              <w:t>C-052  Documentation inheritance</w:t>
            </w:r>
          </w:p>
          <w:p>
            <w:pPr>
              <w:spacing w:after="40" w:line="250" w:lineRule="auto"/>
            </w:pPr>
            <w:r>
              <w:rPr>
                <w:rFonts w:ascii="Arial" w:hAnsi="Arial" w:eastAsia="Arial"/>
                <w:b/>
                <w:color w:val="0B2545"/>
                <w:sz w:val="18"/>
              </w:rPr>
              <w:t>C-008  Ten-layer architecture</w:t>
            </w:r>
          </w:p>
          <w:p>
            <w:pPr>
              <w:spacing w:after="40" w:line="250" w:lineRule="auto"/>
            </w:pPr>
            <w:r>
              <w:rPr>
                <w:rFonts w:ascii="Arial" w:hAnsi="Arial" w:eastAsia="Arial"/>
                <w:b/>
                <w:color w:val="0B2545"/>
                <w:sz w:val="18"/>
              </w:rPr>
              <w:t>C-049  Operational quality contract</w:t>
            </w:r>
          </w:p>
        </w:tc>
      </w:tr>
    </w:tbl>
    <w:p>
      <w:pPr>
        <w:pStyle w:val="Heading1"/>
        <w:keepNext/>
        <w:pageBreakBefore/>
      </w:pPr>
      <w:r>
        <w:rPr>
          <w:rFonts w:ascii="Arial" w:hAnsi="Arial" w:eastAsia="Arial"/>
          <w:b/>
          <w:color w:val="0B2545"/>
          <w:sz w:val="36"/>
        </w:rPr>
        <w:t>A  Appendix A — Canonical Glossary</w:t>
      </w:r>
    </w:p>
    <w:p>
      <w:pPr>
        <w:pStyle w:val="EyeLead"/>
        <w:keepLines/>
      </w:pPr>
      <w:r>
        <w:rPr>
          <w:rFonts w:ascii="Arial" w:hAnsi="Arial" w:eastAsia="Arial"/>
          <w:color w:val="0B2545"/>
          <w:sz w:val="25"/>
        </w:rPr>
        <w:t>These definitions are normative across the documentation program. Later volumes may specialize them but shall not contradict them.</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TERM</w:t>
            </w:r>
          </w:p>
        </w:tc>
        <w:tc>
          <w:tcPr>
            <w:tcW w:type="dxa" w:w="716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CANONICAL DEFINITION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Agent</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bounded software actor that pursues an assigned objective using approved models, tools, data, permissions, budgets, and workflow controls.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Assessment</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time-bounded analytical judgment that synthesizes evidence and claims with confidence, assumptions, alternatives, and accountable authorship.</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Claim</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proposition asserted by a source, model, analyst, or institution and linked to supporting, contradicting, or unresolved evidence.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Decision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An accountable human commitment among alternatives under objectives, constraints, evidence, uncertainty, and authority.</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Decision Intelligence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layer that constructs and evaluates options, consequences, trade-offs, risk, opportunity, and strategic alignment for human decision.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Decision Replay</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Reconstruction of the knowledge, models, scenarios, recommendations, policy, and approvals available when a decision was made, compared with later outcomes.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Digital Twin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living, evidence-grounded, versioned representation of a strategic system with state, behavior, dependencies, models, assumptions, and validation.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Enterprise Memory</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governed durable memory of organizational and world evidence, context, analysis, workflows, decisions, actions, and outcomes.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Evidence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preserved observation obtained from an identified source with provenance, time, rights, and integrity information.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Executive Operating System</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decision-centred operating surface that coordinates strategic attention, objectives, evidence, scenarios, commitments, reviews, and outcomes.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Forecast</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calibrated estimate of a future variable, event, or state over a defined horizon, with distribution, confidence, drivers, assumptions, and evaluation.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Human Decision Authority</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named person or governed body accountable for the final decision and its rationale.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Hypothesis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testable explanation or expectation with evidence and indicators capable of strengthening, weakening, or falsifying it.</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Indicator</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monitored measure or event whose change informs a hypothesis, scenario, forecast, risk, opportunity, objective, or decision.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Intelligence Object</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governed, versioned object created by the strategic lifecycle, including evidence, claim, entity, event, assessment, forecast, scenario, simulation, recommendation, decision, or lesson.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Knowledge Graph</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temporal, provenance-rich semantic network connecting entities, events, claims, relationships, and strategic objects across The Eye.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Lesson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reviewed conclusion derived from comparing expectation, decision, action, and outcome, preserved for future use.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Model</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versioned computational or analytical representation used to extract, estimate, classify, reason, predict, optimize, or simulate within a declared operating envelope.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Observation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act and record of acquiring authorized evidence from an external or internal source at a known time.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Opportunity</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possible favorable deviation from objectives or baseline that may justify an option, investment, or action.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Outcome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An observed consequence following a decision or action, including intended, unintended, delayed, and second-order effects.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Provenance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traceable chain of source, custody, transformation, model, agent, human review, version, and policy behind an object.</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Recommendation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An explainable proposal for human consideration, compared with alternatives and linked to objectives, evidence, assumptions, uncertainty, and consequences.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Risk</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effect of uncertainty on an objective, expressed through exposure, likelihood, impact, velocity, duration, dependence, and controllability.</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Scenario</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coherent possible future defined by initial conditions, assumptions, drivers, uncertainties, actors, events, indicators, and impacts.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Signal</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detected change or pattern that may be relevant to a strategic object but has not necessarily reached warning or assessment status.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Simulation</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reproducible experiment that applies an intervention or shock to a model or Digital Twin under declared assumptions and constraints.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Strategic Health Score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transparent composite view of strategic condition whose components, weights, evidence, confidence, trend, and sensitivity are inspectable.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Strategic Intelligence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governed transformation of observations into connected understanding, foresight, simulations, explainable choices, and institutional learning.</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Strategic Memory</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decision-centric memory of objectives, assumptions, hypotheses, scenarios, forecasts, recommendations, decisions, outcomes, and lessons.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Strategic Intelligence Operating System</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persistent enterprise system coordinating data, knowledge, models, agents, twins, scenarios, simulations, decisions, and learning around a common governed representation of the world and organization.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Strategy Graph</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governed graph connecting objectives, indicators, assumptions, risks, opportunities, decisions, initiatives, capabilities, resources, owners, and outcomes.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Truth State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The explicit status of an object as observed, asserted, inferred, assessed, predicted, simulated, disputed, superseded, or approved.</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Weak Signal</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An early, incomplete, low-confidence, or cross-domain change that may become strategically material when combined with other evidence.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Workflow</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 versioned sequence or graph of human and agent work with inputs, outputs, policy, authority, checkpoints, failure handling, and audit.</w:t>
            </w:r>
          </w:p>
        </w:tc>
      </w:tr>
    </w:tbl>
    <w:p>
      <w:pPr>
        <w:pStyle w:val="Heading1"/>
        <w:keepNext/>
        <w:pageBreakBefore/>
      </w:pPr>
      <w:r>
        <w:rPr>
          <w:rFonts w:ascii="Arial" w:hAnsi="Arial" w:eastAsia="Arial"/>
          <w:b/>
          <w:color w:val="0B2545"/>
          <w:sz w:val="36"/>
        </w:rPr>
        <w:t>B  Appendix B — Source Coverage Constitution</w:t>
      </w:r>
    </w:p>
    <w:p>
      <w:pPr>
        <w:pStyle w:val="EyeLead"/>
        <w:keepLines/>
      </w:pPr>
      <w:r>
        <w:rPr>
          <w:rFonts w:ascii="Arial" w:hAnsi="Arial" w:eastAsia="Arial"/>
          <w:color w:val="0B2545"/>
          <w:sz w:val="25"/>
        </w:rPr>
        <w:t>The source catalogue defines mandatory capability classes. Individual connectors and licenses are implementation and commercial choices governed in later volumes.</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SOURCE CLASS</w:t>
            </w:r>
          </w:p>
        </w:tc>
        <w:tc>
          <w:tcPr>
            <w:tcW w:type="dxa" w:w="716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CONSTITUTIONAL COVERAGE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Governments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Laws, policies, budgets, tenders, sanctions, statistics, speeches, consultations, agencies, and official notices.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Regulations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Proposed, enacted, effective, amended, interpreted, enforced, and repealed rules across jurisdictions.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News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Global, national, local, trade, specialist, broadcast, and verified breaking-event coverage.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Financial Markets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Prices, rates, volatility, credit, commodities, currencies, indices, derivatives, flows, and market microstructure where licensed.</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Research</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Institutional, market, policy, technical, economic, sector, and commissioned research.</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Scientific Papers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Preprints, peer-reviewed literature, reviews, datasets, methods, citations, corrections, and retractions.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Patents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Applications, grants, families, classifications, citations, assignees, inventors, status, and geographic coverage.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Company Filings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Financial statements, disclosures, ownership, corporate actions, governance, presentations, and mandatory reports.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Supply Chains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Suppliers, tiers, routes, ports, logistics, lead times, capacity, dependencies, inventory, disruption, and trade data.</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IoT</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Authorized sensors, equipment, facilities, vehicles, environmental telemetry, edge events, and operational status.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ERP</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Finance, procurement, inventory, production, assets, projects, orders, and enterprise master data.</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CRM</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Customers, accounts, opportunities, service, interactions, forecasts, campaigns, and relationship history.</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Internal Documents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Policies, plans, contracts, reports, decisions, correspondence, presentations, research, and controlled knowledge.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Satellites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Licensed earth observation, weather, location, imagery, derived geospatial products, and change detection.</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Climate</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Weather, hazards, emissions, physical risk, transition risk, resource conditions, and long-range climate scenarios.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Geopolitical Events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Conflict, diplomacy, elections, sanctions, instability, alliances, migration, security, and influence operations.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Social Signals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Lawfully collected public discourse, communities, sentiment, narratives, diffusion, coordinated behavior, and emerging themes.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APIs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Partner, vendor, public, customer, and internal application interfaces under explicit contracts and rate policies.</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RSS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Publisher-controlled feeds and structured update channels with source identity and polling governance.</w:t>
            </w:r>
          </w:p>
        </w:tc>
      </w:tr>
      <w:tr>
        <w:trPr>
          <w:cantSplit/>
        </w:trPr>
        <w:tc>
          <w:tcPr>
            <w:tcW w:type="dxa" w:w="22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color w:val="17212B"/>
                <w:sz w:val="17"/>
              </w:rPr>
              <w:t>Custom Sources</w:t>
            </w:r>
          </w:p>
        </w:tc>
        <w:tc>
          <w:tcPr>
            <w:tcW w:type="dxa" w:w="716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7"/>
              </w:rPr>
              <w:t>Customer-defined databases, files, streams, sensors, partners, specialist providers, and disconnected imports.</w:t>
            </w:r>
          </w:p>
        </w:tc>
      </w:tr>
    </w:tbl>
    <w:p>
      <w:pPr>
        <w:pStyle w:val="Heading2"/>
        <w:keepNext/>
      </w:pPr>
      <w:r>
        <w:rPr>
          <w:rFonts w:ascii="Arial" w:hAnsi="Arial" w:eastAsia="Arial"/>
          <w:b/>
          <w:color w:val="0B2545"/>
          <w:sz w:val="27"/>
        </w:rPr>
        <w:t>Universal source obligations</w:t>
      </w:r>
    </w:p>
    <w:p>
      <w:pPr>
        <w:numPr>
          <w:ilvl w:val="0"/>
          <w:numId w:val="17"/>
        </w:numPr>
        <w:spacing w:after="160" w:line="280" w:lineRule="auto"/>
        <w:ind w:left="720" w:hanging="360"/>
      </w:pPr>
      <w:r>
        <w:rPr>
          <w:rFonts w:ascii="Arial" w:hAnsi="Arial" w:eastAsia="Arial"/>
        </w:rPr>
        <w:t>Authorization, rights, licensing, purpose, classification, and data-residency policy are known before use.</w:t>
      </w:r>
    </w:p>
    <w:p>
      <w:pPr>
        <w:numPr>
          <w:ilvl w:val="0"/>
          <w:numId w:val="17"/>
        </w:numPr>
        <w:spacing w:after="160" w:line="280" w:lineRule="auto"/>
        <w:ind w:left="720" w:hanging="360"/>
      </w:pPr>
      <w:r>
        <w:rPr>
          <w:rFonts w:ascii="Arial" w:hAnsi="Arial" w:eastAsia="Arial"/>
        </w:rPr>
        <w:t>Original evidence and source metadata are preserved according to policy.</w:t>
      </w:r>
    </w:p>
    <w:p>
      <w:pPr>
        <w:numPr>
          <w:ilvl w:val="0"/>
          <w:numId w:val="17"/>
        </w:numPr>
        <w:spacing w:after="160" w:line="280" w:lineRule="auto"/>
        <w:ind w:left="720" w:hanging="360"/>
      </w:pPr>
      <w:r>
        <w:rPr>
          <w:rFonts w:ascii="Arial" w:hAnsi="Arial" w:eastAsia="Arial"/>
        </w:rPr>
        <w:t>Event, publication, collection, effective, and system-record time are captured where relevant.</w:t>
      </w:r>
    </w:p>
    <w:p>
      <w:pPr>
        <w:numPr>
          <w:ilvl w:val="0"/>
          <w:numId w:val="17"/>
        </w:numPr>
        <w:spacing w:after="160" w:line="280" w:lineRule="auto"/>
        <w:ind w:left="720" w:hanging="360"/>
      </w:pPr>
      <w:r>
        <w:rPr>
          <w:rFonts w:ascii="Arial" w:hAnsi="Arial" w:eastAsia="Arial"/>
        </w:rPr>
        <w:t>Connector, parser, schema, transformation, and content versions are traceable.</w:t>
      </w:r>
    </w:p>
    <w:p>
      <w:pPr>
        <w:numPr>
          <w:ilvl w:val="0"/>
          <w:numId w:val="17"/>
        </w:numPr>
        <w:spacing w:after="160" w:line="280" w:lineRule="auto"/>
        <w:ind w:left="720" w:hanging="360"/>
      </w:pPr>
      <w:r>
        <w:rPr>
          <w:rFonts w:ascii="Arial" w:hAnsi="Arial" w:eastAsia="Arial"/>
        </w:rPr>
        <w:t>Freshness, completeness, quality, health, failure, and coverage gaps are measurable.</w:t>
      </w:r>
    </w:p>
    <w:p>
      <w:pPr>
        <w:numPr>
          <w:ilvl w:val="0"/>
          <w:numId w:val="17"/>
        </w:numPr>
        <w:spacing w:after="160" w:line="280" w:lineRule="auto"/>
        <w:ind w:left="720" w:hanging="360"/>
      </w:pPr>
      <w:r>
        <w:rPr>
          <w:rFonts w:ascii="Arial" w:hAnsi="Arial" w:eastAsia="Arial"/>
        </w:rPr>
        <w:t>Untrusted content is isolated from agent tools, policy, credentials, and cross-tenant context.</w:t>
      </w:r>
    </w:p>
    <w:p>
      <w:pPr>
        <w:numPr>
          <w:ilvl w:val="0"/>
          <w:numId w:val="17"/>
        </w:numPr>
        <w:spacing w:after="160" w:line="280" w:lineRule="auto"/>
        <w:ind w:left="720" w:hanging="360"/>
      </w:pPr>
      <w:r>
        <w:rPr>
          <w:rFonts w:ascii="Arial" w:hAnsi="Arial" w:eastAsia="Arial"/>
        </w:rPr>
        <w:t>Downstream objects can be identified when a source is corrected, withdrawn, retracted, or prohibited.</w:t>
      </w:r>
    </w:p>
    <w:p>
      <w:pPr>
        <w:pStyle w:val="Heading1"/>
        <w:keepNext/>
        <w:pageBreakBefore/>
      </w:pPr>
      <w:r>
        <w:rPr>
          <w:rFonts w:ascii="Arial" w:hAnsi="Arial" w:eastAsia="Arial"/>
          <w:b/>
          <w:color w:val="0B2545"/>
          <w:sz w:val="36"/>
        </w:rPr>
        <w:t>C  Appendix C — Constitutional Invariant Index</w:t>
      </w:r>
    </w:p>
    <w:p>
      <w:pPr>
        <w:pStyle w:val="EyeLead"/>
        <w:keepLines/>
      </w:pPr>
      <w:r>
        <w:rPr>
          <w:rFonts w:ascii="Arial" w:hAnsi="Arial" w:eastAsia="Arial"/>
          <w:color w:val="0B2545"/>
          <w:sz w:val="25"/>
        </w:rPr>
        <w:t>The invariant index is the traceability spine for Volumes 1 through 10. The short title is an index label; the full rule text remains normative.</w:t>
      </w:r>
    </w:p>
    <w:tbl>
      <w:tblPr>
        <w:tblW w:type="dxa" w:w="9360"/>
        <w:jc w:val="left"/>
        <w:tblLayout w:type="fixed"/>
        <w:tblLook w:firstColumn="1" w:firstRow="1" w:lastColumn="0" w:lastRow="0" w:noHBand="0" w:noVBand="1" w:val="04A0"/>
        <w:tblInd w:w="120" w:type="dxa"/>
      </w:tblPr>
      <w:tblGrid>
        <w:gridCol w:w="800"/>
        <w:gridCol w:w="1900"/>
        <w:gridCol w:w="5240"/>
        <w:gridCol w:w="1420"/>
      </w:tblGrid>
      <w:tr>
        <w:trPr>
          <w:tblHeader w:val="true"/>
          <w:cantSplit/>
        </w:trPr>
        <w:tc>
          <w:tcPr>
            <w:tcW w:type="dxa" w:w="8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ID</w:t>
            </w:r>
          </w:p>
        </w:tc>
        <w:tc>
          <w:tcPr>
            <w:tcW w:type="dxa" w:w="190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INVARIANT</w:t>
            </w:r>
          </w:p>
        </w:tc>
        <w:tc>
          <w:tcPr>
            <w:tcW w:type="dxa" w:w="524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NORMATIVE RULE</w:t>
            </w:r>
          </w:p>
        </w:tc>
        <w:tc>
          <w:tcPr>
            <w:tcW w:type="dxa" w:w="1420"/>
            <w:shd w:fill="E8EEF5"/>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40" w:after="40"/>
              <w:jc w:val="left"/>
            </w:pPr>
            <w:r>
              <w:rPr>
                <w:rFonts w:ascii="Arial" w:hAnsi="Arial" w:eastAsia="Arial"/>
                <w:b/>
                <w:caps/>
                <w:color w:val="0B2545"/>
                <w:sz w:val="17"/>
              </w:rPr>
              <w:t>INHERITANCE</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C-001</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Category integrity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Eye shall be conceived, designed, sold, and operated as a Strategic Intelligence Operating System. It shall not be reduced to a chatbot, dashboard, BI tool, copilot, or reporting product.</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V0, V1,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C-002</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Closed strategic loop</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product shall implement one continuous operating loop: Observe, Understand, Predict, Simulate, Decide, and Learn. No stage may be treated as a disconnected feature island.</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V1, V3,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C-003</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Product boundary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Interfaces such as chat, dashboards, reports, and APIs may exist, but they are access modes to the operating system rather than the product definition.</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V1, 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C-004</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Human decision sovereignty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A named human authority shall make every final strategic or high-impact decision. The system may advise, prepare, and execute approved workflows, but it shall not silently assume decision rights.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V0,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C-005</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Explain every recommendation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Every material forecast, scenario, simulation result, risk, opportunity, and recommendation shall expose evidence, assumptions, uncertainty, lineage, alternatives, and accountable system versions.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C-006</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Enterprise operating standard</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common platform shall satisfy enterprise requirements for governance, security, scale, auditability, reliability, and lifecycle management from its first production architecture.</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V4, V6</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C-007</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Universal core, governed specialization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A single domain-neutral core shall serve all customer classes. Domain ontologies, models, workflows, agents, and policies may extend the core without forking its constitutional semantics.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V7,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C-008</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Ten-layer architecture</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ten named architecture layers are the canonical product structure. Cross-cutting planes may support them but shall not replace, collapse, or rename them without constitutional amendment.</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V2, V3, V4</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C-009</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Knowledge Graph centrality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Knowledge Graph shall be the connected semantic heart of The Eye and the shared context substrate for memory, twins, reasoning, prediction, scenarios, simulations, and decisions.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V5,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C-010</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Truth-state separation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Observed evidence, extracted claims, inferred relationships, model outputs, human judgments, and synthetic scenario data shall remain explicitly distinguishable throughout the system.</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V5,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C-011</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Temporal truth</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Material facts and relationships shall preserve event time, observation time, validity time, and system-record time so that past world states can be reconstructed without hindsight contamination.</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V4,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C-012</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End-to-end provenance</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Every material intelligence object shall carry source, chain of custody, transformation history, ownership, rights, quality, and version lineage back to its evidence.</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V7,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C-013</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Observation breadth</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World Observation Layer shall support the full canonical source universe and allow governed custom sources without architectural rework.</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V4,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C-014</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Freshness and quality contracts</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Sources, derived data, twins, models, and intelligence products shall declare measurable freshness, completeness, quality, and expiry expectations.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V7,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C-015</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Durable institutional memory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Eye shall preserve institutional context, decisions, assumptions, evidence, outcomes, and lessons as durable memory, subject to lawful retention, deletion, and customer policy.</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V7,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C-016</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Memory governance</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Memory shall be permission-aware, tenant-isolated, versioned, retrievable, correctable, and protected from unverified model output becoming accepted organizational truth.</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V5,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C-017</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Strategy Graph</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Objectives, hypotheses, decisions, initiatives, capabilities, resources, indicators, risks, opportunities, and outcomes shall be connected in a governed Strategy Graph anchored to the Knowledge Graph.</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V7,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C-018</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Grounded Digital Twins</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Every Digital Twin shall be grounded in evidence, graph entities, temporal state, declared assumptions, and calibrated models; it shall never present synthetic state as observed fact.</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V5,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C-019</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Twin versionability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Digital Twins shall support time travel, branching, comparison, replay, reconciliation, and versioned evolution across actual and simulated states.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V4,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C-020</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Canonical prediction horizons</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Prediction Engine shall support 30-day, 90-day, 180-day, 1-year, 3-year, and 5-year horizons with horizon-appropriate methods and uncertainty.</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C-021</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Probabilistic forecasting</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Forecasts shall communicate distributions, confidence, calibration, drivers, sensitivity, and failure conditions rather than false precision or unsupported certainty.</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V5, 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C-022</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Scenario plurality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Scenario Intelligence shall maintain multiple coherent futures, including baseline, upside, downside, disruption, and user-defined alternatives; no single forecast shall masquerade as destiny.</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C-023</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Reproducible simulation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Every simulation shall declare initial state, assumptions, interventions, model versions, constraints, random seeds where applicable, outputs, and sensitivity so results can be reproduced and challenged.</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V4, V5</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C-024</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Decision completeness</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Decision Intelligence shall compare viable options against explicit objectives, constraints, risks, opportunities, trade-offs, second-order effects, reversibility, and information value.</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C-025</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Decision Replay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Eye shall preserve the state of knowledge available at decision time and support replay against later evidence and outcomes without rewriting the historical record.</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V7,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C-026</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Objective alignment</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Recommendations shall be evaluated against declared objectives, stakeholder obligations, risk appetite, policy, and strategic constraints rather than an opaque global score.</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V5, 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C-027</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Executive Operating System</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executive surface shall organize strategic attention, decisions, scenarios, evidence, objectives, commitments, and outcomes. It shall not degrade into a passive dashboard collection.</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V1, 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C-028</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Bounded agent authority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Every agent shall have a declared purpose, tools, data scope, permissions, budgets, escalation rules, prohibited actions, evaluation suite, and accountable owner.</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C-029</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Supervised orchestration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Planner, Supervisor, and Workflow agents shall enforce policy, separation of duties, checkpoints, timeouts, retries, human gates, and complete execution traces across multi-agent work.</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V5, V6</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C-030</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Model pluralism</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platform shall support multiple models and reasoning approaches behind governed interfaces so customers retain control over cost, sovereignty, performance, and vendor dependence.</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V5, V6</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C-031</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No silent self-modification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Continuous learning shall never permit unreviewed production models, agents, prompts, policies, ontologies, or decision logic to modify themselves silently.</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V5, V6</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C-032</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Proactive intelligence</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system shall surface material changes, weak signals, risks, and opportunities before users ask, while respecting relevance, authority, attention, and notification policy.</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V5, 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C-033</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Early-warning discipline</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Warnings shall be deduplicated, prioritized, evidence-backed, confidence-aware, time-bounded, and linked to affected objectives, assets, decisions, and response playbooks.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V5, 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C-034</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Decomposable Strategic Health Score</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Any Strategic Health Score shall expose component measures, weights, evidence, confidence, trend, and sensitivity. The score shall never replace the underlying analysis.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V5, 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C-035</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Trust as a system property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Trust, provenance, identity, authorization, policy, safety, and audit shall operate across every layer and intelligence object, not as a downstream compliance add-on.</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V4, V6</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C-036</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Non-repudiable accountability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Material access, transformations, agent actions, approvals, decisions, overrides, releases, and exports shall produce tamper-evident audit records attributable to identities and versions.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V6,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C-037</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Customer data control</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Customers retain governance over their data, models, twins, policies, retention, residency, encryption, exports, and deletion within the chosen deployment and contractual boundary.</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V6, V7,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C-038</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Open interoperability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Eye shall integrate through governed APIs, events, connectors, common data formats, and export paths; core customer knowledge shall not be trapped behind proprietary-only access.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V3, V4,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C-039</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Zero-trust security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Identity, device, workload, agent, model, source, and data access shall be continuously authenticated, authorized, scoped, logged, and re-evaluated under least privilege.</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V6,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C-040</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Privacy and minimization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Collection and use shall be purpose-bound, proportionate, policy-enforced, and minimized, with support for consent, legal basis, access, correction, retention, and deletion obligations.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V6, V7,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C-041</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Sovereignty by design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Data residency, key ownership, network isolation, local inference, model choice, administrative control, and disconnected operation shall be supported where customer policy requires them.</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V5, V6,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C-042</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Deployment semantic parity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SaaS, Private Cloud, and On-Premise deployments shall preserve the same core semantics, governance model, APIs, artifacts, and intelligence lifecycle, with documented capability differences only where unavoidable.</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V6,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C-043</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Resilient operation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platform shall fail safely, degrade intelligibly, recover predictably, preserve evidence and audit continuity, and expose when data, models, or dependencies are unavailable or stale.</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V6,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C-044</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Governed learning loop</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Learning from outcomes, feedback, overrides, and new evidence shall pass through evaluation, approval, release, monitoring, rollback, and tenant-isolation controls.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V5, V7</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C-045</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Continuous evaluation</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Models, agents, forecasts, extractors, ontologies, simulations, and recommendations shall be evaluated for accuracy, calibration, robustness, drift, bias, safety, cost, and operational fitness.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C-046</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Governed marketplaces</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Scenario and Agent Marketplace packages shall be signed, versioned, inspectable, permission-scoped, licensed, evaluated, sandboxed, monitored, revocable, and traceable to publishers.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C-047</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Experience integrity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product experience shall expose context, uncertainty, provenance, decision state, and consequence at the point of use; critical meaning shall not be hidden behind ornamental visualization.</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C-048</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Role and accessibility clarity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Experiences shall be accessible and role-appropriate for executives, analysts, operators, domain experts, administrators, and governance teams without creating separate truths.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V8, V9</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C-049</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Operational quality contract</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Reliability, performance, scale, freshness, accuracy, calibration, explainability, reproducibility, security, accessibility, and cost shall be measured as product behavior, not assumed as implementation detail.</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V4, V6,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C-050</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Responsible-use boundary</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The Eye shall not autonomously execute decisions that materially determine life, liberty, legal status, access to essential services, employment, credit, or equivalent high-impact rights and interests.</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V0, V5, V8</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C-051</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Constitutional change control</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Changes to mission, product category, human authority, principles, canonical layers, core semantics, or constitutional invariants require explicit amendment, impact analysis, ratification, and versioned publication.</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All volumes</w:t>
            </w:r>
          </w:p>
        </w:tc>
      </w:tr>
      <w:tr>
        <w:trPr>
          <w:cantSplit/>
        </w:trPr>
        <w:tc>
          <w:tcPr>
            <w:tcW w:type="dxa" w:w="8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C-052</w:t>
            </w:r>
          </w:p>
        </w:tc>
        <w:tc>
          <w:tcPr>
            <w:tcW w:type="dxa" w:w="190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Documentation inheritance</w:t>
            </w:r>
          </w:p>
        </w:tc>
        <w:tc>
          <w:tcPr>
            <w:tcW w:type="dxa" w:w="524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Volumes 1 through 10 shall inherit this constitution, use its canonical terms, trace material requirements to invariant IDs, and identify rather than conceal any unresolved conflict.</w:t>
            </w:r>
          </w:p>
        </w:tc>
        <w:tc>
          <w:tcPr>
            <w:tcW w:type="dxa" w:w="1420"/>
            <w:tcBorders>
              <w:top w:val="single" w:sz="6" w:space="0" w:color="D8E0E8"/>
              <w:left w:val="single" w:sz="6" w:space="0" w:color="D8E0E8"/>
              <w:bottom w:val="single" w:sz="6" w:space="0" w:color="D8E0E8"/>
              <w:right w:val="single" w:sz="6" w:space="0" w:color="D8E0E8"/>
              <w:insideH w:val="single" w:sz="6" w:space="0" w:color="D8E0E8"/>
              <w:insideV w:val="single" w:sz="6" w:space="0" w:color="D8E0E8"/>
            </w:tcBorders>
            <w:vAlign w:val="center"/>
            <w:tcMar>
              <w:top w:w="80" w:type="dxa"/>
              <w:start w:w="120" w:type="dxa"/>
              <w:bottom w:w="80" w:type="dxa"/>
              <w:end w:w="120" w:type="dxa"/>
            </w:tcMar>
          </w:tcPr>
          <w:p>
            <w:pPr>
              <w:spacing w:before="20" w:after="20" w:line="252" w:lineRule="auto"/>
              <w:jc w:val="left"/>
            </w:pPr>
            <w:r>
              <w:rPr>
                <w:rFonts w:ascii="Arial" w:hAnsi="Arial" w:eastAsia="Arial"/>
                <w:b w:val="0"/>
                <w:color w:val="17212B"/>
                <w:sz w:val="15"/>
              </w:rPr>
              <w:t>All volumes</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7F7"/>
            <w:tcBorders>
              <w:top w:val="single" w:sz="5" w:space="0" w:color="D8E0E8"/>
              <w:left w:val="single" w:sz="18" w:space="0" w:color="00A6A6"/>
              <w:bottom w:val="single" w:sz="5" w:space="0" w:color="D8E0E8"/>
              <w:right w:val="single" w:sz="5" w:space="0" w:color="D8E0E8"/>
              <w:insideH w:val="single" w:sz="5" w:space="0" w:color="D8E0E8"/>
              <w:insideV w:val="single" w:sz="5" w:space="0" w:color="D8E0E8"/>
            </w:tcBorders>
          </w:tcPr>
          <w:p>
            <w:pPr>
              <w:spacing w:before="40" w:after="80"/>
            </w:pPr>
            <w:r>
              <w:rPr>
                <w:rFonts w:ascii="Arial" w:hAnsi="Arial" w:eastAsia="Arial"/>
                <w:b/>
                <w:caps/>
                <w:color w:val="007E80"/>
                <w:sz w:val="17"/>
              </w:rPr>
              <w:t>END OF CONTROLLED VOLUME</w:t>
            </w:r>
          </w:p>
          <w:p>
            <w:pPr>
              <w:spacing w:after="40" w:line="269" w:lineRule="auto"/>
            </w:pPr>
            <w:r>
              <w:rPr>
                <w:rFonts w:ascii="Arial" w:hAnsi="Arial" w:eastAsia="Arial"/>
                <w:color w:val="0B2545"/>
                <w:sz w:val="20"/>
              </w:rPr>
              <w:t>This edition establishes the frozen founding baseline for The Eye. Subsequent volumes shall elaborate this constitution in order, beginning with Volume 1 — Executive Vision Book.</w:t>
            </w:r>
          </w:p>
        </w:tc>
      </w:tr>
    </w:tbl>
    <w:p>
      <w:pPr>
        <w:spacing w:after="2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Arial" w:hAnsi="Arial" w:eastAsia="Arial"/>
        <w:b/>
        <w:caps/>
        <w:color w:val="566575"/>
        <w:sz w:val="16"/>
      </w:rPr>
      <w:t>THE EYE  /  ARCHITECTURE BASELINE V1.0</w:t>
    </w:r>
    <w:r>
      <w:rPr>
        <w:rFonts w:ascii="Arial" w:hAnsi="Arial" w:eastAsia="Arial"/>
        <w:b/>
        <w:color w:val="566575"/>
        <w:sz w:val="16"/>
      </w:rPr>
      <w:tab/>
      <w:t xml:space="preserve">PAGE </w:t>
    </w:r>
    <w:r>
      <w:rPr>
        <w:rFonts w:ascii="Arial" w:hAnsi="Arial" w:eastAsia="Arial"/>
        <w:b/>
        <w:color w:val="56657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Arial" w:hAnsi="Arial" w:eastAsia="Arial"/>
        <w:b/>
        <w:caps/>
        <w:color w:val="0B2545"/>
        <w:sz w:val="17"/>
      </w:rPr>
      <w:t>THE EYE</w:t>
    </w:r>
    <w:r>
      <w:rPr>
        <w:rFonts w:ascii="Arial" w:hAnsi="Arial" w:eastAsia="Arial"/>
        <w:b/>
        <w:caps/>
        <w:color w:val="566575"/>
        <w:sz w:val="17"/>
      </w:rPr>
      <w:tab/>
      <w:t>VOLUME 0  /  PRODUCT CONSTITUTION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2">
    <w:abstractNumId w:val="11"/>
  </w:num>
  <w:abstractNum w:abstractNumId="12">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3">
    <w:abstractNumId w:val="12"/>
  </w:num>
  <w:abstractNum w:abstractNumId="13">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4">
    <w:abstractNumId w:val="13"/>
  </w:num>
  <w:abstractNum w:abstractNumId="14">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5">
    <w:abstractNumId w:val="14"/>
  </w:num>
  <w:abstractNum w:abstractNumId="15">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6">
    <w:abstractNumId w:val="15"/>
  </w:num>
  <w:abstractNum w:abstractNumId="16">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pPr>
    <w:rPr>
      <w:rFonts w:ascii="Arial" w:hAnsi="Arial" w:eastAsia="Arial"/>
      <w:b w:val="0"/>
      <w:i w:val="0"/>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line="240" w:lineRule="auto"/>
      <w:outlineLvl w:val="0"/>
    </w:pPr>
    <w:rPr>
      <w:rFonts w:asciiTheme="majorHAnsi" w:eastAsiaTheme="majorEastAsia" w:hAnsiTheme="majorHAnsi" w:cstheme="majorBidi" w:ascii="Arial" w:hAnsi="Arial" w:eastAsia="Arial"/>
      <w:b/>
      <w:bCs/>
      <w:i w:val="0"/>
      <w:color w:val="0B2545"/>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bCs/>
      <w:i w:val="0"/>
      <w:color w:val="0B2545"/>
      <w:sz w:val="27"/>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i w:val="0"/>
      <w:color w:val="007E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i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52" w:lineRule="auto"/>
    </w:pPr>
    <w:rPr>
      <w:rFonts w:asciiTheme="majorHAnsi" w:eastAsiaTheme="majorEastAsia" w:hAnsiTheme="majorHAnsi" w:cstheme="majorBidi" w:ascii="Arial" w:hAnsi="Arial" w:eastAsia="Arial"/>
      <w:b w:val="0"/>
      <w:i w:val="0"/>
      <w:iCs/>
      <w:color w:val="5665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spacing w:before="160" w:after="160" w:line="276" w:lineRule="auto"/>
      <w:ind w:left="504" w:right="504"/>
    </w:pPr>
    <w:rPr>
      <w:rFonts w:ascii="Arial" w:hAnsi="Arial" w:eastAsia="Arial"/>
      <w:b w:val="0"/>
      <w:i w:val="0"/>
      <w:iCs/>
      <w:color w:val="0B2545"/>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Kicker">
    <w:name w:val="Eye Kicker"/>
    <w:pPr>
      <w:keepNext w:val="0"/>
      <w:spacing w:before="0" w:after="100" w:line="240" w:lineRule="auto"/>
    </w:pPr>
    <w:rPr>
      <w:rFonts w:ascii="Arial" w:hAnsi="Arial" w:eastAsia="Arial"/>
      <w:b/>
      <w:i w:val="0"/>
      <w:color w:val="007E80"/>
      <w:sz w:val="18"/>
    </w:rPr>
  </w:style>
  <w:style w:type="paragraph" w:customStyle="1" w:styleId="EyeLead">
    <w:name w:val="Eye Lead"/>
    <w:pPr>
      <w:keepNext w:val="0"/>
      <w:spacing w:before="0" w:after="240" w:line="283" w:lineRule="auto"/>
    </w:pPr>
    <w:rPr>
      <w:rFonts w:ascii="Arial" w:hAnsi="Arial" w:eastAsia="Arial"/>
      <w:b w:val="0"/>
      <w:i w:val="0"/>
      <w:color w:val="0B2545"/>
      <w:sz w:val="25"/>
    </w:rPr>
  </w:style>
  <w:style w:type="paragraph" w:customStyle="1" w:styleId="EyePart">
    <w:name w:val="Eye Part"/>
    <w:pPr>
      <w:keepNext w:val="0"/>
      <w:spacing w:before="0" w:after="240" w:line="240" w:lineRule="auto"/>
    </w:pPr>
    <w:rPr>
      <w:rFonts w:ascii="Arial" w:hAnsi="Arial" w:eastAsia="Arial"/>
      <w:b/>
      <w:i w:val="0"/>
      <w:color w:val="0B2545"/>
      <w:sz w:val="50"/>
    </w:rPr>
  </w:style>
  <w:style w:type="paragraph" w:customStyle="1" w:styleId="EyePartSubtitle">
    <w:name w:val="Eye Part Subtitle"/>
    <w:pPr>
      <w:keepNext w:val="0"/>
      <w:spacing w:before="0" w:after="160" w:line="288" w:lineRule="auto"/>
    </w:pPr>
    <w:rPr>
      <w:rFonts w:ascii="Arial" w:hAnsi="Arial" w:eastAsia="Arial"/>
      <w:b w:val="0"/>
      <w:i w:val="0"/>
      <w:color w:val="566575"/>
      <w:sz w:val="24"/>
    </w:rPr>
  </w:style>
  <w:style w:type="paragraph" w:customStyle="1" w:styleId="EyeSmall">
    <w:name w:val="Eye Small"/>
    <w:pPr>
      <w:keepNext w:val="0"/>
      <w:spacing w:before="0" w:after="60" w:line="252" w:lineRule="auto"/>
    </w:pPr>
    <w:rPr>
      <w:rFonts w:ascii="Arial" w:hAnsi="Arial" w:eastAsia="Arial"/>
      <w:b w:val="0"/>
      <w:i w:val="0"/>
      <w:color w:val="566575"/>
      <w:sz w:val="17"/>
    </w:rPr>
  </w:style>
  <w:style w:type="paragraph" w:customStyle="1" w:styleId="EyeTable">
    <w:name w:val="Eye Table"/>
    <w:pPr>
      <w:keepNext w:val="0"/>
      <w:spacing w:before="0" w:after="40" w:line="259" w:lineRule="auto"/>
    </w:pPr>
    <w:rPr>
      <w:rFonts w:ascii="Arial" w:hAnsi="Arial" w:eastAsia="Arial"/>
      <w:b w:val="0"/>
      <w:i w:val="0"/>
      <w:color w:val="17212B"/>
      <w:sz w:val="18"/>
    </w:rPr>
  </w:style>
  <w:style w:type="paragraph" w:customStyle="1" w:styleId="EyeTableHead">
    <w:name w:val="Eye Table Head"/>
    <w:pPr>
      <w:keepNext w:val="0"/>
      <w:spacing w:before="0" w:after="40" w:line="240" w:lineRule="auto"/>
    </w:pPr>
    <w:rPr>
      <w:rFonts w:ascii="Arial" w:hAnsi="Arial" w:eastAsia="Arial"/>
      <w:b/>
      <w:i w:val="0"/>
      <w:color w:val="0B2545"/>
      <w:sz w:val="17"/>
    </w:rPr>
  </w:style>
  <w:style w:type="paragraph" w:customStyle="1" w:styleId="EyeTOC">
    <w:name w:val="Eye TOC"/>
    <w:pPr>
      <w:keepNext w:val="0"/>
      <w:spacing w:before="0" w:after="80" w:line="240" w:lineRule="auto"/>
    </w:pPr>
    <w:rPr>
      <w:rFonts w:ascii="Arial" w:hAnsi="Arial" w:eastAsia="Arial"/>
      <w:b w:val="0"/>
      <w:i w:val="0"/>
      <w:color w:val="17212B"/>
      <w:sz w:val="20"/>
    </w:rPr>
  </w:style>
  <w:style w:type="paragraph" w:customStyle="1" w:styleId="EyeDefinition">
    <w:name w:val="Eye Definition"/>
    <w:pPr>
      <w:keepNext w:val="0"/>
      <w:spacing w:before="0" w:after="100" w:line="259" w:lineRule="auto"/>
    </w:pPr>
    <w:rPr>
      <w:rFonts w:ascii="Arial" w:hAnsi="Arial" w:eastAsia="Arial"/>
      <w:b w:val="0"/>
      <w:i w:val="0"/>
      <w:color w:val="1721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Eye — Volume 0: Product Constitution</dc:title>
  <dc:subject>Founding architecture baseline for The Operating System for Strategic Intelligence</dc:subject>
  <dc:creator>The Eye — Founding Architecture Team</dc:creator>
  <cp:keywords>The Eye, Strategic Intelligence Operating System, Product Constitution, Architecture Baseline</cp:keywords>
  <dc:description>Controlled Volume 0, version 1.0</dc:description>
  <cp:lastModifiedBy/>
  <cp:revision>1</cp:revision>
  <dcterms:created xsi:type="dcterms:W3CDTF">2026-08-01T00:00:00Z</dcterms:created>
  <dcterms:modified xsi:type="dcterms:W3CDTF">2026-08-01T00:00:00Z</dcterms:modified>
  <cp:category/>
</cp:coreProperties>
</file>