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Independent main run 34465226083 is registered; its audited interpretation must be integrated before submission.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5"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the earlier formalization appears in the</w:t>
      </w:r>
      <w:r>
        <w:rPr>
          <w:lang w:val="en-GB"/>
        </w:rPr>
        <w:t xml:space="preserve"> </w:t>
      </w:r>
      <w:hyperlink r:id="rId13">
        <w:r>
          <w:rPr>
            <w:rStyle w:val="Hyperlink"/>
            <w:lang w:val="en-GB"/>
          </w:rPr>
          <w:t xml:space="preserve">stochastic-connectivity preprint by Krasnovsky and Maslovskaya</w:t>
        </w:r>
      </w:hyperlink>
      <w:r>
        <w:rPr>
          <w:lang w:val="en-GB"/>
        </w:rPr>
        <w:t xml:space="preserve">. The</w:t>
      </w:r>
      <w:r>
        <w:rPr>
          <w:lang w:val="en-GB"/>
        </w:rPr>
        <w:t xml:space="preserve"> </w:t>
      </w:r>
      <w:hyperlink r:id="rId14">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5"/>
    <w:bookmarkStart w:id="31" w:name="related-work-and-the-remaining-question"/>
    <w:p>
      <w:pPr>
        <w:pStyle w:val="Heading2"/>
      </w:pPr>
      <w:r>
        <w:rPr>
          <w:lang w:val="en-GB"/>
        </w:rPr>
        <w:t xml:space="preserve">Related work and the remaining question</w:t>
      </w:r>
    </w:p>
    <w:bookmarkStart w:id="20"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6">
        <w:r>
          <w:rPr>
            <w:rStyle w:val="Hyperlink"/>
            <w:lang w:val="en-GB"/>
          </w:rPr>
          <w:t xml:space="preserve">Bu et al.</w:t>
        </w:r>
      </w:hyperlink>
      <w:r>
        <w:rPr>
          <w:lang w:val="en-GB"/>
        </w:rPr>
        <w:t xml:space="preserve">;</w:t>
      </w:r>
      <w:r>
        <w:rPr>
          <w:lang w:val="en-GB"/>
        </w:rPr>
        <w:t xml:space="preserve"> </w:t>
      </w:r>
      <w:hyperlink r:id="rId17">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8">
        <w:r>
          <w:rPr>
            <w:rStyle w:val="Hyperlink"/>
            <w:lang w:val="en-GB"/>
          </w:rPr>
          <w:t xml:space="preserve">Prékopa</w:t>
        </w:r>
      </w:hyperlink>
      <w:r>
        <w:rPr>
          <w:lang w:val="en-GB"/>
        </w:rPr>
        <w:t xml:space="preserve">;</w:t>
      </w:r>
      <w:r>
        <w:rPr>
          <w:lang w:val="en-GB"/>
        </w:rPr>
        <w:t xml:space="preserve"> </w:t>
      </w:r>
      <w:hyperlink r:id="rId19">
        <w:r>
          <w:rPr>
            <w:rStyle w:val="Hyperlink"/>
            <w:lang w:val="en-GB"/>
          </w:rPr>
          <w:t xml:space="preserve">Boros and Lee</w:t>
        </w:r>
      </w:hyperlink>
      <w:r>
        <w:rPr>
          <w:lang w:val="en-GB"/>
        </w:rPr>
        <w:t xml:space="preserve">.</w:t>
      </w:r>
    </w:p>
    <w:bookmarkEnd w:id="20"/>
    <w:bookmarkStart w:id="25"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1">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2">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article in SIMULATION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3">
        <w:r>
          <w:rPr>
            <w:rStyle w:val="Hyperlink"/>
            <w:lang w:val="en-GB"/>
          </w:rPr>
          <w:t xml:space="preserve">2022 full paper</w:t>
        </w:r>
      </w:hyperlink>
      <w:r>
        <w:rPr>
          <w:lang w:val="en-GB"/>
        </w:rPr>
        <w:t xml:space="preserve">;</w:t>
      </w:r>
      <w:r>
        <w:rPr>
          <w:lang w:val="en-GB"/>
        </w:rPr>
        <w:t xml:space="preserve"> </w:t>
      </w:r>
      <w:hyperlink r:id="rId24">
        <w:r>
          <w:rPr>
            <w:rStyle w:val="Hyperlink"/>
            <w:lang w:val="en-GB"/>
          </w:rPr>
          <w:t xml:space="preserve">SIMULATION article</w:t>
        </w:r>
      </w:hyperlink>
      <w:r>
        <w:rPr>
          <w:lang w:val="en-GB"/>
        </w:rPr>
        <w:t xml:space="preserve">.</w:t>
      </w:r>
    </w:p>
    <w:bookmarkEnd w:id="25"/>
    <w:bookmarkStart w:id="28" w:name="X477e812e27c255f4c5e8d8a7a3b9e2814ef439e"/>
    <w:p>
      <w:pPr>
        <w:pStyle w:val="Heading3"/>
      </w:pPr>
      <w:r>
        <w:rPr>
          <w:lang w:val="en-GB"/>
        </w:rPr>
        <w:t xml:space="preserve">Purpose-specific validity and systematic simulation tests</w:t>
      </w:r>
    </w:p>
    <w:p>
      <w:pPr>
        <w:pStyle w:val="FirstParagraph"/>
      </w:pPr>
      <w:r>
        <w:rPr>
          <w:lang w:val="en-GB"/>
        </w:rPr>
        <w:t xml:space="preserve">Purpose-specific adequacy already has formal precedents in Simulation Modelling Practice and Theory. Foures, Albert and Nketsa combine a system model with its experimental frame to assess whether simulation scenarios support the intended purpose. Their input/output-automata approach makes model/context compatibility explicit. Our Boolean simplification condition addresses a narrower probability target, while masked-law identification concerns what telemetry determines; neither replaces the broader experimental-frame viewpoint.</w:t>
      </w:r>
      <w:r>
        <w:rPr>
          <w:lang w:val="en-GB"/>
        </w:rPr>
        <w:t xml:space="preserve"> </w:t>
      </w:r>
      <w:hyperlink r:id="rId26">
        <w:r>
          <w:rPr>
            <w:rStyle w:val="Hyperlink"/>
            <w:lang w:val="en-GB"/>
          </w:rPr>
          <w:t xml:space="preserve">Foures et al.</w:t>
        </w:r>
      </w:hyperlink>
      <w:r>
        <w:rPr>
          <w:lang w:val="en-GB"/>
        </w:rPr>
        <w:t xml:space="preserve">.</w:t>
      </w:r>
    </w:p>
    <w:p>
      <w:pPr>
        <w:pStyle w:val="BodyText"/>
      </w:pPr>
      <w:r>
        <w:rPr>
          <w:lang w:val="en-GB"/>
        </w:rPr>
        <w:t xml:space="preserve">Hollmann, Cristiá and Frydman derive simulation-configuration classes from mathematical DEVS specifications to guide systematic validation. Their selection relies on a uniformity hypothesis within each class. Our reduced enumeration has an exact guarantee within its finite completion-conjunction class; application adequacy instead requires the separately measured outcome. Systematic controls, formal calculation and empirical validation therefore retain distinct evidential roles.</w:t>
      </w:r>
      <w:r>
        <w:rPr>
          <w:lang w:val="en-GB"/>
        </w:rPr>
        <w:t xml:space="preserve"> </w:t>
      </w:r>
      <w:hyperlink r:id="rId27">
        <w:r>
          <w:rPr>
            <w:rStyle w:val="Hyperlink"/>
            <w:lang w:val="en-GB"/>
          </w:rPr>
          <w:t xml:space="preserve">Hollmann et al.</w:t>
        </w:r>
      </w:hyperlink>
      <w:r>
        <w:rPr>
          <w:lang w:val="en-GB"/>
        </w:rPr>
        <w:t xml:space="preserve">.</w:t>
      </w:r>
    </w:p>
    <w:bookmarkEnd w:id="28"/>
    <w:bookmarkStart w:id="30"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9">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30"/>
    <w:bookmarkEnd w:id="31"/>
    <w:bookmarkStart w:id="47" w:name="methods"/>
    <w:p>
      <w:pPr>
        <w:pStyle w:val="Heading2"/>
      </w:pPr>
      <w:r>
        <w:rPr>
          <w:lang w:val="en-GB"/>
        </w:rPr>
        <w:t xml:space="preserve">Methods</w:t>
      </w:r>
    </w:p>
    <w:bookmarkStart w:id="33"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32">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33"/>
    <w:bookmarkStart w:id="37" w:name="X328c05eadbb2e25dc76fb2ffcd534ad653d1100"/>
    <w:p>
      <w:pPr>
        <w:pStyle w:val="Heading3"/>
      </w:pPr>
      <w:r>
        <w:rPr>
          <w:lang w:val="en-GB"/>
        </w:rPr>
        <w:t xml:space="preserve">2. Formal object and provenance of its parts</w:t>
      </w:r>
    </w:p>
    <w:p>
      <w:pPr>
        <w:pStyle w:val="FirstParagraph"/>
      </w:pPr>
      <w:r>
        <w:rPr>
          <w:lang w:val="en-GB"/>
        </w:rPr>
        <w:t xml:space="preserve">The model is</w:t>
      </w:r>
      <w:r>
        <w:rPr>
          <w:lang w:val="en-GB"/>
        </w:rPr>
        <w:t xml:space="preserve"> </w:t>
      </w:r>
      <m:oMath>
        <m:r>
          <m:t>M</m:t>
        </m:r>
        <m:r>
          <m:rPr>
            <m:sty m:val="p"/>
          </m:rPr>
          <m:t>=</m:t>
        </m:r>
        <m:r>
          <m:rPr>
            <m:sty m:val="p"/>
          </m:rPr>
          <m:t>⟨</m:t>
        </m:r>
        <m:r>
          <m:t>G</m:t>
        </m:r>
        <m:r>
          <m:rPr>
            <m:sty m:val="p"/>
          </m:rPr>
          <m:t>,</m:t>
        </m:r>
        <m:r>
          <m:t>R</m:t>
        </m:r>
        <m:r>
          <m:rPr>
            <m:sty m:val="p"/>
          </m:rPr>
          <m:t>,</m:t>
        </m:r>
        <m:r>
          <m:t>P</m:t>
        </m:r>
        <m:r>
          <m:rPr>
            <m:sty m:val="p"/>
          </m:rPr>
          <m:t>,</m:t>
        </m:r>
        <m:r>
          <m:rPr>
            <m:sty m:val="p"/>
          </m:rPr>
          <m:t>Φ</m:t>
        </m:r>
        <m:r>
          <m:rPr>
            <m:sty m:val="p"/>
          </m:rPr>
          <m:t>⟩</m:t>
        </m:r>
      </m:oMath>
      <w:r>
        <w:rPr>
          <w:lang w:val="en-GB"/>
        </w:rPr>
        <w:t xml:space="preserve">.</w:t>
      </w:r>
      <w:r>
        <w:rPr>
          <w:lang w:val="en-GB"/>
        </w:rPr>
        <w:t xml:space="preserve"> </w:t>
      </w:r>
      <m:oMath>
        <m:r>
          <m:t>G</m:t>
        </m:r>
      </m:oMath>
      <w:r>
        <w:rPr>
          <w:lang w:val="en-GB"/>
        </w:rPr>
        <w:t xml:space="preserve"> </w:t>
      </w:r>
      <w:r>
        <w:rPr>
          <w:lang w:val="en-GB"/>
        </w:rPr>
        <w:t xml:space="preserve">is an operation-specific graph of observed service and database relations.</w:t>
      </w:r>
      <w:r>
        <w:rPr>
          <w:lang w:val="en-GB"/>
        </w:rPr>
        <w:t xml:space="preserve"> </w:t>
      </w:r>
      <m:oMath>
        <m:r>
          <m:t>R</m:t>
        </m:r>
      </m:oMath>
      <w:r>
        <w:rPr>
          <w:lang w:val="en-GB"/>
        </w:rPr>
        <w:t xml:space="preserve"> </w:t>
      </w:r>
      <w:r>
        <w:rPr>
          <w:lang w:val="en-GB"/>
        </w:rPr>
        <w:t xml:space="preserve">binds logical replicas to eligibility gates.</w:t>
      </w:r>
      <w:r>
        <w:rPr>
          <w:lang w:val="en-GB"/>
        </w:rPr>
        <w:t xml:space="preserve"> </w:t>
      </w:r>
      <m:oMath>
        <m:r>
          <m:t>P</m:t>
        </m:r>
      </m:oMath>
      <w:r>
        <w:rPr>
          <w:lang w:val="en-GB"/>
        </w:rPr>
        <w:t xml:space="preserve"> </w:t>
      </w:r>
      <w:r>
        <w:rPr>
          <w:lang w:val="en-GB"/>
        </w:rPr>
        <w:t xml:space="preserve">is a joint state law compatible with the observations.</w:t>
      </w:r>
      <w:r>
        <w:rPr>
          <w:lang w:val="en-GB"/>
        </w:rPr>
        <w:t xml:space="preserve"> </w:t>
      </w:r>
      <m:oMath>
        <m:r>
          <m:rPr>
            <m:sty m:val="p"/>
          </m:rPr>
          <m:t>Φ</m:t>
        </m:r>
      </m:oMath>
      <w:r>
        <w:rPr>
          <w:lang w:val="en-GB"/>
        </w:rPr>
        <w:t xml:space="preserve"> </w:t>
      </w:r>
      <w:r>
        <w:rPr>
          <w:lang w:val="en-GB"/>
        </w:rPr>
        <w:t xml:space="preserve">is the operation predicate. The observation contract, including masks, is part of the identification problem. This notation organizes the earlier graph estimators; the tuple alone is not a novelty claim. Its origin is the</w:t>
      </w:r>
      <w:r>
        <w:rPr>
          <w:lang w:val="en-GB"/>
        </w:rPr>
        <w:t xml:space="preserve"> </w:t>
      </w:r>
      <w:hyperlink r:id="rId13">
        <w:r>
          <w:rPr>
            <w:rStyle w:val="Hyperlink"/>
            <w:lang w:val="en-GB"/>
          </w:rPr>
          <w:t xml:space="preserve">Krasnovsky–Maslovskaya preprint</w:t>
        </w:r>
      </w:hyperlink>
      <w:r>
        <w:rPr>
          <w:lang w:val="en-GB"/>
        </w:rPr>
        <w:t xml:space="preserve">, cited as a preprint rather than an accepted MODELS publication.</w:t>
      </w:r>
    </w:p>
    <w:p>
      <w:pPr>
        <w:pStyle w:val="BodyText"/>
      </w:pPr>
      <w:r>
        <w:rPr>
          <w:lang w:val="en-GB"/>
        </w:rPr>
        <w:t xml:space="preserve">The predecessor’s Sections 4–5 already define a typed graph, replication map, general state measure and request predicates, with a product-law baseline for what-if analysis. Our implementation changes the state and observation contract: selected replicas, completion and timing belong to one request-aligned joint law, and masked observations define a set of compatible laws. The replica binding also records eligibility gates. This is a declared execution extension of the earlier object, not an implementation of every distribution or eventual-completion predicate that its general notation permits. The retained local manuscript and reference code keep their separate</w:t>
      </w:r>
      <w:r>
        <w:rPr>
          <w:lang w:val="en-GB"/>
        </w:rPr>
        <w:t xml:space="preserve"> </w:t>
      </w:r>
      <w:hyperlink r:id="rId34">
        <w:r>
          <w:rPr>
            <w:rStyle w:val="Hyperlink"/>
            <w:lang w:val="en-GB"/>
          </w:rPr>
          <w:t xml:space="preserve">byte provenance</w:t>
        </w:r>
      </w:hyperlink>
      <w:r>
        <w:rPr>
          <w:lang w:val="en-GB"/>
        </w:rPr>
        <w:t xml:space="preserve">.</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5">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6">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7"/>
    <w:bookmarkStart w:id="39"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w:t>
      </w:r>
      <w:r>
        <w:rPr>
          <w:lang w:val="en-GB"/>
        </w:rPr>
        <w:t xml:space="preserve"> </w:t>
      </w:r>
      <m:oMath>
        <m:r>
          <m:t>B</m:t>
        </m:r>
        <m:r>
          <m:rPr>
            <m:sty m:val="p"/>
          </m:rPr>
          <m:t>(</m:t>
        </m:r>
        <m:r>
          <m:t>s</m:t>
        </m:r>
        <m:r>
          <m:rPr>
            <m:sty m:val="p"/>
          </m:rPr>
          <m:t>)</m:t>
        </m:r>
      </m:oMath>
      <w:r>
        <w:rPr>
          <w:lang w:val="en-GB"/>
        </w:rPr>
        <w:t xml:space="preserve"> </w:t>
      </w:r>
      <w:r>
        <w:rPr>
          <w:lang w:val="en-GB"/>
        </w:rPr>
        <w:t xml:space="preserve">be synchronous reachability of every declared required node in state</w:t>
      </w:r>
      <w:r>
        <w:rPr>
          <w:lang w:val="en-GB"/>
        </w:rPr>
        <w:t xml:space="preserve"> </w:t>
      </w:r>
      <m:oMath>
        <m:r>
          <m:t>s</m:t>
        </m:r>
      </m:oMath>
      <w:r>
        <w:rPr>
          <w:lang w:val="en-GB"/>
        </w:rPr>
        <w:t xml:space="preserve">. For each controlled service</w:t>
      </w:r>
      <w:r>
        <w:rPr>
          <w:lang w:val="en-GB"/>
        </w:rPr>
        <w:t xml:space="preserve"> </w:t>
      </w:r>
      <m:oMath>
        <m:r>
          <m:t>v</m:t>
        </m:r>
      </m:oMath>
      <w:r>
        <w:rPr>
          <w:lang w:val="en-GB"/>
        </w:rPr>
        <w:t xml:space="preserve">, let</w:t>
      </w:r>
      <w:r>
        <w:rPr>
          <w:lang w:val="en-GB"/>
        </w:rPr>
        <w:t xml:space="preserve"> </w:t>
      </w:r>
      <m:oMath>
        <m:sSub>
          <m:e>
            <m:r>
              <m:t>D</m:t>
            </m:r>
          </m:e>
          <m:sub>
            <m:r>
              <m:t>v</m:t>
            </m:r>
            <m:r>
              <m:t>r</m:t>
            </m:r>
          </m:sub>
        </m:sSub>
      </m:oMath>
      <w:r>
        <w:rPr>
          <w:lang w:val="en-GB"/>
        </w:rPr>
        <w:t xml:space="preserve"> </w:t>
      </w:r>
      <w:r>
        <w:rPr>
          <w:lang w:val="en-GB"/>
        </w:rPr>
        <w:t xml:space="preserve">indicate that replica</w:t>
      </w:r>
      <w:r>
        <w:rPr>
          <w:lang w:val="en-GB"/>
        </w:rPr>
        <w:t xml:space="preserve"> </w:t>
      </w:r>
      <m:oMath>
        <m:r>
          <m:t>r</m:t>
        </m:r>
      </m:oMath>
      <w:r>
        <w:rPr>
          <w:lang w:val="en-GB"/>
        </w:rPr>
        <w:t xml:space="preserve"> </w:t>
      </w:r>
      <w:r>
        <w:rPr>
          <w:lang w:val="en-GB"/>
        </w:rPr>
        <w:t xml:space="preserve">is demanded by a mandatory call, and let</w:t>
      </w:r>
      <w:r>
        <w:rPr>
          <w:lang w:val="en-GB"/>
        </w:rPr>
        <w:t xml:space="preserve"> </w:t>
      </w:r>
      <m:oMath>
        <m:sSub>
          <m:e>
            <m:r>
              <m:t>A</m:t>
            </m:r>
          </m:e>
          <m:sub>
            <m:r>
              <m:t>v</m:t>
            </m:r>
            <m:r>
              <m:t>r</m:t>
            </m:r>
          </m:sub>
        </m:sSub>
        <m:r>
          <m:rPr>
            <m:sty m:val="p"/>
          </m:rPr>
          <m:t>(</m:t>
        </m:r>
        <m:r>
          <m:t>s</m:t>
        </m:r>
        <m:r>
          <m:rPr>
            <m:sty m:val="p"/>
          </m:rPr>
          <m:t>)</m:t>
        </m:r>
      </m:oMath>
      <w:r>
        <w:rPr>
          <w:lang w:val="en-GB"/>
        </w:rPr>
        <w:t xml:space="preserve"> </w:t>
      </w:r>
      <w:r>
        <w:rPr>
          <w:lang w:val="en-GB"/>
        </w:rPr>
        <w:t xml:space="preserve">be the conjunction of that replica’s eligibility gates under</w:t>
      </w:r>
      <w:r>
        <w:rPr>
          <w:lang w:val="en-GB"/>
        </w:rPr>
        <w:t xml:space="preserve"> </w:t>
      </w:r>
      <m:oMath>
        <m:r>
          <m:t>R</m:t>
        </m:r>
      </m:oMath>
      <w:r>
        <w:rPr>
          <w:lang w:val="en-GB"/>
        </w:rPr>
        <w:t xml:space="preserve">. Define</w:t>
      </w:r>
    </w:p>
    <w:p>
      <w:pPr>
        <w:pStyle w:val="BodyText"/>
      </w:pPr>
      <m:oMathPara>
        <m:oMathParaPr>
          <m:jc m:val="center"/>
        </m:oMathParaPr>
        <m:oMath>
          <m:sSub>
            <m:e>
              <m:r>
                <m:t>R</m:t>
              </m:r>
            </m:e>
            <m:sub>
              <m:r>
                <m:rPr>
                  <m:sty m:val="p"/>
                </m:rPr>
                <m:t>s</m:t>
              </m:r>
              <m:r>
                <m:rPr>
                  <m:sty m:val="p"/>
                </m:rPr>
                <m:t>e</m:t>
              </m:r>
              <m:r>
                <m:rPr>
                  <m:sty m:val="p"/>
                </m:rPr>
                <m:t>l</m:t>
              </m:r>
            </m:sub>
          </m:sSub>
          <m:r>
            <m:rPr>
              <m:sty m:val="p"/>
            </m:rPr>
            <m:t>(</m:t>
          </m:r>
          <m:r>
            <m:t>s</m:t>
          </m:r>
          <m:r>
            <m:rPr>
              <m:sty m:val="p"/>
            </m:rPr>
            <m:t>)</m:t>
          </m:r>
          <m:r>
            <m:rPr>
              <m:sty m:val="p"/>
            </m:rPr>
            <m:t>=</m:t>
          </m:r>
          <m:r>
            <m:t>B</m:t>
          </m:r>
          <m:r>
            <m:rPr>
              <m:sty m:val="p"/>
            </m:rPr>
            <m:t>(</m:t>
          </m:r>
          <m:r>
            <m:t>s</m:t>
          </m:r>
          <m:r>
            <m:rPr>
              <m:sty m:val="p"/>
            </m:rPr>
            <m:t>)</m:t>
          </m:r>
          <m:r>
            <m:rPr>
              <m:sty m:val="p"/>
            </m:rPr>
            <m:t>∧</m:t>
          </m:r>
          <m:limLow>
            <m:e>
              <m:r>
                <m:rPr>
                  <m:sty m:val="p"/>
                </m:rPr>
                <m:t>⋀</m:t>
              </m:r>
            </m:e>
            <m:lim>
              <m:r>
                <m:t>v</m:t>
              </m:r>
            </m:lim>
          </m:limLow>
          <m:d>
            <m:dPr>
              <m:begChr m:val="["/>
              <m:sepChr m:val=""/>
              <m:endChr m:val="]"/>
              <m:grow/>
            </m:dPr>
            <m:e>
              <m:d>
                <m:dPr>
                  <m:begChr m:val="("/>
                  <m:sepChr m:val=""/>
                  <m:endChr m:val=")"/>
                  <m:grow/>
                </m:dPr>
                <m:e>
                  <m:limLow>
                    <m:e>
                      <m:r>
                        <m:rPr>
                          <m:sty m:val="p"/>
                        </m:rPr>
                        <m:t>⋁</m:t>
                      </m:r>
                    </m:e>
                    <m:lim>
                      <m:r>
                        <m:t>r</m:t>
                      </m:r>
                    </m:lim>
                  </m:limLow>
                  <m:sSub>
                    <m:e>
                      <m:r>
                        <m:t>D</m:t>
                      </m:r>
                    </m:e>
                    <m:sub>
                      <m:r>
                        <m:t>v</m:t>
                      </m:r>
                      <m:r>
                        <m:t>r</m:t>
                      </m:r>
                    </m:sub>
                  </m:sSub>
                  <m:r>
                    <m:rPr>
                      <m:sty m:val="p"/>
                    </m:rPr>
                    <m:t>(</m:t>
                  </m:r>
                  <m:r>
                    <m:t>s</m:t>
                  </m:r>
                  <m:r>
                    <m:rPr>
                      <m:sty m:val="p"/>
                    </m:rPr>
                    <m:t>)</m:t>
                  </m:r>
                </m:e>
              </m:d>
              <m:r>
                <m:rPr>
                  <m:sty m:val="p"/>
                </m:rPr>
                <m:t>∧</m:t>
              </m:r>
              <m:limLow>
                <m:e>
                  <m:r>
                    <m:rPr>
                      <m:sty m:val="p"/>
                    </m:rPr>
                    <m:t>⋀</m:t>
                  </m:r>
                </m:e>
                <m:lim>
                  <m:r>
                    <m:t>r</m:t>
                  </m:r>
                </m:lim>
              </m:limLow>
              <m:d>
                <m:dPr>
                  <m:begChr m:val="("/>
                  <m:sepChr m:val=""/>
                  <m:endChr m:val=")"/>
                  <m:grow/>
                </m:dPr>
                <m:e>
                  <m:r>
                    <m:rPr>
                      <m:sty m:val="p"/>
                    </m:rPr>
                    <m:t>¬</m:t>
                  </m:r>
                  <m:sSub>
                    <m:e>
                      <m:r>
                        <m:t>D</m:t>
                      </m:r>
                    </m:e>
                    <m:sub>
                      <m:r>
                        <m:t>v</m:t>
                      </m:r>
                      <m:r>
                        <m:t>r</m:t>
                      </m:r>
                    </m:sub>
                  </m:sSub>
                  <m:r>
                    <m:rPr>
                      <m:sty m:val="p"/>
                    </m:rPr>
                    <m:t>(</m:t>
                  </m:r>
                  <m:r>
                    <m:t>s</m:t>
                  </m:r>
                  <m:r>
                    <m:rPr>
                      <m:sty m:val="p"/>
                    </m:rPr>
                    <m:t>)</m:t>
                  </m:r>
                  <m:r>
                    <m:rPr>
                      <m:sty m:val="p"/>
                    </m:rPr>
                    <m:t>∨</m:t>
                  </m:r>
                  <m:sSub>
                    <m:e>
                      <m:r>
                        <m:t>A</m:t>
                      </m:r>
                    </m:e>
                    <m:sub>
                      <m:r>
                        <m:t>v</m:t>
                      </m:r>
                      <m:r>
                        <m:t>r</m:t>
                      </m:r>
                    </m:sub>
                  </m:sSub>
                  <m:r>
                    <m:rPr>
                      <m:sty m:val="p"/>
                    </m:rPr>
                    <m:t>(</m:t>
                  </m:r>
                  <m:r>
                    <m:t>s</m:t>
                  </m:r>
                  <m:r>
                    <m:rPr>
                      <m:sty m:val="p"/>
                    </m:rPr>
                    <m:t>)</m:t>
                  </m:r>
                </m:e>
              </m:d>
            </m:e>
          </m:d>
          <m:r>
            <m:rPr>
              <m:sty m:val="p"/>
            </m:rPr>
            <m:t>.</m:t>
          </m:r>
        </m:oMath>
      </m:oMathPara>
    </w:p>
    <w:p>
      <w:pPr>
        <w:pStyle w:val="FirstParagraph"/>
      </w:pPr>
      <w:r>
        <w:rPr>
          <w:lang w:val="en-GB"/>
        </w:rPr>
        <w:t xml:space="preserve">Thus each controlled service must have at least one demanded replica, and every demanded replica must have all its eligibility gates true. Both replicas may be demanded within one attempt; there is no exclusive-choice or independent-routing assumption.</w:t>
      </w:r>
    </w:p>
    <w:p>
      <w:pPr>
        <w:pStyle w:val="BodyText"/>
      </w:pPr>
      <w:r>
        <w:rPr>
          <w:lang w:val="en-GB"/>
        </w:rPr>
        <w:t xml:space="preserve">Let</w:t>
      </w:r>
      <w:r>
        <w:rPr>
          <w:lang w:val="en-GB"/>
        </w:rPr>
        <w:t xml:space="preserve"> </w:t>
      </w:r>
      <m:oMath>
        <m:r>
          <m:t>C</m:t>
        </m:r>
        <m:r>
          <m:rPr>
            <m:sty m:val="p"/>
          </m:rPr>
          <m:t>(</m:t>
        </m:r>
        <m:r>
          <m:t>s</m:t>
        </m:r>
        <m:r>
          <m:rPr>
            <m:sty m:val="p"/>
          </m:rPr>
          <m:t>)</m:t>
        </m:r>
      </m:oMath>
      <w:r>
        <w:rPr>
          <w:lang w:val="en-GB"/>
        </w:rPr>
        <w:t xml:space="preserve"> </w:t>
      </w:r>
      <w:r>
        <w:rPr>
          <w:lang w:val="en-GB"/>
        </w:rPr>
        <w:t xml:space="preserve">be</w:t>
      </w:r>
      <w:r>
        <w:rPr>
          <w:lang w:val="en-GB"/>
        </w:rPr>
        <w:t xml:space="preserve"> </w:t>
      </w:r>
      <m:oMath>
        <m:sSub>
          <m:e>
            <m:r>
              <m:t>C</m:t>
            </m:r>
          </m:e>
          <m:sub>
            <m:r>
              <m:t>0</m:t>
            </m:r>
          </m:sub>
        </m:sSub>
      </m:oMath>
      <w:r>
        <w:rPr>
          <w:lang w:val="en-GB"/>
        </w:rPr>
        <w:t xml:space="preserve"> </w:t>
      </w:r>
      <w:r>
        <w:rPr>
          <w:lang w:val="en-GB"/>
        </w:rPr>
        <w:t xml:space="preserve">conjoined with every required</w:t>
      </w:r>
      <w:r>
        <w:rPr>
          <w:lang w:val="en-GB"/>
        </w:rPr>
        <w:t xml:space="preserve"> </w:t>
      </w:r>
      <m:oMath>
        <m:sSub>
          <m:e>
            <m:r>
              <m:t>C</m:t>
            </m:r>
          </m:e>
          <m:sub>
            <m:r>
              <m:t>g</m:t>
            </m:r>
          </m:sub>
        </m:sSub>
      </m:oMath>
      <w:r>
        <w:rPr>
          <w:lang w:val="en-GB"/>
        </w:rPr>
        <w:t xml:space="preserve"> </w:t>
      </w:r>
      <w:r>
        <w:rPr>
          <w:lang w:val="en-GB"/>
        </w:rPr>
        <w:t xml:space="preserve">and the presence of each bound required synchronous edge. Define</w:t>
      </w:r>
      <w:r>
        <w:rPr>
          <w:lang w:val="en-GB"/>
        </w:rPr>
        <w:t xml:space="preserve"> </w:t>
      </w:r>
      <m:oMath>
        <m:r>
          <m:t>E</m:t>
        </m:r>
        <m:r>
          <m:rPr>
            <m:sty m:val="p"/>
          </m:rPr>
          <m:t>(</m:t>
        </m:r>
        <m:r>
          <m:t>s</m:t>
        </m:r>
        <m:r>
          <m:rPr>
            <m:sty m:val="p"/>
          </m:rPr>
          <m:t>)</m:t>
        </m:r>
        <m:r>
          <m:rPr>
            <m:sty m:val="p"/>
          </m:rPr>
          <m:t>=</m:t>
        </m:r>
        <m:sSub>
          <m:e>
            <m:r>
              <m:t>R</m:t>
            </m:r>
          </m:e>
          <m:sub>
            <m:r>
              <m:rPr>
                <m:sty m:val="p"/>
              </m:rPr>
              <m:t>s</m:t>
            </m:r>
            <m:r>
              <m:rPr>
                <m:sty m:val="p"/>
              </m:rPr>
              <m:t>e</m:t>
            </m:r>
            <m:r>
              <m:rPr>
                <m:sty m:val="p"/>
              </m:rPr>
              <m:t>l</m:t>
            </m:r>
          </m:sub>
        </m:sSub>
        <m:r>
          <m:rPr>
            <m:sty m:val="p"/>
          </m:rPr>
          <m:t>(</m:t>
        </m:r>
        <m:r>
          <m:t>s</m:t>
        </m:r>
        <m:r>
          <m:rPr>
            <m:sty m:val="p"/>
          </m:rPr>
          <m:t>)</m:t>
        </m:r>
        <m:r>
          <m:rPr>
            <m:sty m:val="p"/>
          </m:rPr>
          <m:t>∧</m:t>
        </m:r>
        <m:r>
          <m:t>C</m:t>
        </m:r>
        <m:r>
          <m:rPr>
            <m:sty m:val="p"/>
          </m:rPr>
          <m:t>(</m:t>
        </m:r>
        <m:r>
          <m:t>s</m:t>
        </m:r>
        <m:r>
          <m:rPr>
            <m:sty m:val="p"/>
          </m:rPr>
          <m:t>)</m:t>
        </m:r>
        <m:r>
          <m:rPr>
            <m:sty m:val="p"/>
          </m:rPr>
          <m:t>∧</m:t>
        </m:r>
        <m:r>
          <m:t>T</m:t>
        </m:r>
        <m:r>
          <m:rPr>
            <m:sty m:val="p"/>
          </m:rPr>
          <m:t>(</m:t>
        </m:r>
        <m:r>
          <m:t>s</m:t>
        </m:r>
        <m:r>
          <m:rPr>
            <m:sty m:val="p"/>
          </m:rPr>
          <m:t>)</m:t>
        </m:r>
      </m:oMath>
      <w:r>
        <w:rPr>
          <w:lang w:val="en-GB"/>
        </w:rPr>
        <w:t xml:space="preserve">.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w:t>
      </w:r>
      <w:r>
        <w:rPr>
          <w:lang w:val="en-GB"/>
        </w:rPr>
        <w:t xml:space="preserve"> </w:t>
      </w:r>
      <m:oMath>
        <m:r>
          <m:t>B</m:t>
        </m:r>
      </m:oMath>
      <w:r>
        <w:rPr>
          <w:lang w:val="en-GB"/>
        </w:rPr>
        <w:t xml:space="preserve"> </w:t>
      </w:r>
      <w:r>
        <w:rPr>
          <w:lang w:val="en-GB"/>
        </w:rPr>
        <w:t xml:space="preserve">(GID),</w:t>
      </w:r>
      <w:r>
        <w:rPr>
          <w:lang w:val="en-GB"/>
        </w:rPr>
        <w:t xml:space="preserve"> </w:t>
      </w:r>
      <m:oMath>
        <m:sSub>
          <m:e>
            <m:r>
              <m:t>R</m:t>
            </m:r>
          </m:e>
          <m:sub>
            <m:r>
              <m:rPr>
                <m:sty m:val="p"/>
              </m:rPr>
              <m:t>s</m:t>
            </m:r>
            <m:r>
              <m:rPr>
                <m:sty m:val="p"/>
              </m:rPr>
              <m:t>e</m:t>
            </m:r>
            <m:r>
              <m:rPr>
                <m:sty m:val="p"/>
              </m:rPr>
              <m:t>l</m:t>
            </m:r>
          </m:sub>
        </m:sSub>
      </m:oMath>
      <w:r>
        <w:rPr>
          <w:lang w:val="en-GB"/>
        </w:rPr>
        <w:t xml:space="preserve"> </w:t>
      </w:r>
      <w:r>
        <w:rPr>
          <w:lang w:val="en-GB"/>
        </w:rPr>
        <w:t xml:space="preserve">(Gselected),</w:t>
      </w:r>
      <w:r>
        <w:rPr>
          <w:lang w:val="en-GB"/>
        </w:rPr>
        <w:t xml:space="preserve"> </w:t>
      </w:r>
      <m:oMath>
        <m:r>
          <m:t>E</m:t>
        </m:r>
      </m:oMath>
      <w:r>
        <w:rPr>
          <w:lang w:val="en-GB"/>
        </w:rPr>
        <w:t xml:space="preserve"> </w:t>
      </w:r>
      <w:r>
        <w:rPr>
          <w:lang w:val="en-GB"/>
        </w:rPr>
        <w:t xml:space="preserve">(Gstar),</w:t>
      </w:r>
      <w:r>
        <w:rPr>
          <w:lang w:val="en-GB"/>
        </w:rPr>
        <w:t xml:space="preserve"> </w:t>
      </w:r>
      <m:oMath>
        <m:sSub>
          <m:e>
            <m:r>
              <m:t>R</m:t>
            </m:r>
          </m:e>
          <m:sub>
            <m:r>
              <m:rPr>
                <m:sty m:val="p"/>
              </m:rPr>
              <m:t>s</m:t>
            </m:r>
            <m:r>
              <m:rPr>
                <m:sty m:val="p"/>
              </m:rPr>
              <m:t>e</m:t>
            </m:r>
            <m:r>
              <m:rPr>
                <m:sty m:val="p"/>
              </m:rPr>
              <m:t>l</m:t>
            </m:r>
          </m:sub>
        </m:sSub>
        <m:r>
          <m:t>C</m:t>
        </m:r>
      </m:oMath>
      <w:r>
        <w:rPr>
          <w:lang w:val="en-GB"/>
        </w:rPr>
        <w:t xml:space="preserve"> </w:t>
      </w:r>
      <w:r>
        <w:rPr>
          <w:lang w:val="en-GB"/>
        </w:rPr>
        <w:t xml:space="preserve">(without deadline),</w:t>
      </w:r>
      <w:r>
        <w:rPr>
          <w:lang w:val="en-GB"/>
        </w:rPr>
        <w:t xml:space="preserve"> </w:t>
      </w:r>
      <m:oMath>
        <m:r>
          <m:t>B</m:t>
        </m:r>
        <m:r>
          <m:t>C</m:t>
        </m:r>
        <m:r>
          <m:t>T</m:t>
        </m:r>
      </m:oMath>
      <w:r>
        <w:rPr>
          <w:lang w:val="en-GB"/>
        </w:rPr>
        <w:t xml:space="preserve"> </w:t>
      </w:r>
      <w:r>
        <w:rPr>
          <w:lang w:val="en-GB"/>
        </w:rPr>
        <w:t xml:space="preserve">(without selection), and</w:t>
      </w:r>
      <w:r>
        <w:rPr>
          <w:lang w:val="en-GB"/>
        </w:rPr>
        <w:t xml:space="preserve"> </w:t>
      </w:r>
      <m:oMath>
        <m:sSub>
          <m:e>
            <m:r>
              <m:t>R</m:t>
            </m:r>
          </m:e>
          <m:sub>
            <m:r>
              <m:rPr>
                <m:sty m:val="p"/>
              </m:rPr>
              <m:t>s</m:t>
            </m:r>
            <m:r>
              <m:rPr>
                <m:sty m:val="p"/>
              </m:rPr>
              <m:t>e</m:t>
            </m:r>
            <m:r>
              <m:rPr>
                <m:sty m:val="p"/>
              </m:rPr>
              <m:t>l</m:t>
            </m:r>
          </m:sub>
        </m:sSub>
        <m:r>
          <m:t>T</m:t>
        </m:r>
      </m:oMath>
      <w:r>
        <w:rPr>
          <w:lang w:val="en-GB"/>
        </w:rPr>
        <w:t xml:space="preserve"> </w:t>
      </w:r>
      <w:r>
        <w:rPr>
          <w:lang w:val="en-GB"/>
        </w:rPr>
        <w:t xml:space="preserve">(without completion), where multiplication denotes Boolean conjunction.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w:t>
      </w:r>
      <w:r>
        <w:rPr>
          <w:lang w:val="en-GB"/>
        </w:rPr>
        <w:t xml:space="preserve"> </w:t>
      </w:r>
      <m:oMath>
        <m:r>
          <m:t>E</m:t>
        </m:r>
        <m:r>
          <m:rPr>
            <m:sty m:val="p"/>
          </m:rPr>
          <m:t>≤</m:t>
        </m:r>
        <m:sSub>
          <m:e>
            <m:r>
              <m:t>R</m:t>
            </m:r>
          </m:e>
          <m:sub>
            <m:r>
              <m:rPr>
                <m:sty m:val="p"/>
              </m:rPr>
              <m:t>s</m:t>
            </m:r>
            <m:r>
              <m:rPr>
                <m:sty m:val="p"/>
              </m:rPr>
              <m:t>e</m:t>
            </m:r>
            <m:r>
              <m:rPr>
                <m:sty m:val="p"/>
              </m:rPr>
              <m:t>l</m:t>
            </m:r>
          </m:sub>
        </m:sSub>
        <m:r>
          <m:rPr>
            <m:sty m:val="p"/>
          </m:rPr>
          <m:t>≤</m:t>
        </m:r>
        <m:r>
          <m:t>B</m:t>
        </m:r>
      </m:oMath>
      <w:r>
        <w:rPr>
          <w:lang w:val="en-GB"/>
        </w:rPr>
        <w:t xml:space="preserve">, and</w:t>
      </w:r>
      <w:r>
        <w:rPr>
          <w:lang w:val="en-GB"/>
        </w:rPr>
        <w:t xml:space="preserve"> </w:t>
      </w:r>
      <m:oMath>
        <m:r>
          <m:t>E</m:t>
        </m:r>
      </m:oMath>
      <w:r>
        <w:rPr>
          <w:lang w:val="en-GB"/>
        </w:rPr>
        <w:t xml:space="preserve"> </w:t>
      </w:r>
      <w:r>
        <w:rPr>
          <w:lang w:val="en-GB"/>
        </w:rPr>
        <w:t xml:space="preserve">is no greater than any of its three single-guard ablations. For every law</w:t>
      </w:r>
      <w:r>
        <w:rPr>
          <w:lang w:val="en-GB"/>
        </w:rPr>
        <w:t xml:space="preserve"> </w:t>
      </w:r>
      <m:oMath>
        <m:r>
          <m:t>P</m:t>
        </m:r>
      </m:oMath>
      <w:r>
        <w:rPr>
          <w:lang w:val="en-GB"/>
        </w:rPr>
        <w:t xml:space="preserve">,</w:t>
      </w:r>
    </w:p>
    <w:p>
      <w:pPr>
        <w:pStyle w:val="BodyText"/>
      </w:pPr>
      <m:oMathPara>
        <m:oMathParaPr>
          <m:jc m:val="center"/>
        </m:oMathParaPr>
        <m:oMath>
          <m:sSub>
            <m:e>
              <m:r>
                <m:rPr>
                  <m:scr m:val="double-struck"/>
                  <m:sty m:val="p"/>
                </m:rPr>
                <m:t>E</m:t>
              </m:r>
            </m:e>
            <m:sub>
              <m:r>
                <m:t>P</m:t>
              </m:r>
            </m:sub>
          </m:sSub>
          <m:r>
            <m:rPr>
              <m:sty m:val="p"/>
            </m:rPr>
            <m:t>[</m:t>
          </m:r>
          <m:r>
            <m:t>B</m:t>
          </m:r>
          <m:r>
            <m:rPr>
              <m:sty m:val="p"/>
            </m:rPr>
            <m:t>]</m:t>
          </m:r>
          <m:r>
            <m:rPr>
              <m:sty m:val="p"/>
            </m:rPr>
            <m:t>−</m:t>
          </m:r>
          <m:sSub>
            <m:e>
              <m:r>
                <m:rPr>
                  <m:scr m:val="double-struck"/>
                  <m:sty m:val="p"/>
                </m:rPr>
                <m:t>E</m:t>
              </m:r>
            </m:e>
            <m:sub>
              <m:r>
                <m:t>P</m:t>
              </m:r>
            </m:sub>
          </m:sSub>
          <m:r>
            <m:rPr>
              <m:sty m:val="p"/>
            </m:rPr>
            <m:t>[</m:t>
          </m:r>
          <m:r>
            <m:t>E</m:t>
          </m:r>
          <m:r>
            <m:rPr>
              <m:sty m:val="p"/>
            </m:rPr>
            <m:t>]</m:t>
          </m:r>
          <m:r>
            <m:rPr>
              <m:sty m:val="p"/>
            </m:rPr>
            <m:t>=</m:t>
          </m:r>
          <m:r>
            <m:t>P</m:t>
          </m:r>
          <m:r>
            <m:rPr>
              <m:sty m:val="p"/>
            </m:rPr>
            <m:t>{</m:t>
          </m:r>
          <m:r>
            <m:t>B</m:t>
          </m:r>
          <m:r>
            <m:rPr>
              <m:sty m:val="p"/>
            </m:rPr>
            <m:t>=</m:t>
          </m:r>
          <m:r>
            <m:t>1</m:t>
          </m:r>
          <m:r>
            <m:rPr>
              <m:sty m:val="p"/>
            </m:rPr>
            <m:t>,</m:t>
          </m:r>
          <m:r>
            <m:t> </m:t>
          </m:r>
          <m:r>
            <m:t>E</m:t>
          </m:r>
          <m:r>
            <m:rPr>
              <m:sty m:val="p"/>
            </m:rPr>
            <m:t>=</m:t>
          </m:r>
          <m:r>
            <m:t>0</m:t>
          </m:r>
          <m:r>
            <m:rPr>
              <m:sty m:val="p"/>
            </m:rPr>
            <m:t>}</m:t>
          </m:r>
          <m:r>
            <m:rPr>
              <m:sty m:val="p"/>
            </m:rPr>
            <m:t>.</m:t>
          </m:r>
        </m:oMath>
      </m:oMathPara>
    </w:p>
    <w:p>
      <w:pPr>
        <w:pStyle w:val="FirstParagraph"/>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violates equality, proving that pointwise equality is necessary. These are elementary indicator facts, not a new general probability theorem.</w:t>
      </w:r>
    </w:p>
    <w:p>
      <w:pPr>
        <w:pStyle w:val="BodyText"/>
      </w:pPr>
      <w:r>
        <w:rPr>
          <w:lang w:val="en-GB"/>
        </w:rPr>
        <w:t xml:space="preserve">For a concrete strict inequality, consider one controlled service with replicas a and b. Replica a is eligible and b is not, but the request demands only b. Then</w:t>
      </w:r>
      <w:r>
        <w:rPr>
          <w:lang w:val="en-GB"/>
        </w:rPr>
        <w:t xml:space="preserve"> </w:t>
      </w:r>
      <m:oMath>
        <m:r>
          <m:t>B</m:t>
        </m:r>
        <m:r>
          <m:rPr>
            <m:sty m:val="p"/>
          </m:rPr>
          <m:t>=</m:t>
        </m:r>
        <m:r>
          <m:t>1</m:t>
        </m:r>
      </m:oMath>
      <w:r>
        <w:rPr>
          <w:lang w:val="en-GB"/>
        </w:rPr>
        <w:t xml:space="preserve"> </w:t>
      </w:r>
      <w:r>
        <w:rPr>
          <w:lang w:val="en-GB"/>
        </w:rPr>
        <w:t xml:space="preserve">and</w:t>
      </w:r>
      <w:r>
        <w:rPr>
          <w:lang w:val="en-GB"/>
        </w:rPr>
        <w:t xml:space="preserve"> </w:t>
      </w:r>
      <m:oMath>
        <m:sSub>
          <m:e>
            <m:r>
              <m:t>R</m:t>
            </m:r>
          </m:e>
          <m:sub>
            <m:r>
              <m:rPr>
                <m:sty m:val="p"/>
              </m:rPr>
              <m:t>s</m:t>
            </m:r>
            <m:r>
              <m:rPr>
                <m:sty m:val="p"/>
              </m:rPr>
              <m:t>e</m:t>
            </m:r>
            <m:r>
              <m:rPr>
                <m:sty m:val="p"/>
              </m:rPr>
              <m:t>l</m:t>
            </m:r>
          </m:sub>
        </m:sSub>
        <m:r>
          <m:rPr>
            <m:sty m:val="p"/>
          </m:rPr>
          <m:t>=</m:t>
        </m:r>
        <m:r>
          <m:t>E</m:t>
        </m:r>
        <m:r>
          <m:rPr>
            <m:sty m:val="p"/>
          </m:rPr>
          <m:t>=</m:t>
        </m:r>
        <m:r>
          <m:t>0</m:t>
        </m:r>
      </m:oMath>
      <w:r>
        <w:rPr>
          <w:lang w:val="en-GB"/>
        </w:rPr>
        <w:t xml:space="preserve">, even if all other guards are true. Similarly,</w:t>
      </w:r>
      <w:r>
        <w:rPr>
          <w:lang w:val="en-GB"/>
        </w:rPr>
        <w:t xml:space="preserve"> </w:t>
      </w:r>
      <m:oMath>
        <m:sSub>
          <m:e>
            <m:r>
              <m:t>R</m:t>
            </m:r>
          </m:e>
          <m:sub>
            <m:r>
              <m:rPr>
                <m:sty m:val="p"/>
              </m:rPr>
              <m:t>s</m:t>
            </m:r>
            <m:r>
              <m:rPr>
                <m:sty m:val="p"/>
              </m:rPr>
              <m:t>e</m:t>
            </m:r>
            <m:r>
              <m:rPr>
                <m:sty m:val="p"/>
              </m:rPr>
              <m:t>l</m:t>
            </m:r>
          </m:sub>
        </m:sSub>
        <m:r>
          <m:rPr>
            <m:sty m:val="p"/>
          </m:rPr>
          <m:t>=</m:t>
        </m:r>
        <m:r>
          <m:t>C</m:t>
        </m:r>
        <m:r>
          <m:rPr>
            <m:sty m:val="p"/>
          </m:rPr>
          <m:t>=</m:t>
        </m:r>
        <m:r>
          <m:t>1</m:t>
        </m:r>
      </m:oMath>
      <w:r>
        <w:rPr>
          <w:lang w:val="en-GB"/>
        </w:rPr>
        <w:t xml:space="preserve"> </w:t>
      </w:r>
      <w:r>
        <w:rPr>
          <w:lang w:val="en-GB"/>
        </w:rPr>
        <w:t xml:space="preserve">with</w:t>
      </w:r>
      <w:r>
        <w:rPr>
          <w:lang w:val="en-GB"/>
        </w:rPr>
        <w:t xml:space="preserve"> </w:t>
      </w:r>
      <m:oMath>
        <m:r>
          <m:t>T</m:t>
        </m:r>
        <m:r>
          <m:rPr>
            <m:sty m:val="p"/>
          </m:rPr>
          <m:t>=</m:t>
        </m:r>
        <m:r>
          <m:t>0</m:t>
        </m:r>
      </m:oMath>
      <w:r>
        <w:rPr>
          <w:lang w:val="en-GB"/>
        </w:rPr>
        <w:t xml:space="preserve"> </w:t>
      </w:r>
      <w:r>
        <w:rPr>
          <w:lang w:val="en-GB"/>
        </w:rPr>
        <w:t xml:space="preserve">distinguishes execution from the variant that omits the deadline. These are complete-state counterexamples to removing the corresponding guard without an assumption excluding such states.</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8">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9"/>
    <w:bookmarkStart w:id="40"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m:oMathPara>
        <m:oMathParaPr>
          <m:jc m:val="center"/>
        </m:oMathParaPr>
        <m:oMath>
          <m:r>
            <m:t>L</m:t>
          </m:r>
          <m:r>
            <m:rPr>
              <m:sty m:val="p"/>
            </m:rPr>
            <m:t>(</m:t>
          </m:r>
          <m:r>
            <m:t>f</m:t>
          </m:r>
          <m:r>
            <m:rPr>
              <m:sty m:val="p"/>
            </m:rPr>
            <m:t>)</m:t>
          </m:r>
          <m:r>
            <m:rPr>
              <m:sty m:val="p"/>
            </m:rPr>
            <m:t>=</m:t>
          </m:r>
          <m:nary>
            <m:naryPr>
              <m:chr m:val="∑"/>
              <m:limLoc m:val="undOvr"/>
              <m:subHide m:val="off"/>
              <m:supHide m:val="on"/>
            </m:naryPr>
            <m:sub>
              <m:r>
                <m:t>o</m:t>
              </m:r>
            </m:sub>
            <m:sup>
              <m:r>
                <m:t>​</m:t>
              </m:r>
            </m:sup>
            <m:e>
              <m:r>
                <m:t>Q</m:t>
              </m:r>
            </m:e>
          </m:nary>
          <m:r>
            <m:rPr>
              <m:sty m:val="p"/>
            </m:rPr>
            <m:t>(</m:t>
          </m:r>
          <m:r>
            <m:t>o</m:t>
          </m:r>
          <m:r>
            <m:rPr>
              <m:sty m:val="p"/>
            </m:rPr>
            <m:t>)</m:t>
          </m:r>
          <m:limLow>
            <m:e>
              <m:r>
                <m:rPr>
                  <m:sty m:val="p"/>
                </m:rPr>
                <m:t>min</m:t>
              </m:r>
            </m:e>
            <m:lim>
              <m:r>
                <m:t>s</m:t>
              </m:r>
              <m:r>
                <m:rPr>
                  <m:sty m:val="p"/>
                </m:rPr>
                <m:t>∈</m:t>
              </m:r>
              <m:r>
                <m:t>F</m:t>
              </m:r>
              <m:r>
                <m:rPr>
                  <m:sty m:val="p"/>
                </m:rPr>
                <m:t>(</m:t>
              </m:r>
              <m:r>
                <m:t>o</m:t>
              </m:r>
              <m:r>
                <m:rPr>
                  <m:sty m:val="p"/>
                </m:rPr>
                <m:t>)</m:t>
              </m:r>
            </m:lim>
          </m:limLow>
          <m:r>
            <m:t>f</m:t>
          </m:r>
          <m:r>
            <m:rPr>
              <m:sty m:val="p"/>
            </m:rPr>
            <m:t>(</m:t>
          </m:r>
          <m:r>
            <m:t>s</m:t>
          </m:r>
          <m:r>
            <m:rPr>
              <m:sty m:val="p"/>
            </m:rPr>
            <m:t>)</m:t>
          </m:r>
          <m:r>
            <m:rPr>
              <m:sty m:val="p"/>
            </m:rPr>
            <m:t>,</m:t>
          </m:r>
          <m:r>
            <m:t>  </m:t>
          </m:r>
          <m:r>
            <m:t>U</m:t>
          </m:r>
          <m:r>
            <m:rPr>
              <m:sty m:val="p"/>
            </m:rPr>
            <m:t>(</m:t>
          </m:r>
          <m:r>
            <m:t>f</m:t>
          </m:r>
          <m:r>
            <m:rPr>
              <m:sty m:val="p"/>
            </m:rPr>
            <m:t>)</m:t>
          </m:r>
          <m:r>
            <m:rPr>
              <m:sty m:val="p"/>
            </m:rPr>
            <m:t>=</m:t>
          </m:r>
          <m:nary>
            <m:naryPr>
              <m:chr m:val="∑"/>
              <m:limLoc m:val="undOvr"/>
              <m:subHide m:val="off"/>
              <m:supHide m:val="on"/>
            </m:naryPr>
            <m:sub>
              <m:r>
                <m:t>o</m:t>
              </m:r>
            </m:sub>
            <m:sup>
              <m:r>
                <m:t>​</m:t>
              </m:r>
            </m:sup>
            <m:e>
              <m:r>
                <m:t>Q</m:t>
              </m:r>
            </m:e>
          </m:nary>
          <m:r>
            <m:rPr>
              <m:sty m:val="p"/>
            </m:rPr>
            <m:t>(</m:t>
          </m:r>
          <m:r>
            <m:t>o</m:t>
          </m:r>
          <m:r>
            <m:rPr>
              <m:sty m:val="p"/>
            </m:rPr>
            <m:t>)</m:t>
          </m:r>
          <m:limLow>
            <m:e>
              <m:r>
                <m:rPr>
                  <m:sty m:val="p"/>
                </m:rPr>
                <m:t>max</m:t>
              </m:r>
            </m:e>
            <m:lim>
              <m:r>
                <m:t>s</m:t>
              </m:r>
              <m:r>
                <m:rPr>
                  <m:sty m:val="p"/>
                </m:rPr>
                <m:t>∈</m:t>
              </m:r>
              <m:r>
                <m:t>F</m:t>
              </m:r>
              <m:r>
                <m:rPr>
                  <m:sty m:val="p"/>
                </m:rPr>
                <m:t>(</m:t>
              </m:r>
              <m:r>
                <m:t>o</m:t>
              </m:r>
              <m:r>
                <m:rPr>
                  <m:sty m:val="p"/>
                </m:rPr>
                <m:t>)</m:t>
              </m:r>
            </m:lim>
          </m:limLow>
          <m:r>
            <m:t>f</m:t>
          </m:r>
          <m:r>
            <m:rPr>
              <m:sty m:val="p"/>
            </m:rPr>
            <m:t>(</m:t>
          </m:r>
          <m:r>
            <m:t>s</m:t>
          </m:r>
          <m:r>
            <m:rPr>
              <m:sty m:val="p"/>
            </m:rPr>
            <m:t>)</m:t>
          </m:r>
          <m:r>
            <m:rPr>
              <m:sty m:val="p"/>
            </m:rPr>
            <m:t>.</m:t>
          </m:r>
        </m:oMath>
      </m:oMathPara>
    </w:p>
    <w:p>
      <w:pPr>
        <w:pStyle w:val="FirstParagraph"/>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b/>
          <w:bCs/>
          <w:lang w:val="en-GB"/>
        </w:rPr>
        <w:t xml:space="preserve">Identification algorithm.</w:t>
      </w:r>
      <w:r>
        <w:rPr>
          <w:lang w:val="en-GB"/>
        </w:rPr>
        <w:t xml:space="preserve"> </w:t>
      </w:r>
      <w:r>
        <w:rPr>
          <w:lang w:val="en-GB"/>
        </w:rPr>
        <w:t xml:space="preserve">The source declarations and permitted calibration-role files are inputs; the serialized graph model, category counts, functional bounds and point/refusal statuses are outputs.</w:t>
      </w:r>
    </w:p>
    <w:p>
      <w:pPr>
        <w:pStyle w:val="Compact"/>
        <w:numPr>
          <w:ilvl w:val="0"/>
          <w:numId w:val="1001"/>
        </w:numPr>
      </w:pPr>
      <w:r>
        <w:rPr>
          <w:lang w:val="en-GB"/>
        </w:rPr>
        <w:t xml:space="preserve">Extract the observed graph, bind required edges and replica gates to the source declarations, and validate every structural binding. A missing or ambiguous required binding returns an explicit unsupported status.</w:t>
      </w:r>
    </w:p>
    <w:p>
      <w:pPr>
        <w:pStyle w:val="Compact"/>
        <w:numPr>
          <w:ilvl w:val="0"/>
          <w:numId w:val="1001"/>
        </w:numPr>
      </w:pPr>
      <w:r>
        <w:rPr>
          <w:lang w:val="en-GB"/>
        </w:rPr>
        <w:t xml:space="preserve">Form one masked X/D/C/T row per calibration attempt and count identical rows. With</w:t>
      </w:r>
      <w:r>
        <w:rPr>
          <w:lang w:val="en-GB"/>
        </w:rPr>
        <w:t xml:space="preserve"> </w:t>
      </w:r>
      <m:oMath>
        <m:r>
          <m:t>N</m:t>
        </m:r>
      </m:oMath>
      <w:r>
        <w:rPr>
          <w:lang w:val="en-GB"/>
        </w:rPr>
        <w:t xml:space="preserve"> </w:t>
      </w:r>
      <w:r>
        <w:rPr>
          <w:lang w:val="en-GB"/>
        </w:rPr>
        <w:t xml:space="preserve">attempts and category count</w:t>
      </w:r>
      <w:r>
        <w:rPr>
          <w:lang w:val="en-GB"/>
        </w:rPr>
        <w:t xml:space="preserve"> </w:t>
      </w:r>
      <m:oMath>
        <m:sSub>
          <m:e>
            <m:r>
              <m:t>n</m:t>
            </m:r>
          </m:e>
          <m:sub>
            <m:r>
              <m:t>o</m:t>
            </m:r>
          </m:sub>
        </m:sSub>
      </m:oMath>
      <w:r>
        <w:rPr>
          <w:lang w:val="en-GB"/>
        </w:rPr>
        <w:t xml:space="preserve">, store</w:t>
      </w:r>
      <w:r>
        <w:rPr>
          <w:lang w:val="en-GB"/>
        </w:rPr>
        <w:t xml:space="preserve"> </w:t>
      </w:r>
      <m:oMath>
        <m:r>
          <m:t>Q</m:t>
        </m:r>
        <m:r>
          <m:rPr>
            <m:sty m:val="p"/>
          </m:rPr>
          <m:t>(</m:t>
        </m:r>
        <m:r>
          <m:t>o</m:t>
        </m:r>
        <m:r>
          <m:rPr>
            <m:sty m:val="p"/>
          </m:rPr>
          <m:t>)</m:t>
        </m:r>
        <m:r>
          <m:rPr>
            <m:sty m:val="p"/>
          </m:rPr>
          <m:t>=</m:t>
        </m:r>
        <m:sSub>
          <m:e>
            <m:r>
              <m:t>n</m:t>
            </m:r>
          </m:e>
          <m:sub>
            <m:r>
              <m:t>o</m:t>
            </m:r>
          </m:sub>
        </m:sSub>
        <m:r>
          <m:rPr>
            <m:sty m:val="p"/>
          </m:rPr>
          <m:t>/</m:t>
        </m:r>
        <m:r>
          <m:t>N</m:t>
        </m:r>
      </m:oMath>
      <w:r>
        <w:rPr>
          <w:lang w:val="en-GB"/>
        </w:rPr>
        <w:t xml:space="preserve"> </w:t>
      </w:r>
      <w:r>
        <w:rPr>
          <w:lang w:val="en-GB"/>
        </w:rPr>
        <w:t xml:space="preserve">exactly; do not discard incomplete rows.</w:t>
      </w:r>
    </w:p>
    <w:p>
      <w:pPr>
        <w:pStyle w:val="Compact"/>
        <w:numPr>
          <w:ilvl w:val="0"/>
          <w:numId w:val="1001"/>
        </w:numPr>
      </w:pPr>
      <w:r>
        <w:rPr>
          <w:lang w:val="en-GB"/>
        </w:rPr>
        <w:t xml:space="preserve">For each category, enumerate its unknown control bits and the feasible completion extremes. Evaluate each functional and each paired gap on the same complete candidate state. If the category has</w:t>
      </w:r>
      <w:r>
        <w:rPr>
          <w:lang w:val="en-GB"/>
        </w:rPr>
        <w:t xml:space="preserve"> </w:t>
      </w:r>
      <m:oMath>
        <m:sSub>
          <m:e>
            <m:r>
              <m:t>k</m:t>
            </m:r>
          </m:e>
          <m:sub>
            <m:r>
              <m:t>o</m:t>
            </m:r>
          </m:sub>
        </m:sSub>
      </m:oMath>
      <w:r>
        <w:rPr>
          <w:lang w:val="en-GB"/>
        </w:rPr>
        <w:t xml:space="preserve"> </w:t>
      </w:r>
      <w:r>
        <w:rPr>
          <w:lang w:val="en-GB"/>
        </w:rPr>
        <w:t xml:space="preserve">unknown control bits, this requires at most</w:t>
      </w:r>
      <w:r>
        <w:rPr>
          <w:lang w:val="en-GB"/>
        </w:rPr>
        <w:t xml:space="preserve"> </w:t>
      </w:r>
      <m:oMath>
        <m:sSup>
          <m:e>
            <m:r>
              <m:t>2</m:t>
            </m:r>
          </m:e>
          <m:sup>
            <m:sSub>
              <m:e>
                <m:r>
                  <m:t>k</m:t>
                </m:r>
              </m:e>
              <m:sub>
                <m:r>
                  <m:t>o</m:t>
                </m:r>
              </m:sub>
            </m:sSub>
            <m:r>
              <m:rPr>
                <m:sty m:val="p"/>
              </m:rPr>
              <m:t>+</m:t>
            </m:r>
            <m:r>
              <m:t>1</m:t>
            </m:r>
          </m:sup>
        </m:sSup>
      </m:oMath>
      <w:r>
        <w:rPr>
          <w:lang w:val="en-GB"/>
        </w:rPr>
        <w:t xml:space="preserve"> </w:t>
      </w:r>
      <w:r>
        <w:rPr>
          <w:lang w:val="en-GB"/>
        </w:rPr>
        <w:t xml:space="preserve">candidate states, where</w:t>
      </w:r>
      <w:r>
        <w:rPr>
          <w:lang w:val="en-GB"/>
        </w:rPr>
        <w:t xml:space="preserve"> </w:t>
      </w:r>
      <m:oMath>
        <m:sSub>
          <m:e>
            <m:r>
              <m:t>k</m:t>
            </m:r>
          </m:e>
          <m:sub>
            <m:r>
              <m:t>o</m:t>
            </m:r>
          </m:sub>
        </m:sSub>
        <m:r>
          <m:rPr>
            <m:sty m:val="p"/>
          </m:rPr>
          <m:t>≤</m:t>
        </m:r>
        <m:r>
          <m:t>10</m:t>
        </m:r>
      </m:oMath>
      <w:r>
        <w:rPr>
          <w:lang w:val="en-GB"/>
        </w:rPr>
        <w:t xml:space="preserve">.</w:t>
      </w:r>
    </w:p>
    <w:p>
      <w:pPr>
        <w:pStyle w:val="Compact"/>
        <w:numPr>
          <w:ilvl w:val="0"/>
          <w:numId w:val="1001"/>
        </w:numPr>
      </w:pPr>
      <w:r>
        <w:rPr>
          <w:lang w:val="en-GB"/>
        </w:rPr>
        <w:t xml:space="preserve">Accumulate the weighted minimum and maximum for each functional. Return the common value only when its two exact bounds coincide; otherwise retain the interval and a null point.</w:t>
      </w:r>
    </w:p>
    <w:p>
      <w:pPr>
        <w:pStyle w:val="Compact"/>
        <w:numPr>
          <w:ilvl w:val="0"/>
          <w:numId w:val="1001"/>
        </w:numPr>
      </w:pPr>
      <w:r>
        <w:rPr>
          <w:lang w:val="en-GB"/>
        </w:rPr>
        <w:t xml:space="preserve">Serialize the discovered structure, bindings, counts and results, then reproduce the calculation in a separate process before sealing the forecast for later evaluation.</w:t>
      </w:r>
    </w:p>
    <w:p>
      <w:pPr>
        <w:pStyle w:val="FirstParagraph"/>
      </w:pPr>
      <w:r>
        <w:rPr>
          <w:lang w:val="en-GB"/>
        </w:rPr>
        <w:t xml:space="preserve">The candidate bound concerns the finite solver after extraction; it is not a runtime bound for acquiring telemetry or integrating an application. It also does not imply that every recorded coordinate is identified. For example, in a simple reachable graph, a category with known</w:t>
      </w:r>
      <w:r>
        <w:rPr>
          <w:lang w:val="en-GB"/>
        </w:rPr>
        <w:t xml:space="preserve"> </w:t>
      </w:r>
      <m:oMath>
        <m:r>
          <m:t>T</m:t>
        </m:r>
        <m:r>
          <m:rPr>
            <m:sty m:val="p"/>
          </m:rPr>
          <m:t>=</m:t>
        </m:r>
        <m:r>
          <m:t>0</m:t>
        </m:r>
      </m:oMath>
      <w:r>
        <w:rPr>
          <w:lang w:val="en-GB"/>
        </w:rPr>
        <w:t xml:space="preserve"> </w:t>
      </w:r>
      <w:r>
        <w:rPr>
          <w:lang w:val="en-GB"/>
        </w:rPr>
        <w:t xml:space="preserve">and all other coordinates masked fixes</w:t>
      </w:r>
      <w:r>
        <w:rPr>
          <w:lang w:val="en-GB"/>
        </w:rPr>
        <w:t xml:space="preserve"> </w:t>
      </w:r>
      <m:oMath>
        <m:r>
          <m:t>E</m:t>
        </m:r>
        <m:r>
          <m:rPr>
            <m:sty m:val="p"/>
          </m:rPr>
          <m:t>=</m:t>
        </m:r>
        <m:r>
          <m:t>0</m:t>
        </m:r>
      </m:oMath>
      <w:r>
        <w:rPr>
          <w:lang w:val="en-GB"/>
        </w:rPr>
        <w:t xml:space="preserve"> </w:t>
      </w:r>
      <w:r>
        <w:rPr>
          <w:lang w:val="en-GB"/>
        </w:rPr>
        <w:t xml:space="preserve">while</w:t>
      </w:r>
      <w:r>
        <w:rPr>
          <w:lang w:val="en-GB"/>
        </w:rPr>
        <w:t xml:space="preserve"> </w:t>
      </w:r>
      <m:oMath>
        <m:r>
          <m:t>B</m:t>
        </m:r>
      </m:oMath>
      <w:r>
        <w:rPr>
          <w:lang w:val="en-GB"/>
        </w:rPr>
        <w:t xml:space="preserve"> </w:t>
      </w:r>
      <w:r>
        <w:rPr>
          <w:lang w:val="en-GB"/>
        </w:rPr>
        <w:t xml:space="preserve">can still range over</w:t>
      </w:r>
      <w:r>
        <w:rPr>
          <w:lang w:val="en-GB"/>
        </w:rPr>
        <w:t xml:space="preserve"> </w:t>
      </w:r>
      <m:oMath>
        <m:r>
          <m:rPr>
            <m:sty m:val="p"/>
          </m:rPr>
          <m:t>[</m:t>
        </m:r>
        <m:r>
          <m:t>0</m:t>
        </m:r>
        <m:r>
          <m:rPr>
            <m:sty m:val="p"/>
          </m:rPr>
          <m:t>,</m:t>
        </m:r>
        <m:r>
          <m:t>1</m:t>
        </m:r>
        <m:r>
          <m:rPr>
            <m:sty m:val="p"/>
          </m:rPr>
          <m:t>]</m:t>
        </m:r>
      </m:oMath>
      <w:r>
        <w:rPr>
          <w:lang w:val="en-GB"/>
        </w:rPr>
        <w:t xml:space="preserve">. Removing a guard can therefore destroy point identification. The solver returns that ambiguity instead of imputing the missing states.</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40"/>
    <w:bookmarkStart w:id="43"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41">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The prospective v3 chain uses a disclosed, SHA-pinned clock-progress correction to the author PMX binary: a zero or nonrepresentably small step advances by max(1 ns, one double ULP), while original interval endpoints and observations are preserved. Its</w:t>
      </w:r>
      <w:r>
        <w:rPr>
          <w:lang w:val="en-GB"/>
        </w:rPr>
        <w:t xml:space="preserve"> </w:t>
      </w:r>
      <w:hyperlink r:id="rId42">
        <w:r>
          <w:rPr>
            <w:rStyle w:val="Hyperlink"/>
            <w:lang w:val="en-GB"/>
          </w:rPr>
          <w:t xml:space="preserve">matched development qualification</w:t>
        </w:r>
      </w:hyperlink>
      <w:r>
        <w:rPr>
          <w:lang w:val="en-GB"/>
        </w:rPr>
        <w:t xml:space="preserve"> </w:t>
      </w:r>
      <w:r>
        <w:rPr>
          <w:lang w:val="en-GB"/>
        </w:rPr>
        <w:t xml:space="preserve">preserves all 32 previously supported forecasts and resolves one timed-out projection; it does not supply independent test accuracy. Derived-binary compilation is recorded separately from extraction and solving.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43"/>
    <w:bookmarkStart w:id="45"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44">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45"/>
    <w:bookmarkStart w:id="46"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4">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6"/>
    <w:bookmarkEnd w:id="47"/>
    <w:bookmarkStart w:id="73" w:name="results"/>
    <w:p>
      <w:pPr>
        <w:pStyle w:val="Heading2"/>
      </w:pPr>
      <w:r>
        <w:rPr>
          <w:lang w:val="en-GB"/>
        </w:rPr>
        <w:t xml:space="preserve">Results</w:t>
      </w:r>
    </w:p>
    <w:bookmarkStart w:id="57"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8">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50" name="Picture"/>
            <a:graphic>
              <a:graphicData uri="http://schemas.openxmlformats.org/drawingml/2006/picture">
                <pic:pic>
                  <pic:nvPicPr>
                    <pic:cNvPr descr="../figures/aina-audit-v3-review.png" id="51" name="Picture"/>
                    <pic:cNvPicPr>
                      <a:picLocks noChangeArrowheads="1" noChangeAspect="1"/>
                    </pic:cNvPicPr>
                  </pic:nvPicPr>
                  <pic:blipFill>
                    <a:blip r:embed="rId49"/>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52">
        <w:r>
          <w:rPr>
            <w:rStyle w:val="Hyperlink"/>
            <w:i/>
            <w:iCs/>
            <w:lang w:val="en-GB"/>
          </w:rPr>
          <w:t xml:space="preserve">vector PDF</w:t>
        </w:r>
      </w:hyperlink>
      <w:r>
        <w:rPr>
          <w:i/>
          <w:iCs/>
          <w:lang w:val="en-GB"/>
        </w:rPr>
        <w:t xml:space="preserve">,</w:t>
      </w:r>
      <w:r>
        <w:rPr>
          <w:i/>
          <w:iCs/>
          <w:lang w:val="en-GB"/>
        </w:rPr>
        <w:t xml:space="preserve"> </w:t>
      </w:r>
      <w:hyperlink r:id="rId53">
        <w:r>
          <w:rPr>
            <w:rStyle w:val="Hyperlink"/>
            <w:i/>
            <w:iCs/>
            <w:lang w:val="en-GB"/>
          </w:rPr>
          <w:t xml:space="preserve">source/provenance and exact values</w:t>
        </w:r>
      </w:hyperlink>
      <w:r>
        <w:rPr>
          <w:i/>
          <w:iCs/>
          <w:lang w:val="en-GB"/>
        </w:rPr>
        <w:t xml:space="preserve">, and</w:t>
      </w:r>
      <w:r>
        <w:rPr>
          <w:i/>
          <w:iCs/>
          <w:lang w:val="en-GB"/>
        </w:rPr>
        <w:t xml:space="preserve"> </w:t>
      </w:r>
      <w:hyperlink r:id="rId54">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55">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6">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7"/>
    <w:bookmarkStart w:id="58"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8">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8"/>
    <w:bookmarkStart w:id="61"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9">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60">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61"/>
    <w:bookmarkStart w:id="69"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 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62">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63">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65"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 34447262633 completes all 36 workflow jobs and resolves the request-profile interface. Nineteen of 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 1800 second PMX watchdog and exits 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64">
        <w:r>
          <w:rPr>
            <w:rStyle w:val="Hyperlink"/>
            <w:lang w:val="en-GB"/>
          </w:rPr>
          <w:t xml:space="preserve">v2 failure record</w:t>
        </w:r>
      </w:hyperlink>
      <w:r>
        <w:rPr>
          <w:lang w:val="en-GB"/>
        </w:rPr>
        <w:t xml:space="preserve"> </w:t>
      </w:r>
      <w:r>
        <w:rPr>
          <w:lang w:val="en-GB"/>
        </w:rPr>
        <w:t xml:space="preserve">retains all 200 method slots, all 21,600 all-sequence test attempts and the exact missing forecasts. Primary PMX has 13 points, six valid conditional-local refusals and one technical failure; inclusive PMX has 19 points and one failure. Gstar has 10 points, eight ambiguous cells and two structural refusals. The successful subchain retains 48 known oracle solves and passes 1293 other strict provenance/replay/read-order checks. Those checks do not remove the failed admission gates. A separately declared exact-input process diagnostic follows; the cause of the nonterminating process is not inferred from its timeout alone.</w:t>
      </w:r>
    </w:p>
    <w:bookmarkEnd w:id="65"/>
    <w:bookmarkStart w:id="66" w:name="Xf831647aee167505ae71107c3ae6e0b2616b92b"/>
    <w:p>
      <w:pPr>
        <w:pStyle w:val="Heading4"/>
      </w:pPr>
      <w:r>
        <w:rPr>
          <w:lang w:val="en-GB"/>
        </w:rPr>
        <w:t xml:space="preserve">Source-derived computational repair, separately qualified</w:t>
      </w:r>
    </w:p>
    <w:p>
      <w:pPr>
        <w:pStyle w:val="FirstParagraph"/>
      </w:pPr>
      <w:r>
        <w:rPr>
          <w:lang w:val="en-GB"/>
        </w:rPr>
        <w:t xml:space="preserve">Pinned-source and bytecode inspection plus an observer-only replay identify a zero-width overlap and zero LibReDE step in the timed-out case. A minimal representable-clock-progress correction preserves the original interval, samples and all other JAR members outside the factory class/source. The</w:t>
      </w:r>
      <w:r>
        <w:rPr>
          <w:lang w:val="en-GB"/>
        </w:rPr>
        <w:t xml:space="preserve"> </w:t>
      </w:r>
      <w:hyperlink r:id="rId42">
        <w:r>
          <w:rPr>
            <w:rStyle w:val="Hyperlink"/>
            <w:lang w:val="en-GB"/>
          </w:rPr>
          <w:t xml:space="preserve">matched qualification</w:t>
        </w:r>
      </w:hyperlink>
      <w:r>
        <w:rPr>
          <w:lang w:val="en-GB"/>
        </w:rPr>
        <w:t xml:space="preserve"> </w:t>
      </w:r>
      <w:r>
        <w:rPr>
          <w:lang w:val="en-GB"/>
        </w:rPr>
        <w:t xml:space="preserve">completes all 20 saved application projections and four controls. All 19 originally complete projections preserve every resolved field, including resource demands. The failed projection completes in 23.08 seconds including 20 seconds of startup. Seven builds yield the same derived JAR.</w:t>
      </w:r>
    </w:p>
    <w:p>
      <w:pPr>
        <w:pStyle w:val="BodyText"/>
      </w:pPr>
      <w:r>
        <w:rPr>
          <w:lang w:val="en-GB"/>
        </w:rPr>
        <w:t xml:space="preserve">All 48 known solver-oracle records pass. The 32 previously supported forecasts remain exactly unchanged, six conditional unsupported slots retain null points/reasons, and two forecasts are recovered. No business test outcome is read in this repair qualification. These results establish a scoped computational repair on development inputs. The newly versioned full-duration preflight using seed 771605 subsequently passed its complete audit, as reported below.</w:t>
      </w:r>
    </w:p>
    <w:bookmarkEnd w:id="66"/>
    <w:bookmarkStart w:id="68" w:name="qualified-full-v3-preflight"/>
    <w:p>
      <w:pPr>
        <w:pStyle w:val="Heading4"/>
      </w:pPr>
      <w:r>
        <w:rPr>
          <w:lang w:val="en-GB"/>
        </w:rPr>
        <w:t xml:space="preserve">Qualified full v3 preflight</w:t>
      </w:r>
    </w:p>
    <w:p>
      <w:pPr>
        <w:pStyle w:val="FirstParagraph"/>
      </w:pPr>
      <w:r>
        <w:rPr>
          <w:lang w:val="en-GB"/>
        </w:rPr>
        <w:t xml:space="preserve">The fresh full preflight, run</w:t>
      </w:r>
      <w:r>
        <w:rPr>
          <w:lang w:val="en-GB"/>
        </w:rPr>
        <w:t xml:space="preserve"> </w:t>
      </w:r>
      <w:r>
        <w:rPr>
          <w:rStyle w:val="VerbatimChar"/>
          <w:lang w:val="en-GB"/>
        </w:rPr>
        <w:t xml:space="preserve">34460574221</w:t>
      </w:r>
      <w:r>
        <w:rPr>
          <w:lang w:val="en-GB"/>
        </w:rPr>
        <w:t xml:space="preserve">, completes all 36 jobs in 49 minutes 25 seconds. Its</w:t>
      </w:r>
      <w:r>
        <w:rPr>
          <w:lang w:val="en-GB"/>
        </w:rPr>
        <w:t xml:space="preserve"> </w:t>
      </w:r>
      <w:hyperlink r:id="rId67">
        <w:r>
          <w:rPr>
            <w:rStyle w:val="Hyperlink"/>
            <w:lang w:val="en-GB"/>
          </w:rPr>
          <w:t xml:space="preserve">complete admission audit</w:t>
        </w:r>
      </w:hyperlink>
      <w:r>
        <w:rPr>
          <w:lang w:val="en-GB"/>
        </w:rPr>
        <w:t xml:space="preserve"> </w:t>
      </w:r>
      <w:r>
        <w:rPr>
          <w:lang w:val="en-GB"/>
        </w:rPr>
        <w:t xml:space="preserve">qualifies all six campaigns, 200 method slots, 48 known solver-oracle records, all 20 PMX operation extractions, saved-model replay and actual data-read order. The retained package contains 28 compact archives, 167,051 bytes and 107 members, with no missing artifact. All 21,600 test attempts remain development evidence.</w:t>
      </w:r>
    </w:p>
    <w:p>
      <w:pPr>
        <w:pStyle w:val="BodyText"/>
      </w:pPr>
      <w:r>
        <w:rPr>
          <w:lang w:val="en-GB"/>
        </w:rPr>
        <w:t xml:space="preserve">Technical qualification preserves the methods’ valid refusals. Gstar supplies 12/20 points, GID and G0 18/20, B0 20/20, primary PMX 14/20 and inclusive PMX 20/20. Gstar has six masked-law ambiguities in OpenTelemetry Demo and two unexplained-parent structural refusals in DeathStarBench. Primary PMX retains six conditional-propagation/positivity refusals in OpenTelemetry Demo. No technical forecast failure remains. Low error and superiority played no role in admission.</w:t>
      </w:r>
    </w:p>
    <w:bookmarkEnd w:id="68"/>
    <w:bookmarkEnd w:id="69"/>
    <w:bookmarkStart w:id="72" w:name="X3e3842fe780a5d9580f897dc4217b830c2425fa"/>
    <w:p>
      <w:pPr>
        <w:pStyle w:val="Heading3"/>
      </w:pPr>
      <w:r>
        <w:rPr>
          <w:lang w:val="en-GB"/>
        </w:rPr>
        <w:t xml:space="preserve">5. Independent main: admitted, results pending</w:t>
      </w:r>
    </w:p>
    <w:p>
      <w:pPr>
        <w:pStyle w:val="FirstParagraph"/>
      </w:pPr>
      <w:r>
        <w:rPr>
          <w:lang w:val="en-GB"/>
        </w:rPr>
        <w:t xml:space="preserve">The 240-campaign main series was dispatched as</w:t>
      </w:r>
      <w:r>
        <w:rPr>
          <w:lang w:val="en-GB"/>
        </w:rPr>
        <w:t xml:space="preserve"> </w:t>
      </w:r>
      <w:hyperlink r:id="rId70">
        <w:r>
          <w:rPr>
            <w:rStyle w:val="Hyperlink"/>
            <w:lang w:val="en-GB"/>
          </w:rPr>
          <w:t xml:space="preserve">run 34465226083</w:t>
        </w:r>
      </w:hyperlink>
      <w:r>
        <w:rPr>
          <w:lang w:val="en-GB"/>
        </w:rPr>
        <w:t xml:space="preserve"> </w:t>
      </w:r>
      <w:r>
        <w:rPr>
          <w:lang w:val="en-GB"/>
        </w:rPr>
        <w:t xml:space="preserve">on 10 September 2026 at 10:16:55 UTC, from source</w:t>
      </w:r>
      <w:r>
        <w:rPr>
          <w:lang w:val="en-GB"/>
        </w:rPr>
        <w:t xml:space="preserve"> </w:t>
      </w:r>
      <w:r>
        <w:rPr>
          <w:rStyle w:val="VerbatimChar"/>
          <w:lang w:val="en-GB"/>
        </w:rPr>
        <w:t xml:space="preserve">d857ea65ca9da7fa9ae4ee1198317487475246a7</w:t>
      </w:r>
      <w:r>
        <w:rPr>
          <w:lang w:val="en-GB"/>
        </w:rPr>
        <w:t xml:space="preserve"> </w:t>
      </w:r>
      <w:r>
        <w:rPr>
          <w:lang w:val="en-GB"/>
        </w:rPr>
        <w:t xml:space="preserve">and tag</w:t>
      </w:r>
      <w:r>
        <w:rPr>
          <w:lang w:val="en-GB"/>
        </w:rPr>
        <w:t xml:space="preserve"> </w:t>
      </w:r>
      <w:r>
        <w:rPr>
          <w:rStyle w:val="VerbatimChar"/>
          <w:lang w:val="en-GB"/>
        </w:rPr>
        <w:t xml:space="preserve">v3-main-771601-v3-admitted</w:t>
      </w:r>
      <w:r>
        <w:rPr>
          <w:lang w:val="en-GB"/>
        </w:rPr>
        <w:t xml:space="preserve">. Exact-source CI 34465095817 passed. The</w:t>
      </w:r>
      <w:r>
        <w:rPr>
          <w:lang w:val="en-GB"/>
        </w:rPr>
        <w:t xml:space="preserve"> </w:t>
      </w:r>
      <w:hyperlink r:id="rId71">
        <w:r>
          <w:rPr>
            <w:rStyle w:val="Hyperlink"/>
            <w:lang w:val="en-GB"/>
          </w:rPr>
          <w:t xml:space="preserve">dispatch record</w:t>
        </w:r>
      </w:hyperlink>
      <w:r>
        <w:rPr>
          <w:lang w:val="en-GB"/>
        </w:rPr>
        <w:t xml:space="preserve"> </w:t>
      </w:r>
      <w:r>
        <w:rPr>
          <w:lang w:val="en-GB"/>
        </w:rPr>
        <w:t xml:space="preserve">binds this independent series to the qualified preflight and fresh main seed 771601. Acquisition is active; the series has not yet supplied its final audited results. Consequently this chapter makes no Gstar-versus-PMX/G0 superiority or equivalence claim. Completed mechanisms, arithmetic audits, technical controls and development forecasts cannot substitute for the pending main results.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72"/>
    <w:bookmarkEnd w:id="73"/>
    <w:bookmarkStart w:id="80" w:name="discussion"/>
    <w:p>
      <w:pPr>
        <w:pStyle w:val="Heading2"/>
      </w:pPr>
      <w:r>
        <w:rPr>
          <w:lang w:val="en-GB"/>
        </w:rPr>
        <w:t xml:space="preserve">Discussion</w:t>
      </w:r>
    </w:p>
    <w:bookmarkStart w:id="74"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74"/>
    <w:bookmarkStart w:id="75"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75"/>
    <w:bookmarkStart w:id="76"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76"/>
    <w:bookmarkStart w:id="77"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77"/>
    <w:bookmarkStart w:id="78"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78"/>
    <w:bookmarkStart w:id="79"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second preflight exposes a zero-step PMX resource-estimation loop; its separately qualified clock-progress correction preserves all previously supported forecasts on the saved development inputs. That repair is disclosed as a derived binary, and its qualification does not add independent test campaigns.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79"/>
    <w:bookmarkEnd w:id="80"/>
    <w:bookmarkStart w:id="88" w:name="references"/>
    <w:p>
      <w:pPr>
        <w:pStyle w:val="Heading2"/>
      </w:pPr>
      <w:r>
        <w:rPr>
          <w:lang w:val="en-GB"/>
        </w:rPr>
        <w:t xml:space="preserve">References</w:t>
      </w:r>
    </w:p>
    <w:p>
      <w:pPr>
        <w:pStyle w:val="FirstParagraph"/>
      </w:pPr>
      <w:r>
        <w:rPr>
          <w:lang w:val="en-GB"/>
        </w:rPr>
        <w:t xml:space="preserve">Boros, E., and Lee, J. (2025).</w:t>
      </w:r>
      <w:r>
        <w:rPr>
          <w:lang w:val="en-GB"/>
        </w:rPr>
        <w:t xml:space="preserve"> </w:t>
      </w:r>
      <w:r>
        <w:rPr>
          <w:i/>
          <w:iCs/>
          <w:lang w:val="en-GB"/>
        </w:rPr>
        <w:t xml:space="preserve">Boole’s probability bounding problem, linear programming aggregations, and nonnegative quadratic pseudo-Boolean functions</w:t>
      </w:r>
      <w:r>
        <w:rPr>
          <w:lang w:val="en-GB"/>
        </w:rPr>
        <w:t xml:space="preserve">. arXiv:2110.10672v4, revised 24 January 2025; original preprint 2021.</w:t>
      </w:r>
      <w:r>
        <w:rPr>
          <w:lang w:val="en-GB"/>
        </w:rPr>
        <w:t xml:space="preserve"> </w:t>
      </w:r>
      <w:hyperlink r:id="rId81">
        <w:r>
          <w:rPr>
            <w:rStyle w:val="Hyperlink"/>
            <w:lang w:val="en-GB"/>
          </w:rPr>
          <w:t xml:space="preserve">Version cited</w:t>
        </w:r>
      </w:hyperlink>
      <w:r>
        <w:rPr>
          <w:lang w:val="en-GB"/>
        </w:rPr>
        <w:t xml:space="preserve">.</w:t>
      </w:r>
    </w:p>
    <w:p>
      <w:pPr>
        <w:pStyle w:val="BodyText"/>
      </w:pPr>
      <w:r>
        <w:rPr>
          <w:lang w:val="en-GB"/>
        </w:rPr>
        <w:t xml:space="preserve">Bu, T., Duffield, N., Lo Presti, F., and Towsley, D. (2002).</w:t>
      </w:r>
      <w:r>
        <w:rPr>
          <w:lang w:val="en-GB"/>
        </w:rPr>
        <w:t xml:space="preserve"> </w:t>
      </w:r>
      <w:r>
        <w:rPr>
          <w:i/>
          <w:iCs/>
          <w:lang w:val="en-GB"/>
        </w:rPr>
        <w:t xml:space="preserve">Network Tomography on General Topologies</w:t>
      </w:r>
      <w:r>
        <w:rPr>
          <w:lang w:val="en-GB"/>
        </w:rPr>
        <w:t xml:space="preserve">. Proceedings of ACM SIGMETRICS 2002.</w:t>
      </w:r>
      <w:r>
        <w:rPr>
          <w:lang w:val="en-GB"/>
        </w:rPr>
        <w:t xml:space="preserve"> </w:t>
      </w:r>
      <w:hyperlink r:id="rId16">
        <w:r>
          <w:rPr>
            <w:rStyle w:val="Hyperlink"/>
            <w:lang w:val="en-GB"/>
          </w:rPr>
          <w:t xml:space="preserve">Author-hosted paper</w:t>
        </w:r>
      </w:hyperlink>
      <w:r>
        <w:rPr>
          <w:lang w:val="en-GB"/>
        </w:rPr>
        <w:t xml:space="preserve">.</w:t>
      </w:r>
    </w:p>
    <w:p>
      <w:pPr>
        <w:pStyle w:val="BodyText"/>
      </w:pPr>
      <w:r>
        <w:rPr>
          <w:lang w:val="en-GB"/>
        </w:rPr>
        <w:t xml:space="preserve">Duffield, N. (2006).</w:t>
      </w:r>
      <w:r>
        <w:rPr>
          <w:lang w:val="en-GB"/>
        </w:rPr>
        <w:t xml:space="preserve"> </w:t>
      </w:r>
      <w:r>
        <w:rPr>
          <w:i/>
          <w:iCs/>
          <w:lang w:val="en-GB"/>
        </w:rPr>
        <w:t xml:space="preserve">Network Tomography of Binary Network Performance Characteristics</w:t>
      </w:r>
      <w:r>
        <w:rPr>
          <w:lang w:val="en-GB"/>
        </w:rPr>
        <w:t xml:space="preserve">.</w:t>
      </w:r>
      <w:r>
        <w:rPr>
          <w:lang w:val="en-GB"/>
        </w:rPr>
        <w:t xml:space="preserve"> </w:t>
      </w:r>
      <w:hyperlink r:id="rId17">
        <w:r>
          <w:rPr>
            <w:rStyle w:val="Hyperlink"/>
            <w:lang w:val="en-GB"/>
          </w:rPr>
          <w:t xml:space="preserve">Author-hosted paper</w:t>
        </w:r>
      </w:hyperlink>
      <w:r>
        <w:rPr>
          <w:lang w:val="en-GB"/>
        </w:rPr>
        <w:t xml:space="preserve">.</w:t>
      </w:r>
    </w:p>
    <w:p>
      <w:pPr>
        <w:pStyle w:val="BodyText"/>
      </w:pPr>
      <w:r>
        <w:rPr>
          <w:lang w:val="en-GB"/>
        </w:rPr>
        <w:t xml:space="preserve">Foures, D., Albert, V., and Nketsa, A. (2016).</w:t>
      </w:r>
      <w:r>
        <w:rPr>
          <w:lang w:val="en-GB"/>
        </w:rPr>
        <w:t xml:space="preserve"> </w:t>
      </w:r>
      <w:r>
        <w:rPr>
          <w:i/>
          <w:iCs/>
          <w:lang w:val="en-GB"/>
        </w:rPr>
        <w:t xml:space="preserve">A new specification-based qualitative metric for simulation model validity</w:t>
      </w:r>
      <w:r>
        <w:rPr>
          <w:lang w:val="en-GB"/>
        </w:rPr>
        <w:t xml:space="preserve">. Simulation Modelling Practice and Theory 66, 1–15.</w:t>
      </w:r>
      <w:r>
        <w:rPr>
          <w:lang w:val="en-GB"/>
        </w:rPr>
        <w:t xml:space="preserve"> </w:t>
      </w:r>
      <w:hyperlink r:id="rId82">
        <w:r>
          <w:rPr>
            <w:rStyle w:val="Hyperlink"/>
            <w:lang w:val="en-GB"/>
          </w:rPr>
          <w:t xml:space="preserve">DOI: 10.1016/j.simpat.2016.03.002</w:t>
        </w:r>
      </w:hyperlink>
      <w:r>
        <w:rPr>
          <w:lang w:val="en-GB"/>
        </w:rPr>
        <w:t xml:space="preserve">.</w:t>
      </w:r>
    </w:p>
    <w:p>
      <w:pPr>
        <w:pStyle w:val="BodyText"/>
      </w:pPr>
      <w:r>
        <w:rPr>
          <w:lang w:val="en-GB"/>
        </w:rPr>
        <w:t xml:space="preserve">Friederich, J., and Lazarova-Molnar, S. (2022).</w:t>
      </w:r>
      <w:r>
        <w:rPr>
          <w:lang w:val="en-GB"/>
        </w:rPr>
        <w:t xml:space="preserve"> </w:t>
      </w:r>
      <w:r>
        <w:rPr>
          <w:i/>
          <w:iCs/>
          <w:lang w:val="en-GB"/>
        </w:rPr>
        <w:t xml:space="preserve">Data-Driven Reliability Modeling of Smart Manufacturing Systems Using Process Mining</w:t>
      </w:r>
      <w:r>
        <w:rPr>
          <w:lang w:val="en-GB"/>
        </w:rPr>
        <w:t xml:space="preserve">. Proceedings of the 2022 Winter Simulation Conference, 2534–2545.</w:t>
      </w:r>
      <w:r>
        <w:rPr>
          <w:lang w:val="en-GB"/>
        </w:rPr>
        <w:t xml:space="preserve"> </w:t>
      </w:r>
      <w:hyperlink r:id="rId23">
        <w:r>
          <w:rPr>
            <w:rStyle w:val="Hyperlink"/>
            <w:lang w:val="en-GB"/>
          </w:rPr>
          <w:t xml:space="preserve">Conference paper</w:t>
        </w:r>
      </w:hyperlink>
      <w:r>
        <w:rPr>
          <w:lang w:val="en-GB"/>
        </w:rPr>
        <w:t xml:space="preserve">.</w:t>
      </w:r>
    </w:p>
    <w:p>
      <w:pPr>
        <w:pStyle w:val="BodyText"/>
      </w:pPr>
      <w:r>
        <w:rPr>
          <w:lang w:val="en-GB"/>
        </w:rPr>
        <w:t xml:space="preserve">Friederich, J., and Lazarova-Molnar, S. (2025).</w:t>
      </w:r>
      <w:r>
        <w:rPr>
          <w:lang w:val="en-GB"/>
        </w:rPr>
        <w:t xml:space="preserve"> </w:t>
      </w:r>
      <w:r>
        <w:rPr>
          <w:i/>
          <w:iCs/>
          <w:lang w:val="en-GB"/>
        </w:rPr>
        <w:t xml:space="preserve">Data-driven reliability assessment of manufacturing systems using process mining</w:t>
      </w:r>
      <w:r>
        <w:rPr>
          <w:lang w:val="en-GB"/>
        </w:rPr>
        <w:t xml:space="preserve">. SIMULATION 101(8), 863–888; first published online 30 December 2024.</w:t>
      </w:r>
      <w:r>
        <w:rPr>
          <w:lang w:val="en-GB"/>
        </w:rPr>
        <w:t xml:space="preserve"> </w:t>
      </w:r>
      <w:hyperlink r:id="rId83">
        <w:r>
          <w:rPr>
            <w:rStyle w:val="Hyperlink"/>
            <w:lang w:val="en-GB"/>
          </w:rPr>
          <w:t xml:space="preserve">DOI: 10.1177/00375497241302866</w:t>
        </w:r>
      </w:hyperlink>
      <w:r>
        <w:rPr>
          <w:lang w:val="en-GB"/>
        </w:rPr>
        <w:t xml:space="preserve">.</w:t>
      </w:r>
    </w:p>
    <w:p>
      <w:pPr>
        <w:pStyle w:val="BodyText"/>
      </w:pPr>
      <w:r>
        <w:rPr>
          <w:lang w:val="en-GB"/>
        </w:rPr>
        <w:t xml:space="preserve">Hollmann, D. A., Cristiá, M., and Frydman, C. (2014).</w:t>
      </w:r>
      <w:r>
        <w:rPr>
          <w:lang w:val="en-GB"/>
        </w:rPr>
        <w:t xml:space="preserve"> </w:t>
      </w:r>
      <w:r>
        <w:rPr>
          <w:i/>
          <w:iCs/>
          <w:lang w:val="en-GB"/>
        </w:rPr>
        <w:t xml:space="preserve">A family of simulation criteria to guide DEVS models validation rigorously, systematically and semi-automatically</w:t>
      </w:r>
      <w:r>
        <w:rPr>
          <w:lang w:val="en-GB"/>
        </w:rPr>
        <w:t xml:space="preserve">. Simulation Modelling Practice and Theory 49, 1–26.</w:t>
      </w:r>
      <w:r>
        <w:rPr>
          <w:lang w:val="en-GB"/>
        </w:rPr>
        <w:t xml:space="preserve"> </w:t>
      </w:r>
      <w:hyperlink r:id="rId84">
        <w:r>
          <w:rPr>
            <w:rStyle w:val="Hyperlink"/>
            <w:lang w:val="en-GB"/>
          </w:rPr>
          <w:t xml:space="preserve">DOI: 10.1016/j.simpat.2014.07.003</w:t>
        </w:r>
      </w:hyperlink>
      <w:r>
        <w:rPr>
          <w:lang w:val="en-GB"/>
        </w:rPr>
        <w:t xml:space="preserve">.</w:t>
      </w:r>
    </w:p>
    <w:p>
      <w:pPr>
        <w:pStyle w:val="BodyText"/>
      </w:pPr>
      <w:r>
        <w:rPr>
          <w:lang w:val="en-GB"/>
        </w:rPr>
        <w:t xml:space="preserve">Krasnovsky, A. A. (2026).</w:t>
      </w:r>
      <w:r>
        <w:rPr>
          <w:lang w:val="en-GB"/>
        </w:rPr>
        <w:t xml:space="preserve"> </w:t>
      </w:r>
      <w:r>
        <w:rPr>
          <w:i/>
          <w:iCs/>
          <w:lang w:val="en-GB"/>
        </w:rPr>
        <w:t xml:space="preserve">Model Discovery and Graph Simulation: A Lightweight Gateway to Chaos Engineering</w:t>
      </w:r>
      <w:r>
        <w:rPr>
          <w:lang w:val="en-GB"/>
        </w:rPr>
        <w:t xml:space="preserve">. ICSE 2026, New Ideas and Emerging Results.</w:t>
      </w:r>
      <w:r>
        <w:rPr>
          <w:lang w:val="en-GB"/>
        </w:rPr>
        <w:t xml:space="preserve"> </w:t>
      </w:r>
      <w:hyperlink r:id="rId85">
        <w:r>
          <w:rPr>
            <w:rStyle w:val="Hyperlink"/>
            <w:lang w:val="en-GB"/>
          </w:rPr>
          <w:t xml:space="preserve">DOI: 10.1145/3786582.3786823</w:t>
        </w:r>
      </w:hyperlink>
      <w:r>
        <w:rPr>
          <w:lang w:val="en-GB"/>
        </w:rPr>
        <w:t xml:space="preserve">. The retained textual source is</w:t>
      </w:r>
      <w:r>
        <w:rPr>
          <w:lang w:val="en-GB"/>
        </w:rPr>
        <w:t xml:space="preserve"> </w:t>
      </w:r>
      <w:hyperlink r:id="rId9">
        <w:r>
          <w:rPr>
            <w:rStyle w:val="Hyperlink"/>
            <w:lang w:val="en-GB"/>
          </w:rPr>
          <w:t xml:space="preserve">arXiv:2506.11176v2</w:t>
        </w:r>
      </w:hyperlink>
      <w:r>
        <w:rPr>
          <w:lang w:val="en-GB"/>
        </w:rPr>
        <w:t xml:space="preserve">, 30 September 2025.</w:t>
      </w:r>
    </w:p>
    <w:p>
      <w:pPr>
        <w:pStyle w:val="BodyText"/>
      </w:pPr>
      <w:r>
        <w:rPr>
          <w:lang w:val="en-GB"/>
        </w:rPr>
        <w:t xml:space="preserve">Krasnovsky, A. A. (2025).</w:t>
      </w:r>
      <w:r>
        <w:rPr>
          <w:lang w:val="en-GB"/>
        </w:rPr>
        <w:t xml:space="preserve"> </w:t>
      </w:r>
      <w:r>
        <w:rPr>
          <w:i/>
          <w:iCs/>
          <w:lang w:val="en-GB"/>
        </w:rPr>
        <w:t xml:space="preserve">Evaluating Asynchronous Semantics in Trace-Discovered Resilience Models: A Case Study on the OpenTelemetry Demo</w:t>
      </w:r>
      <w:r>
        <w:rPr>
          <w:lang w:val="en-GB"/>
        </w:rPr>
        <w:t xml:space="preserve">. arXiv:2512.12314v1, 13 December 2025.</w:t>
      </w:r>
      <w:r>
        <w:rPr>
          <w:lang w:val="en-GB"/>
        </w:rPr>
        <w:t xml:space="preserve"> </w:t>
      </w:r>
      <w:hyperlink r:id="rId10">
        <w:r>
          <w:rPr>
            <w:rStyle w:val="Hyperlink"/>
            <w:lang w:val="en-GB"/>
          </w:rPr>
          <w:t xml:space="preserve">Preprint version</w:t>
        </w:r>
      </w:hyperlink>
      <w:r>
        <w:rPr>
          <w:lang w:val="en-GB"/>
        </w:rPr>
        <w:t xml:space="preserve">.</w:t>
      </w:r>
    </w:p>
    <w:p>
      <w:pPr>
        <w:pStyle w:val="BodyText"/>
      </w:pPr>
      <w:r>
        <w:rPr>
          <w:lang w:val="en-GB"/>
        </w:rPr>
        <w:t xml:space="preserve">Krasnovsky, A. A. (2026).</w:t>
      </w:r>
      <w:r>
        <w:rPr>
          <w:lang w:val="en-GB"/>
        </w:rPr>
        <w:t xml:space="preserve"> </w:t>
      </w:r>
      <w:r>
        <w:rPr>
          <w:i/>
          <w:iCs/>
          <w:lang w:val="en-GB"/>
        </w:rPr>
        <w:t xml:space="preserve">Refining Resilience Model Discovery: A Case Study on the Limited Role of Asynchronous Edges in the OpenTelemetry Demo</w:t>
      </w:r>
      <w:r>
        <w:rPr>
          <w:lang w:val="en-GB"/>
        </w:rPr>
        <w:t xml:space="preserve">. AINA proceedings chapter.</w:t>
      </w:r>
      <w:r>
        <w:rPr>
          <w:lang w:val="en-GB"/>
        </w:rPr>
        <w:t xml:space="preserve"> </w:t>
      </w:r>
      <w:hyperlink r:id="rId11">
        <w:r>
          <w:rPr>
            <w:rStyle w:val="Hyperlink"/>
            <w:lang w:val="en-GB"/>
          </w:rPr>
          <w:t xml:space="preserve">DOI: 10.1007/978-3-032-23304-2_24</w:t>
        </w:r>
      </w:hyperlink>
      <w:r>
        <w:rPr>
          <w:lang w:val="en-GB"/>
        </w:rPr>
        <w:t xml:space="preserve">. The published chapter and preceding preprint retain their distinct titles and cited versions.</w:t>
      </w:r>
    </w:p>
    <w:p>
      <w:pPr>
        <w:pStyle w:val="BodyText"/>
      </w:pPr>
      <w:r>
        <w:rPr>
          <w:lang w:val="en-GB"/>
        </w:rPr>
        <w:t xml:space="preserve">Krasnovsky, A. A., and Maslovskaya, A. (2026).</w:t>
      </w:r>
      <w:r>
        <w:rPr>
          <w:lang w:val="en-GB"/>
        </w:rPr>
        <w:t xml:space="preserve"> </w:t>
      </w:r>
      <w:r>
        <w:rPr>
          <w:i/>
          <w:iCs/>
          <w:lang w:val="en-GB"/>
        </w:rPr>
        <w:t xml:space="preserve">Stochastic Connectivity as the Foundation of a Runtime Model for Microservice Availability Analysis</w:t>
      </w:r>
      <w:r>
        <w:rPr>
          <w:lang w:val="en-GB"/>
        </w:rPr>
        <w:t xml:space="preserve">. arXiv:2607.00740v1, 1 July 2026.</w:t>
      </w:r>
      <w:r>
        <w:rPr>
          <w:lang w:val="en-GB"/>
        </w:rPr>
        <w:t xml:space="preserve"> </w:t>
      </w:r>
      <w:hyperlink r:id="rId13">
        <w:r>
          <w:rPr>
            <w:rStyle w:val="Hyperlink"/>
            <w:lang w:val="en-GB"/>
          </w:rPr>
          <w:t xml:space="preserve">Preprint version</w:t>
        </w:r>
      </w:hyperlink>
      <w:r>
        <w:rPr>
          <w:lang w:val="en-GB"/>
        </w:rPr>
        <w:t xml:space="preserve">.</w:t>
      </w:r>
    </w:p>
    <w:p>
      <w:pPr>
        <w:pStyle w:val="BodyText"/>
      </w:pPr>
      <w:r>
        <w:rPr>
          <w:lang w:val="en-GB"/>
        </w:rPr>
        <w:t xml:space="preserve">Mazkatli, M., Monschein, D., Armbruster, M., Heinrich, R., and Koziolek, A. (2025).</w:t>
      </w:r>
      <w:r>
        <w:rPr>
          <w:lang w:val="en-GB"/>
        </w:rPr>
        <w:t xml:space="preserve"> </w:t>
      </w:r>
      <w:r>
        <w:rPr>
          <w:i/>
          <w:iCs/>
          <w:lang w:val="en-GB"/>
        </w:rPr>
        <w:t xml:space="preserve">Continuous integration of architectural performance models with parametric dependencies – the CIPM approach</w:t>
      </w:r>
      <w:r>
        <w:rPr>
          <w:lang w:val="en-GB"/>
        </w:rPr>
        <w:t xml:space="preserve">. Automated Software Engineering 32, article 54.</w:t>
      </w:r>
      <w:r>
        <w:rPr>
          <w:lang w:val="en-GB"/>
        </w:rPr>
        <w:t xml:space="preserve"> </w:t>
      </w:r>
      <w:hyperlink r:id="rId86">
        <w:r>
          <w:rPr>
            <w:rStyle w:val="Hyperlink"/>
            <w:lang w:val="en-GB"/>
          </w:rPr>
          <w:t xml:space="preserve">DOI: 10.1007/s10515-025-00521-9</w:t>
        </w:r>
      </w:hyperlink>
      <w:r>
        <w:rPr>
          <w:lang w:val="en-GB"/>
        </w:rPr>
        <w:t xml:space="preserve">.</w:t>
      </w:r>
    </w:p>
    <w:p>
      <w:pPr>
        <w:pStyle w:val="BodyText"/>
      </w:pPr>
      <w:r>
        <w:rPr>
          <w:lang w:val="en-GB"/>
        </w:rPr>
        <w:t xml:space="preserve">Prékopa, A. (1990).</w:t>
      </w:r>
      <w:r>
        <w:rPr>
          <w:lang w:val="en-GB"/>
        </w:rPr>
        <w:t xml:space="preserve"> </w:t>
      </w:r>
      <w:r>
        <w:rPr>
          <w:i/>
          <w:iCs/>
          <w:lang w:val="en-GB"/>
        </w:rPr>
        <w:t xml:space="preserve">Sharp Bounds on Probabilities Using Linear Programming</w:t>
      </w:r>
      <w:r>
        <w:rPr>
          <w:lang w:val="en-GB"/>
        </w:rPr>
        <w:t xml:space="preserve">. Operations Research 38(2), 227–239.</w:t>
      </w:r>
      <w:r>
        <w:rPr>
          <w:lang w:val="en-GB"/>
        </w:rPr>
        <w:t xml:space="preserve"> </w:t>
      </w:r>
      <w:hyperlink r:id="rId87">
        <w:r>
          <w:rPr>
            <w:rStyle w:val="Hyperlink"/>
            <w:lang w:val="en-GB"/>
          </w:rPr>
          <w:t xml:space="preserve">DOI: 10.1287/opre.38.2.227</w:t>
        </w:r>
      </w:hyperlink>
      <w:r>
        <w:rPr>
          <w:lang w:val="en-GB"/>
        </w:rPr>
        <w:t xml:space="preserve">.</w:t>
      </w:r>
    </w:p>
    <w:p>
      <w:pPr>
        <w:pStyle w:val="BodyText"/>
      </w:pPr>
      <w:r>
        <w:rPr>
          <w:lang w:val="en-GB"/>
        </w:rPr>
        <w:t xml:space="preserve">Sugiyama, M., Krauledat, M., and Müller, K.-R. (2007).</w:t>
      </w:r>
      <w:r>
        <w:rPr>
          <w:lang w:val="en-GB"/>
        </w:rPr>
        <w:t xml:space="preserve"> </w:t>
      </w:r>
      <w:r>
        <w:rPr>
          <w:i/>
          <w:iCs/>
          <w:lang w:val="en-GB"/>
        </w:rPr>
        <w:t xml:space="preserve">Covariate Shift Adaptation by Importance Weighted Cross Validation</w:t>
      </w:r>
      <w:r>
        <w:rPr>
          <w:lang w:val="en-GB"/>
        </w:rPr>
        <w:t xml:space="preserve">. Journal of Machine Learning Research 8(35), 985–1005.</w:t>
      </w:r>
      <w:r>
        <w:rPr>
          <w:lang w:val="en-GB"/>
        </w:rPr>
        <w:t xml:space="preserve"> </w:t>
      </w:r>
      <w:hyperlink r:id="rId29">
        <w:r>
          <w:rPr>
            <w:rStyle w:val="Hyperlink"/>
            <w:lang w:val="en-GB"/>
          </w:rPr>
          <w:t xml:space="preserve">Publisher record</w:t>
        </w:r>
      </w:hyperlink>
      <w:r>
        <w:rPr>
          <w:lang w:val="en-GB"/>
        </w:rPr>
        <w:t xml:space="preserve">.</w:t>
      </w:r>
    </w:p>
    <w:p>
      <w:pPr>
        <w:pStyle w:val="BodyText"/>
      </w:pPr>
      <w:r>
        <w:rPr>
          <w:lang w:val="en-GB"/>
        </w:rPr>
        <w:t xml:space="preserve">Weber, S., Weber, T., and Henß, J.</w:t>
      </w:r>
      <w:r>
        <w:rPr>
          <w:lang w:val="en-GB"/>
        </w:rPr>
        <w:t xml:space="preserve"> </w:t>
      </w:r>
      <w:r>
        <w:rPr>
          <w:i/>
          <w:iCs/>
          <w:lang w:val="en-GB"/>
        </w:rPr>
        <w:t xml:space="preserve">Integration of Performability-Model Extraction and Performability Prediction in Continuous Integration / Continuous Delivery</w:t>
      </w:r>
      <w:r>
        <w:rPr>
          <w:lang w:val="en-GB"/>
        </w:rPr>
        <w:t xml:space="preserve">. Softwaretechnik-Trends, volume 45, issue 1, three-page report.</w:t>
      </w:r>
      <w:r>
        <w:rPr>
          <w:lang w:val="en-GB"/>
        </w:rPr>
        <w:t xml:space="preserve"> </w:t>
      </w:r>
      <w:hyperlink r:id="rId21">
        <w:r>
          <w:rPr>
            <w:rStyle w:val="Hyperlink"/>
            <w:lang w:val="en-GB"/>
          </w:rPr>
          <w:t xml:space="preserve">Publisher-hosted paper</w:t>
        </w:r>
      </w:hyperlink>
      <w:r>
        <w:rPr>
          <w:lang w:val="en-GB"/>
        </w:rPr>
        <w:t xml:space="preserve">.</w:t>
      </w:r>
    </w:p>
    <w:bookmarkEnd w:id="88"/>
    <w:bookmarkStart w:id="98" w:name="Xca5978b00292db4c29cfb3375589ea70af0cfb1"/>
    <w:p>
      <w:pPr>
        <w:pStyle w:val="Heading2"/>
      </w:pPr>
      <w:r>
        <w:rPr>
          <w:lang w:val="en-GB"/>
        </w:rPr>
        <w:t xml:space="preserve">Appendix: contribution and evidence boundaries</w:t>
      </w:r>
    </w:p>
    <w:bookmarkStart w:id="95"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8">
              <w:r>
                <w:rPr>
                  <w:rStyle w:val="Hyperlink"/>
                  <w:lang w:val="en-GB"/>
                </w:rPr>
                <w:t xml:space="preserve">ICSE aggregate audit</w:t>
              </w:r>
            </w:hyperlink>
            <w:r>
              <w:rPr>
                <w:lang w:val="en-GB"/>
              </w:rPr>
              <w:t xml:space="preserve">;</w:t>
            </w:r>
            <w:r>
              <w:rPr>
                <w:lang w:val="en-GB"/>
              </w:rPr>
              <w:t xml:space="preserve"> </w:t>
            </w:r>
            <w:hyperlink r:id="rId55">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89">
              <w:r>
                <w:rPr>
                  <w:rStyle w:val="Hyperlink"/>
                  <w:lang w:val="en-GB"/>
                </w:rPr>
                <w:t xml:space="preserve">Execution specification and proofs</w:t>
              </w:r>
            </w:hyperlink>
            <w:r>
              <w:rPr>
                <w:lang w:val="en-GB"/>
              </w:rPr>
              <w:t xml:space="preserve">, source-bound adapters and</w:t>
            </w:r>
            <w:r>
              <w:rPr>
                <w:lang w:val="en-GB"/>
              </w:rPr>
              <w:t xml:space="preserve"> </w:t>
            </w:r>
            <w:hyperlink r:id="rId90">
              <w:r>
                <w:rPr>
                  <w:rStyle w:val="Hyperlink"/>
                  <w:lang w:val="en-GB"/>
                </w:rPr>
                <w:t xml:space="preserve">methods chapter</w:t>
              </w:r>
            </w:hyperlink>
          </w:p>
        </w:tc>
        <w:tc>
          <w:tcPr/>
          <w:p>
            <w:pPr>
              <w:pStyle w:val="Compact"/>
            </w:pPr>
            <w:r>
              <w:rPr>
                <w:lang w:val="en-GB"/>
              </w:rPr>
              <w:t xml:space="preserve">The origin is the</w:t>
            </w:r>
            <w:r>
              <w:rPr>
                <w:lang w:val="en-GB"/>
              </w:rPr>
              <w:t xml:space="preserve"> </w:t>
            </w:r>
            <w:hyperlink r:id="rId13">
              <w:r>
                <w:rPr>
                  <w:rStyle w:val="Hyperlink"/>
                  <w:lang w:val="en-GB"/>
                </w:rPr>
                <w:t xml:space="preserve">Krasnovsky–Maslovskaya preprint</w:t>
              </w:r>
            </w:hyperlink>
            <w:r>
              <w:rPr>
                <w:lang w:val="en-GB"/>
              </w:rPr>
              <w:t xml:space="preserve">, without an accepted-MODELS-publication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9">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91">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8">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41">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92">
              <w:r>
                <w:rPr>
                  <w:rStyle w:val="Hyperlink"/>
                  <w:lang w:val="en-GB"/>
                </w:rPr>
                <w:t xml:space="preserve">G0 specification</w:t>
              </w:r>
            </w:hyperlink>
            <w:r>
              <w:rPr>
                <w:lang w:val="en-GB"/>
              </w:rPr>
              <w:t xml:space="preserve">;</w:t>
            </w:r>
            <w:r>
              <w:rPr>
                <w:lang w:val="en-GB"/>
              </w:rPr>
              <w:t xml:space="preserve"> </w:t>
            </w:r>
            <w:hyperlink r:id="rId60">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w:t>
            </w:r>
            <w:r>
              <w:rPr>
                <w:lang w:val="en-GB"/>
              </w:rPr>
              <w:t xml:space="preserve"> </w:t>
            </w:r>
            <w:hyperlink r:id="rId42">
              <w:r>
                <w:rPr>
                  <w:rStyle w:val="Hyperlink"/>
                  <w:lang w:val="en-GB"/>
                </w:rPr>
                <w:t xml:space="preserve">qualified derived PMX repair</w:t>
              </w:r>
            </w:hyperlink>
            <w:r>
              <w:rPr>
                <w:lang w:val="en-GB"/>
              </w:rPr>
              <w:t xml:space="preserve">;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93">
        <w:r>
          <w:rPr>
            <w:rStyle w:val="Hyperlink"/>
            <w:lang w:val="en-GB"/>
          </w:rPr>
          <w:t xml:space="preserve">related-work ledger</w:t>
        </w:r>
      </w:hyperlink>
      <w:r>
        <w:rPr>
          <w:lang w:val="en-GB"/>
        </w:rPr>
        <w:t xml:space="preserve"> </w:t>
      </w:r>
      <w:r>
        <w:rPr>
          <w:lang w:val="en-GB"/>
        </w:rPr>
        <w:t xml:space="preserve">and</w:t>
      </w:r>
      <w:r>
        <w:rPr>
          <w:lang w:val="en-GB"/>
        </w:rPr>
        <w:t xml:space="preserve"> </w:t>
      </w:r>
      <w:hyperlink r:id="rId94">
        <w:r>
          <w:rPr>
            <w:rStyle w:val="Hyperlink"/>
            <w:lang w:val="en-GB"/>
          </w:rPr>
          <w:t xml:space="preserve">validation addendum</w:t>
        </w:r>
      </w:hyperlink>
      <w:r>
        <w:rPr>
          <w:lang w:val="en-GB"/>
        </w:rPr>
        <w:t xml:space="preserve"> </w:t>
      </w:r>
      <w:r>
        <w:rPr>
          <w:lang w:val="en-GB"/>
        </w:rPr>
        <w:t xml:space="preserve">identify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95"/>
    <w:bookmarkStart w:id="96"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32">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5">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41">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44">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96"/>
    <w:bookmarkStart w:id="97" w:name="Xd813bc0ac44da3215c8dbccccb245cb170c3963"/>
    <w:p>
      <w:pPr>
        <w:pStyle w:val="Heading3"/>
      </w:pPr>
      <w:r>
        <w:rPr>
          <w:lang w:val="en-GB"/>
        </w:rPr>
        <w:t xml:space="preserve">Statements that must survive final editing</w:t>
      </w:r>
    </w:p>
    <w:p>
      <w:pPr>
        <w:pStyle w:val="Compact"/>
        <w:numPr>
          <w:ilvl w:val="0"/>
          <w:numId w:val="1002"/>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2"/>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2"/>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2"/>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2"/>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2"/>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54" Target="../../scripts/render_article_aina_figure_v1.py" TargetMode="External" /><Relationship Type="http://schemas.openxmlformats.org/officeDocument/2006/relationships/hyperlink" Id="rId14" Target="../ARTICLE_CLAIMS_V3.md" TargetMode="External" /><Relationship Type="http://schemas.openxmlformats.org/officeDocument/2006/relationships/hyperlink" Id="rId90" Target="../ARTICLE_METHODS_V3.md" TargetMode="External" /><Relationship Type="http://schemas.openxmlformats.org/officeDocument/2006/relationships/hyperlink" Id="rId12" Target="../ARTICLE_RESULTS_V3.md" TargetMode="External" /><Relationship Type="http://schemas.openxmlformats.org/officeDocument/2006/relationships/hyperlink" Id="rId92" Target="../G0_AINA_ORDINARY_V1.md" TargetMode="External" /><Relationship Type="http://schemas.openxmlformats.org/officeDocument/2006/relationships/hyperlink" Id="rId89" Target="../GRAPH_EXECUTION_MODEL_V1.md" TargetMode="External" /><Relationship Type="http://schemas.openxmlformats.org/officeDocument/2006/relationships/hyperlink" Id="rId93" Target="../RELATED_WORK_SCOPE.md" TargetMode="External" /><Relationship Type="http://schemas.openxmlformats.org/officeDocument/2006/relationships/hyperlink" Id="rId94" Target="../RELATED_WORK_VALIDATION_ADDENDUM_V3.md" TargetMode="External" /><Relationship Type="http://schemas.openxmlformats.org/officeDocument/2006/relationships/hyperlink" Id="rId32" Target="../TEN_EXTERNAL_OPERATION_CONTRACTS.md" TargetMode="External" /><Relationship Type="http://schemas.openxmlformats.org/officeDocument/2006/relationships/hyperlink" Id="rId36" Target="../V3_APPLICATION_EXECUTION_V2.md" TargetMode="External" /><Relationship Type="http://schemas.openxmlformats.org/officeDocument/2006/relationships/hyperlink" Id="rId44" Target="../V3_CAMPAIGN_ANALYSIS_COMPONENT_V1.md" TargetMode="External" /><Relationship Type="http://schemas.openxmlformats.org/officeDocument/2006/relationships/hyperlink" Id="rId63" Target="../V3_COMPARISON_V2_REQUEST_PROFILE_CORRECTION.md" TargetMode="External" /><Relationship Type="http://schemas.openxmlformats.org/officeDocument/2006/relationships/hyperlink" Id="rId41" Target="../V3_FINAL_COMPARISON_BINDINGS_V1.md" TargetMode="External" /><Relationship Type="http://schemas.openxmlformats.org/officeDocument/2006/relationships/hyperlink" Id="rId35" Target="../V3_ORDINARY_IDENTITY_V2.md" TargetMode="External" /><Relationship Type="http://schemas.openxmlformats.org/officeDocument/2006/relationships/hyperlink" Id="rId34" Target="../evidence/original-formalism-map-2026-09-08/paper-provenance.json" TargetMode="External" /><Relationship Type="http://schemas.openxmlformats.org/officeDocument/2006/relationships/hyperlink" Id="rId71" Target="../evidence/v3-main-dispatch-v3.json" TargetMode="External" /><Relationship Type="http://schemas.openxmlformats.org/officeDocument/2006/relationships/hyperlink" Id="rId53" Target="../figures/aina-audit-v3-provenance.json" TargetMode="External" /><Relationship Type="http://schemas.openxmlformats.org/officeDocument/2006/relationships/hyperlink" Id="rId52" Target="../figures/aina-audit-v3.pdf" TargetMode="External" /><Relationship Type="http://schemas.openxmlformats.org/officeDocument/2006/relationships/hyperlink" Id="rId38" Target="../milestones/H_EXEC_01_SEALED_STUDY_CONFIRMATION.md" TargetMode="External" /><Relationship Type="http://schemas.openxmlformats.org/officeDocument/2006/relationships/hyperlink" Id="rId55" Target="../milestones/ORIGINAL_AINA_FULL_AUDIT.md" TargetMode="External" /><Relationship Type="http://schemas.openxmlformats.org/officeDocument/2006/relationships/hyperlink" Id="rId56" Target="../milestones/ORIGINAL_AINA_TIMING_FEASIBILITY.md" TargetMode="External" /><Relationship Type="http://schemas.openxmlformats.org/officeDocument/2006/relationships/hyperlink" Id="rId48" Target="../milestones/ORIGINAL_ICSE_AGGREGATE_AUDIT.md" TargetMode="External" /><Relationship Type="http://schemas.openxmlformats.org/officeDocument/2006/relationships/hyperlink" Id="rId42" Target="../milestones/PMX_CLOCK_PROGRESS_QUALIFICATION_V1_RESULT.md" TargetMode="External" /><Relationship Type="http://schemas.openxmlformats.org/officeDocument/2006/relationships/hyperlink" Id="rId59" Target="../milestones/V3_APPLICATION_EXECUTION_V2_RESULT.md" TargetMode="External" /><Relationship Type="http://schemas.openxmlformats.org/officeDocument/2006/relationships/hyperlink" Id="rId62" Target="../milestones/V3_COMPARISON_PREFLIGHT_V1_RESULT.md" TargetMode="External" /><Relationship Type="http://schemas.openxmlformats.org/officeDocument/2006/relationships/hyperlink" Id="rId64" Target="../milestones/V3_COMPARISON_PREFLIGHT_V2_FAILURE.md" TargetMode="External" /><Relationship Type="http://schemas.openxmlformats.org/officeDocument/2006/relationships/hyperlink" Id="rId67" Target="../milestones/V3_COMPARISON_PREFLIGHT_V3_RESULT.md" TargetMode="External" /><Relationship Type="http://schemas.openxmlformats.org/officeDocument/2006/relationships/hyperlink" Id="rId60" Target="../milestones/V3_G0_QUALIFICATION_V1_RESULT.md" TargetMode="External" /><Relationship Type="http://schemas.openxmlformats.org/officeDocument/2006/relationships/hyperlink" Id="rId91" Target="../milestones/V3_ORDINARY_IDENTITY_AND_DEMAND.md" TargetMode="External" /><Relationship Type="http://schemas.openxmlformats.org/officeDocument/2006/relationships/hyperlink" Id="rId81" Target="https://arxiv.org/abs/2110.10672v4"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3" Target="https://arxiv.org/abs/2607.00740v1" TargetMode="External" /><Relationship Type="http://schemas.openxmlformats.org/officeDocument/2006/relationships/hyperlink" Id="rId19" Target="https://arxiv.org/html/2110.10672" TargetMode="External" /><Relationship Type="http://schemas.openxmlformats.org/officeDocument/2006/relationships/hyperlink" Id="rId86" Target="https://doi.org/10.1007/s10515-025-00521-9" TargetMode="External" /><Relationship Type="http://schemas.openxmlformats.org/officeDocument/2006/relationships/hyperlink" Id="rId84" Target="https://doi.org/10.1016/j.simpat.2014.07.003" TargetMode="External" /><Relationship Type="http://schemas.openxmlformats.org/officeDocument/2006/relationships/hyperlink" Id="rId82" Target="https://doi.org/10.1016/j.simpat.2016.03.002" TargetMode="External" /><Relationship Type="http://schemas.openxmlformats.org/officeDocument/2006/relationships/hyperlink" Id="rId85" Target="https://doi.org/10.1145/3786582.3786823" TargetMode="External" /><Relationship Type="http://schemas.openxmlformats.org/officeDocument/2006/relationships/hyperlink" Id="rId83" Target="https://doi.org/10.1177/00375497241302866" TargetMode="External" /><Relationship Type="http://schemas.openxmlformats.org/officeDocument/2006/relationships/hyperlink" Id="rId87" Target="https://doi.org/10.1287/opre.38.2.227" TargetMode="External" /><Relationship Type="http://schemas.openxmlformats.org/officeDocument/2006/relationships/hyperlink" Id="rId21" Target="https://fb-swt.gi.de/fileadmin/FB/SWT/Softwaretechnik-Trends/Verzeichnis/Band_45_Heft_1/SSP24_26_camera-ready_8969.pdf" TargetMode="External" /><Relationship Type="http://schemas.openxmlformats.org/officeDocument/2006/relationships/hyperlink" Id="rId70" Target="https://github.com/a-a-k/telemetry-availability-identification/actions/runs/34465226083" TargetMode="External" /><Relationship Type="http://schemas.openxmlformats.org/officeDocument/2006/relationships/hyperlink" Id="rId23" Target="https://informs-sim.org/wsc22papers/254.pdf" TargetMode="External" /><Relationship Type="http://schemas.openxmlformats.org/officeDocument/2006/relationships/hyperlink" Id="rId29" Target="https://jmlr.org/papers/v8/sugiyama07a.html" TargetMode="External" /><Relationship Type="http://schemas.openxmlformats.org/officeDocument/2006/relationships/hyperlink" Id="rId24" Target="https://journals.sagepub.com/doi/10.1177/00375497241302866" TargetMode="External" /><Relationship Type="http://schemas.openxmlformats.org/officeDocument/2006/relationships/hyperlink" Id="rId22"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6" Target="https://nickduffield.net/download/papers/Bu_tomography_02.pdf" TargetMode="External" /><Relationship Type="http://schemas.openxmlformats.org/officeDocument/2006/relationships/hyperlink" Id="rId17" Target="https://nickduffield.net/download/papers/D06-binary.pdf" TargetMode="External" /><Relationship Type="http://schemas.openxmlformats.org/officeDocument/2006/relationships/hyperlink" Id="rId18" Target="https://pubsonline.informs.org/doi/10.1287/opre.38.2.227" TargetMode="External" /><Relationship Type="http://schemas.openxmlformats.org/officeDocument/2006/relationships/hyperlink" Id="rId27" Target="https://sce.carleton.ca/faculty/wainer/papers/1-s2.0-S1569190X14001142-main.pdf" TargetMode="External" /><Relationship Type="http://schemas.openxmlformats.org/officeDocument/2006/relationships/hyperlink" Id="rId26" Target="https://www.sciencedirect.com/science/article/abs/pii/S1569190X16000411" TargetMode="External" /></Relationships>
</file>

<file path=word/_rels/footnotes.xml.rels><?xml version="1.0" encoding="UTF-8"?><Relationships xmlns="http://schemas.openxmlformats.org/package/2006/relationships"><Relationship Type="http://schemas.openxmlformats.org/officeDocument/2006/relationships/hyperlink" Id="rId54" Target="../../scripts/render_article_aina_figure_v1.py" TargetMode="External" /><Relationship Type="http://schemas.openxmlformats.org/officeDocument/2006/relationships/hyperlink" Id="rId14" Target="../ARTICLE_CLAIMS_V3.md" TargetMode="External" /><Relationship Type="http://schemas.openxmlformats.org/officeDocument/2006/relationships/hyperlink" Id="rId90" Target="../ARTICLE_METHODS_V3.md" TargetMode="External" /><Relationship Type="http://schemas.openxmlformats.org/officeDocument/2006/relationships/hyperlink" Id="rId12" Target="../ARTICLE_RESULTS_V3.md" TargetMode="External" /><Relationship Type="http://schemas.openxmlformats.org/officeDocument/2006/relationships/hyperlink" Id="rId92" Target="../G0_AINA_ORDINARY_V1.md" TargetMode="External" /><Relationship Type="http://schemas.openxmlformats.org/officeDocument/2006/relationships/hyperlink" Id="rId89" Target="../GRAPH_EXECUTION_MODEL_V1.md" TargetMode="External" /><Relationship Type="http://schemas.openxmlformats.org/officeDocument/2006/relationships/hyperlink" Id="rId93" Target="../RELATED_WORK_SCOPE.md" TargetMode="External" /><Relationship Type="http://schemas.openxmlformats.org/officeDocument/2006/relationships/hyperlink" Id="rId94" Target="../RELATED_WORK_VALIDATION_ADDENDUM_V3.md" TargetMode="External" /><Relationship Type="http://schemas.openxmlformats.org/officeDocument/2006/relationships/hyperlink" Id="rId32" Target="../TEN_EXTERNAL_OPERATION_CONTRACTS.md" TargetMode="External" /><Relationship Type="http://schemas.openxmlformats.org/officeDocument/2006/relationships/hyperlink" Id="rId36" Target="../V3_APPLICATION_EXECUTION_V2.md" TargetMode="External" /><Relationship Type="http://schemas.openxmlformats.org/officeDocument/2006/relationships/hyperlink" Id="rId44" Target="../V3_CAMPAIGN_ANALYSIS_COMPONENT_V1.md" TargetMode="External" /><Relationship Type="http://schemas.openxmlformats.org/officeDocument/2006/relationships/hyperlink" Id="rId63" Target="../V3_COMPARISON_V2_REQUEST_PROFILE_CORRECTION.md" TargetMode="External" /><Relationship Type="http://schemas.openxmlformats.org/officeDocument/2006/relationships/hyperlink" Id="rId41" Target="../V3_FINAL_COMPARISON_BINDINGS_V1.md" TargetMode="External" /><Relationship Type="http://schemas.openxmlformats.org/officeDocument/2006/relationships/hyperlink" Id="rId35" Target="../V3_ORDINARY_IDENTITY_V2.md" TargetMode="External" /><Relationship Type="http://schemas.openxmlformats.org/officeDocument/2006/relationships/hyperlink" Id="rId34" Target="../evidence/original-formalism-map-2026-09-08/paper-provenance.json" TargetMode="External" /><Relationship Type="http://schemas.openxmlformats.org/officeDocument/2006/relationships/hyperlink" Id="rId71" Target="../evidence/v3-main-dispatch-v3.json" TargetMode="External" /><Relationship Type="http://schemas.openxmlformats.org/officeDocument/2006/relationships/hyperlink" Id="rId53" Target="../figures/aina-audit-v3-provenance.json" TargetMode="External" /><Relationship Type="http://schemas.openxmlformats.org/officeDocument/2006/relationships/hyperlink" Id="rId52" Target="../figures/aina-audit-v3.pdf" TargetMode="External" /><Relationship Type="http://schemas.openxmlformats.org/officeDocument/2006/relationships/hyperlink" Id="rId38" Target="../milestones/H_EXEC_01_SEALED_STUDY_CONFIRMATION.md" TargetMode="External" /><Relationship Type="http://schemas.openxmlformats.org/officeDocument/2006/relationships/hyperlink" Id="rId55" Target="../milestones/ORIGINAL_AINA_FULL_AUDIT.md" TargetMode="External" /><Relationship Type="http://schemas.openxmlformats.org/officeDocument/2006/relationships/hyperlink" Id="rId56" Target="../milestones/ORIGINAL_AINA_TIMING_FEASIBILITY.md" TargetMode="External" /><Relationship Type="http://schemas.openxmlformats.org/officeDocument/2006/relationships/hyperlink" Id="rId48" Target="../milestones/ORIGINAL_ICSE_AGGREGATE_AUDIT.md" TargetMode="External" /><Relationship Type="http://schemas.openxmlformats.org/officeDocument/2006/relationships/hyperlink" Id="rId42" Target="../milestones/PMX_CLOCK_PROGRESS_QUALIFICATION_V1_RESULT.md" TargetMode="External" /><Relationship Type="http://schemas.openxmlformats.org/officeDocument/2006/relationships/hyperlink" Id="rId59" Target="../milestones/V3_APPLICATION_EXECUTION_V2_RESULT.md" TargetMode="External" /><Relationship Type="http://schemas.openxmlformats.org/officeDocument/2006/relationships/hyperlink" Id="rId62" Target="../milestones/V3_COMPARISON_PREFLIGHT_V1_RESULT.md" TargetMode="External" /><Relationship Type="http://schemas.openxmlformats.org/officeDocument/2006/relationships/hyperlink" Id="rId64" Target="../milestones/V3_COMPARISON_PREFLIGHT_V2_FAILURE.md" TargetMode="External" /><Relationship Type="http://schemas.openxmlformats.org/officeDocument/2006/relationships/hyperlink" Id="rId67" Target="../milestones/V3_COMPARISON_PREFLIGHT_V3_RESULT.md" TargetMode="External" /><Relationship Type="http://schemas.openxmlformats.org/officeDocument/2006/relationships/hyperlink" Id="rId60" Target="../milestones/V3_G0_QUALIFICATION_V1_RESULT.md" TargetMode="External" /><Relationship Type="http://schemas.openxmlformats.org/officeDocument/2006/relationships/hyperlink" Id="rId91" Target="../milestones/V3_ORDINARY_IDENTITY_AND_DEMAND.md" TargetMode="External" /><Relationship Type="http://schemas.openxmlformats.org/officeDocument/2006/relationships/hyperlink" Id="rId81" Target="https://arxiv.org/abs/2110.10672v4"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3" Target="https://arxiv.org/abs/2607.00740v1" TargetMode="External" /><Relationship Type="http://schemas.openxmlformats.org/officeDocument/2006/relationships/hyperlink" Id="rId19" Target="https://arxiv.org/html/2110.10672" TargetMode="External" /><Relationship Type="http://schemas.openxmlformats.org/officeDocument/2006/relationships/hyperlink" Id="rId86" Target="https://doi.org/10.1007/s10515-025-00521-9" TargetMode="External" /><Relationship Type="http://schemas.openxmlformats.org/officeDocument/2006/relationships/hyperlink" Id="rId84" Target="https://doi.org/10.1016/j.simpat.2014.07.003" TargetMode="External" /><Relationship Type="http://schemas.openxmlformats.org/officeDocument/2006/relationships/hyperlink" Id="rId82" Target="https://doi.org/10.1016/j.simpat.2016.03.002" TargetMode="External" /><Relationship Type="http://schemas.openxmlformats.org/officeDocument/2006/relationships/hyperlink" Id="rId85" Target="https://doi.org/10.1145/3786582.3786823" TargetMode="External" /><Relationship Type="http://schemas.openxmlformats.org/officeDocument/2006/relationships/hyperlink" Id="rId83" Target="https://doi.org/10.1177/00375497241302866" TargetMode="External" /><Relationship Type="http://schemas.openxmlformats.org/officeDocument/2006/relationships/hyperlink" Id="rId87" Target="https://doi.org/10.1287/opre.38.2.227" TargetMode="External" /><Relationship Type="http://schemas.openxmlformats.org/officeDocument/2006/relationships/hyperlink" Id="rId21" Target="https://fb-swt.gi.de/fileadmin/FB/SWT/Softwaretechnik-Trends/Verzeichnis/Band_45_Heft_1/SSP24_26_camera-ready_8969.pdf" TargetMode="External" /><Relationship Type="http://schemas.openxmlformats.org/officeDocument/2006/relationships/hyperlink" Id="rId70" Target="https://github.com/a-a-k/telemetry-availability-identification/actions/runs/34465226083" TargetMode="External" /><Relationship Type="http://schemas.openxmlformats.org/officeDocument/2006/relationships/hyperlink" Id="rId23" Target="https://informs-sim.org/wsc22papers/254.pdf" TargetMode="External" /><Relationship Type="http://schemas.openxmlformats.org/officeDocument/2006/relationships/hyperlink" Id="rId29" Target="https://jmlr.org/papers/v8/sugiyama07a.html" TargetMode="External" /><Relationship Type="http://schemas.openxmlformats.org/officeDocument/2006/relationships/hyperlink" Id="rId24" Target="https://journals.sagepub.com/doi/10.1177/00375497241302866" TargetMode="External" /><Relationship Type="http://schemas.openxmlformats.org/officeDocument/2006/relationships/hyperlink" Id="rId22"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6" Target="https://nickduffield.net/download/papers/Bu_tomography_02.pdf" TargetMode="External" /><Relationship Type="http://schemas.openxmlformats.org/officeDocument/2006/relationships/hyperlink" Id="rId17" Target="https://nickduffield.net/download/papers/D06-binary.pdf" TargetMode="External" /><Relationship Type="http://schemas.openxmlformats.org/officeDocument/2006/relationships/hyperlink" Id="rId18" Target="https://pubsonline.informs.org/doi/10.1287/opre.38.2.227" TargetMode="External" /><Relationship Type="http://schemas.openxmlformats.org/officeDocument/2006/relationships/hyperlink" Id="rId27" Target="https://sce.carleton.ca/faculty/wainer/papers/1-s2.0-S1569190X14001142-main.pdf" TargetMode="External" /><Relationship Type="http://schemas.openxmlformats.org/officeDocument/2006/relationships/hyperlink" Id="rId26" Target="https://www.sciencedirect.com/science/article/abs/pii/S1569190X160004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2026-09-10T10:47:06Z</dcterms:created>
  <dcterms:modified xsi:type="dcterms:W3CDTF">2026-09-10T10:47:06Z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