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The independent main comparison has not yet supplied its audited result section.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4"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and the origin of the formalization in the MODELS manuscript/preprint is credited without describing that manuscript as an accepted conference publication. The</w:t>
      </w:r>
      <w:r>
        <w:rPr>
          <w:lang w:val="en-GB"/>
        </w:rPr>
        <w:t xml:space="preserve"> </w:t>
      </w:r>
      <w:hyperlink r:id="rId13">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4"/>
    <w:bookmarkStart w:id="30" w:name="related-work-and-the-remaining-question"/>
    <w:p>
      <w:pPr>
        <w:pStyle w:val="Heading2"/>
      </w:pPr>
      <w:r>
        <w:rPr>
          <w:lang w:val="en-GB"/>
        </w:rPr>
        <w:t xml:space="preserve">Related work and the remaining question</w:t>
      </w:r>
    </w:p>
    <w:bookmarkStart w:id="19"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5">
        <w:r>
          <w:rPr>
            <w:rStyle w:val="Hyperlink"/>
            <w:lang w:val="en-GB"/>
          </w:rPr>
          <w:t xml:space="preserve">Bu et al.</w:t>
        </w:r>
      </w:hyperlink>
      <w:r>
        <w:rPr>
          <w:lang w:val="en-GB"/>
        </w:rPr>
        <w:t xml:space="preserve">;</w:t>
      </w:r>
      <w:r>
        <w:rPr>
          <w:lang w:val="en-GB"/>
        </w:rPr>
        <w:t xml:space="preserve"> </w:t>
      </w:r>
      <w:hyperlink r:id="rId16">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7">
        <w:r>
          <w:rPr>
            <w:rStyle w:val="Hyperlink"/>
            <w:lang w:val="en-GB"/>
          </w:rPr>
          <w:t xml:space="preserve">Prékopa</w:t>
        </w:r>
      </w:hyperlink>
      <w:r>
        <w:rPr>
          <w:lang w:val="en-GB"/>
        </w:rPr>
        <w:t xml:space="preserve">;</w:t>
      </w:r>
      <w:r>
        <w:rPr>
          <w:lang w:val="en-GB"/>
        </w:rPr>
        <w:t xml:space="preserve"> </w:t>
      </w:r>
      <w:hyperlink r:id="rId18">
        <w:r>
          <w:rPr>
            <w:rStyle w:val="Hyperlink"/>
            <w:lang w:val="en-GB"/>
          </w:rPr>
          <w:t xml:space="preserve">Boros and Lee</w:t>
        </w:r>
      </w:hyperlink>
      <w:r>
        <w:rPr>
          <w:lang w:val="en-GB"/>
        </w:rPr>
        <w:t xml:space="preserve">.</w:t>
      </w:r>
    </w:p>
    <w:bookmarkEnd w:id="19"/>
    <w:bookmarkStart w:id="24"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0">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1">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article in SIMULATION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2">
        <w:r>
          <w:rPr>
            <w:rStyle w:val="Hyperlink"/>
            <w:lang w:val="en-GB"/>
          </w:rPr>
          <w:t xml:space="preserve">2022 full paper</w:t>
        </w:r>
      </w:hyperlink>
      <w:r>
        <w:rPr>
          <w:lang w:val="en-GB"/>
        </w:rPr>
        <w:t xml:space="preserve">;</w:t>
      </w:r>
      <w:r>
        <w:rPr>
          <w:lang w:val="en-GB"/>
        </w:rPr>
        <w:t xml:space="preserve"> </w:t>
      </w:r>
      <w:hyperlink r:id="rId23">
        <w:r>
          <w:rPr>
            <w:rStyle w:val="Hyperlink"/>
            <w:lang w:val="en-GB"/>
          </w:rPr>
          <w:t xml:space="preserve">SIMULATION article</w:t>
        </w:r>
      </w:hyperlink>
      <w:r>
        <w:rPr>
          <w:lang w:val="en-GB"/>
        </w:rPr>
        <w:t xml:space="preserve">.</w:t>
      </w:r>
    </w:p>
    <w:bookmarkEnd w:id="24"/>
    <w:bookmarkStart w:id="27" w:name="X477e812e27c255f4c5e8d8a7a3b9e2814ef439e"/>
    <w:p>
      <w:pPr>
        <w:pStyle w:val="Heading3"/>
      </w:pPr>
      <w:r>
        <w:rPr>
          <w:lang w:val="en-GB"/>
        </w:rPr>
        <w:t xml:space="preserve">Purpose-specific validity and systematic simulation tests</w:t>
      </w:r>
    </w:p>
    <w:p>
      <w:pPr>
        <w:pStyle w:val="FirstParagraph"/>
      </w:pPr>
      <w:r>
        <w:rPr>
          <w:lang w:val="en-GB"/>
        </w:rPr>
        <w:t xml:space="preserve">Purpose-specific adequacy already has formal precedents in Simulation Modelling Practice and Theory. Foures, Albert and Nketsa combine a system model with its experimental frame to assess whether simulation scenarios support the intended purpose. Their input/output-automata approach makes model/context compatibility explicit. Our Boolean simplification condition addresses a narrower probability target, while masked-law identification concerns what telemetry determines; neither replaces the broader experimental-frame viewpoint.</w:t>
      </w:r>
      <w:r>
        <w:rPr>
          <w:lang w:val="en-GB"/>
        </w:rPr>
        <w:t xml:space="preserve"> </w:t>
      </w:r>
      <w:hyperlink r:id="rId25">
        <w:r>
          <w:rPr>
            <w:rStyle w:val="Hyperlink"/>
            <w:lang w:val="en-GB"/>
          </w:rPr>
          <w:t xml:space="preserve">Foures et al.</w:t>
        </w:r>
      </w:hyperlink>
      <w:r>
        <w:rPr>
          <w:lang w:val="en-GB"/>
        </w:rPr>
        <w:t xml:space="preserve">.</w:t>
      </w:r>
    </w:p>
    <w:p>
      <w:pPr>
        <w:pStyle w:val="BodyText"/>
      </w:pPr>
      <w:r>
        <w:rPr>
          <w:lang w:val="en-GB"/>
        </w:rPr>
        <w:t xml:space="preserve">Hollmann, Cristiá and Frydman derive simulation-configuration classes from mathematical DEVS specifications to guide systematic validation. Their selection relies on a uniformity hypothesis within each class. Our reduced enumeration has an exact guarantee within its finite completion-conjunction class; application adequacy instead requires the separately measured outcome. Systematic controls, formal calculation and empirical validation therefore retain distinct evidential roles.</w:t>
      </w:r>
      <w:r>
        <w:rPr>
          <w:lang w:val="en-GB"/>
        </w:rPr>
        <w:t xml:space="preserve"> </w:t>
      </w:r>
      <w:hyperlink r:id="rId26">
        <w:r>
          <w:rPr>
            <w:rStyle w:val="Hyperlink"/>
            <w:lang w:val="en-GB"/>
          </w:rPr>
          <w:t xml:space="preserve">Hollmann et al.</w:t>
        </w:r>
      </w:hyperlink>
      <w:r>
        <w:rPr>
          <w:lang w:val="en-GB"/>
        </w:rPr>
        <w:t xml:space="preserve">.</w:t>
      </w:r>
    </w:p>
    <w:bookmarkEnd w:id="27"/>
    <w:bookmarkStart w:id="29"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8">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29"/>
    <w:bookmarkEnd w:id="30"/>
    <w:bookmarkStart w:id="45" w:name="methods"/>
    <w:p>
      <w:pPr>
        <w:pStyle w:val="Heading2"/>
      </w:pPr>
      <w:r>
        <w:rPr>
          <w:lang w:val="en-GB"/>
        </w:rPr>
        <w:t xml:space="preserve">Methods</w:t>
      </w:r>
    </w:p>
    <w:bookmarkStart w:id="32"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31">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32"/>
    <w:bookmarkStart w:id="35" w:name="X328c05eadbb2e25dc76fb2ffcd534ad653d1100"/>
    <w:p>
      <w:pPr>
        <w:pStyle w:val="Heading3"/>
      </w:pPr>
      <w:r>
        <w:rPr>
          <w:lang w:val="en-GB"/>
        </w:rPr>
        <w:t xml:space="preserve">2. Formal object and provenance of its parts</w:t>
      </w:r>
    </w:p>
    <w:p>
      <w:pPr>
        <w:pStyle w:val="FirstParagraph"/>
      </w:pPr>
      <w:r>
        <w:rPr>
          <w:lang w:val="en-GB"/>
        </w:rPr>
        <w:t xml:space="preserve">The model is M = &lt;G, R, P, Phi&gt;. G is an operation-specific graph of observed service and database relations. R binds logical replicas to eligibility gates. P is a joint state law compatible with the observations. Phi is the operation predicate. The observation contract, including masks, is part of the identification problem. This notation organizes the earlier graph estimators; the tuple alone is not a novelty claim. The formalization’s origin in the MODELS manuscript/preprint is attributed as such, without describing that manuscript as an accepted MODELS publication.</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3">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4">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5"/>
    <w:bookmarkStart w:id="37"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 B(s) be synchronous reachability of every declared required node in state s. Let</w:t>
      </w:r>
    </w:p>
    <w:p>
      <w:pPr>
        <w:pStyle w:val="BodyText"/>
      </w:pPr>
      <w:r>
        <w:rPr>
          <w:lang w:val="en-GB"/>
        </w:rPr>
        <w:t xml:space="preserve">Rsel(s) = B(s) AND [for each controlled service, at least one replica is demanded and every demanded replica has all its eligibility gates true].</w:t>
      </w:r>
    </w:p>
    <w:p>
      <w:pPr>
        <w:pStyle w:val="BodyText"/>
      </w:pPr>
      <w:r>
        <w:rPr>
          <w:lang w:val="en-GB"/>
        </w:rPr>
        <w:t xml:space="preserve">Let C(s) be C0 AND every required Cg AND the presence of each bound required synchronous edge. Define E(s) = Rsel(s) AND C(s) AND T(s).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 B (GID), Rsel (Gselected), E (Gstar), Rsel</w:t>
      </w:r>
      <w:r>
        <w:rPr>
          <w:i/>
          <w:iCs/>
          <w:lang w:val="en-GB"/>
        </w:rPr>
        <w:t xml:space="preserve">C (without deadline), B</w:t>
      </w:r>
      <w:r>
        <w:rPr>
          <w:lang w:val="en-GB"/>
        </w:rPr>
        <w:t xml:space="preserve">C</w:t>
      </w:r>
      <w:r>
        <w:rPr>
          <w:i/>
          <w:iCs/>
          <w:lang w:val="en-GB"/>
        </w:rPr>
        <w:t xml:space="preserve">T (without selection), and Rsel</w:t>
      </w:r>
      <w:r>
        <w:rPr>
          <w:lang w:val="en-GB"/>
        </w:rPr>
        <w:t xml:space="preserve">T (without completion).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 E &lt;= Rsel &lt;= B, and E is no greater than any of its three single-guard ablations. For every law P,</w:t>
      </w:r>
    </w:p>
    <w:p>
      <w:pPr>
        <w:pStyle w:val="BodyText"/>
      </w:pPr>
      <w:r>
        <w:rPr>
          <w:lang w:val="en-GB"/>
        </w:rPr>
        <w:t xml:space="preserve">E_P[B] - E_P[E] = P(B = 1, E = 0).</w:t>
      </w:r>
    </w:p>
    <w:p>
      <w:pPr>
        <w:pStyle w:val="BodyText"/>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violates equality, proving that pointwise equality is necessary. These are elementary indicator facts, not a new general probability theorem.</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6">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7"/>
    <w:bookmarkStart w:id="38"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w:r>
        <w:rPr>
          <w:lang w:val="en-GB"/>
        </w:rPr>
        <w:t xml:space="preserve">L(f) = sum_o Q(o) min_{s in F(o)} f(s),</w:t>
      </w:r>
    </w:p>
    <w:p>
      <w:pPr>
        <w:pStyle w:val="BodyText"/>
      </w:pPr>
      <w:r>
        <w:rPr>
          <w:lang w:val="en-GB"/>
        </w:rPr>
        <w:t xml:space="preserve">U(f) = sum_o Q(o) max_{s in F(o)} f(s).</w:t>
      </w:r>
    </w:p>
    <w:p>
      <w:pPr>
        <w:pStyle w:val="BodyText"/>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38"/>
    <w:bookmarkStart w:id="41"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39">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The prospective v3 chain uses a disclosed, SHA-pinned clock-progress correction to the author PMX binary: a zero or nonrepresentably small step advances by max(1 ns, one double ULP), while original interval endpoints and observations are preserved. Its</w:t>
      </w:r>
      <w:r>
        <w:rPr>
          <w:lang w:val="en-GB"/>
        </w:rPr>
        <w:t xml:space="preserve"> </w:t>
      </w:r>
      <w:hyperlink r:id="rId40">
        <w:r>
          <w:rPr>
            <w:rStyle w:val="Hyperlink"/>
            <w:lang w:val="en-GB"/>
          </w:rPr>
          <w:t xml:space="preserve">matched development qualification</w:t>
        </w:r>
      </w:hyperlink>
      <w:r>
        <w:rPr>
          <w:lang w:val="en-GB"/>
        </w:rPr>
        <w:t xml:space="preserve"> </w:t>
      </w:r>
      <w:r>
        <w:rPr>
          <w:lang w:val="en-GB"/>
        </w:rPr>
        <w:t xml:space="preserve">preserves all 32 previously supported forecasts and resolves one timed-out projection; it does not supply independent test accuracy. Derived-binary compilation is recorded separately from extraction and solving.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41"/>
    <w:bookmarkStart w:id="43"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42">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43"/>
    <w:bookmarkStart w:id="44"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3">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4"/>
    <w:bookmarkEnd w:id="45"/>
    <w:bookmarkStart w:id="67" w:name="results"/>
    <w:p>
      <w:pPr>
        <w:pStyle w:val="Heading2"/>
      </w:pPr>
      <w:r>
        <w:rPr>
          <w:lang w:val="en-GB"/>
        </w:rPr>
        <w:t xml:space="preserve">Results</w:t>
      </w:r>
    </w:p>
    <w:bookmarkStart w:id="55"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6">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BodyText"/>
      </w:pPr>
      <w:r>
        <w:drawing>
          <wp:inline>
            <wp:extent cx="5334000" cy="2163233"/>
            <wp:effectExtent b="0" l="0" r="0" t="0"/>
            <wp:docPr descr="Historical AINA aggregate estimates, observed probe frequencies and signed differences" title="" id="48" name="Picture"/>
            <a:graphic>
              <a:graphicData uri="http://schemas.openxmlformats.org/drawingml/2006/picture">
                <pic:pic>
                  <pic:nvPicPr>
                    <pic:cNvPr descr="../figures/aina-audit-v3-review.png" id="49" name="Picture"/>
                    <pic:cNvPicPr>
                      <a:picLocks noChangeArrowheads="1" noChangeAspect="1"/>
                    </pic:cNvPicPr>
                  </pic:nvPicPr>
                  <pic:blipFill>
                    <a:blip r:embed="rId47"/>
                    <a:stretch>
                      <a:fillRect/>
                    </a:stretch>
                  </pic:blipFill>
                  <pic:spPr bwMode="auto">
                    <a:xfrm>
                      <a:off x="0" y="0"/>
                      <a:ext cx="5334000" cy="2163233"/>
                    </a:xfrm>
                    <a:prstGeom prst="rect">
                      <a:avLst/>
                    </a:prstGeom>
                    <a:noFill/>
                    <a:ln w="9525">
                      <a:noFill/>
                      <a:headEnd/>
                      <a:tailEnd/>
                    </a:ln>
                  </pic:spPr>
                </pic:pic>
              </a:graphicData>
            </a:graphic>
          </wp:inline>
        </w:drawing>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50">
        <w:r>
          <w:rPr>
            <w:rStyle w:val="Hyperlink"/>
            <w:i/>
            <w:iCs/>
            <w:lang w:val="en-GB"/>
          </w:rPr>
          <w:t xml:space="preserve">vector PDF</w:t>
        </w:r>
      </w:hyperlink>
      <w:r>
        <w:rPr>
          <w:i/>
          <w:iCs/>
          <w:lang w:val="en-GB"/>
        </w:rPr>
        <w:t xml:space="preserve">,</w:t>
      </w:r>
      <w:r>
        <w:rPr>
          <w:i/>
          <w:iCs/>
          <w:lang w:val="en-GB"/>
        </w:rPr>
        <w:t xml:space="preserve"> </w:t>
      </w:r>
      <w:hyperlink r:id="rId51">
        <w:r>
          <w:rPr>
            <w:rStyle w:val="Hyperlink"/>
            <w:i/>
            <w:iCs/>
            <w:lang w:val="en-GB"/>
          </w:rPr>
          <w:t xml:space="preserve">source/provenance and exact values</w:t>
        </w:r>
      </w:hyperlink>
      <w:r>
        <w:rPr>
          <w:i/>
          <w:iCs/>
          <w:lang w:val="en-GB"/>
        </w:rPr>
        <w:t xml:space="preserve">, and</w:t>
      </w:r>
      <w:r>
        <w:rPr>
          <w:i/>
          <w:iCs/>
          <w:lang w:val="en-GB"/>
        </w:rPr>
        <w:t xml:space="preserve"> </w:t>
      </w:r>
      <w:hyperlink r:id="rId52">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53">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4">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5"/>
    <w:bookmarkStart w:id="56"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6">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6"/>
    <w:bookmarkStart w:id="59"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7">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58">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59"/>
    <w:bookmarkStart w:id="65"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 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60">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61">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63"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 34447262633 completes all 36 workflow jobs and resolves the request-profile interface. Nineteen of 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 1800 second PMX watchdog and exits 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62">
        <w:r>
          <w:rPr>
            <w:rStyle w:val="Hyperlink"/>
            <w:lang w:val="en-GB"/>
          </w:rPr>
          <w:t xml:space="preserve">v2 failure record</w:t>
        </w:r>
      </w:hyperlink>
      <w:r>
        <w:rPr>
          <w:lang w:val="en-GB"/>
        </w:rPr>
        <w:t xml:space="preserve"> </w:t>
      </w:r>
      <w:r>
        <w:rPr>
          <w:lang w:val="en-GB"/>
        </w:rPr>
        <w:t xml:space="preserve">retains all 200 method slots, all 21,600 all-sequence test attempts and the exact missing forecasts. Primary PMX has 13 points, six valid conditional-local refusals and one technical failure; inclusive PMX has 19 points and one failure. Gstar has 10 points, eight ambiguous cells and two structural refusals. The successful subchain retains 48 known oracle solves and passes 1293 other strict provenance/replay/read-order checks. Those checks do not remove the failed admission gates. A separately declared exact-input process diagnostic follows; the cause of the nonterminating process is not inferred from its timeout alone.</w:t>
      </w:r>
    </w:p>
    <w:bookmarkEnd w:id="63"/>
    <w:bookmarkStart w:id="64" w:name="Xf831647aee167505ae71107c3ae6e0b2616b92b"/>
    <w:p>
      <w:pPr>
        <w:pStyle w:val="Heading4"/>
      </w:pPr>
      <w:r>
        <w:rPr>
          <w:lang w:val="en-GB"/>
        </w:rPr>
        <w:t xml:space="preserve">Source-derived computational repair, separately qualified</w:t>
      </w:r>
    </w:p>
    <w:p>
      <w:pPr>
        <w:pStyle w:val="FirstParagraph"/>
      </w:pPr>
      <w:r>
        <w:rPr>
          <w:lang w:val="en-GB"/>
        </w:rPr>
        <w:t xml:space="preserve">Pinned-source and bytecode inspection plus an observer-only replay identify a zero-width overlap and zero LibReDE step in the timed-out case. A minimal representable-clock-progress correction preserves the original interval, samples and all other JAR members outside the factory class/source. The</w:t>
      </w:r>
      <w:r>
        <w:rPr>
          <w:lang w:val="en-GB"/>
        </w:rPr>
        <w:t xml:space="preserve"> </w:t>
      </w:r>
      <w:hyperlink r:id="rId40">
        <w:r>
          <w:rPr>
            <w:rStyle w:val="Hyperlink"/>
            <w:lang w:val="en-GB"/>
          </w:rPr>
          <w:t xml:space="preserve">matched qualification</w:t>
        </w:r>
      </w:hyperlink>
      <w:r>
        <w:rPr>
          <w:lang w:val="en-GB"/>
        </w:rPr>
        <w:t xml:space="preserve"> </w:t>
      </w:r>
      <w:r>
        <w:rPr>
          <w:lang w:val="en-GB"/>
        </w:rPr>
        <w:t xml:space="preserve">completes all 20 saved application projections and four controls. All 19 originally complete projections preserve every resolved field, including resource demands. The failed projection completes in 23.08 seconds including 20 seconds of startup. Seven builds yield the same derived JAR.</w:t>
      </w:r>
    </w:p>
    <w:p>
      <w:pPr>
        <w:pStyle w:val="BodyText"/>
      </w:pPr>
      <w:r>
        <w:rPr>
          <w:lang w:val="en-GB"/>
        </w:rPr>
        <w:t xml:space="preserve">All 48 known solver-oracle records pass. The 32 previously supported forecasts remain exactly unchanged, six conditional unsupported slots retain null points/reasons, and two forecasts are recovered. No business test outcome is read in this repair qualification. These results establish a scoped computational repair on development inputs. A newly versioned full-duration preflight using seed 771605 must still pass before independent main admission.</w:t>
      </w:r>
    </w:p>
    <w:bookmarkEnd w:id="64"/>
    <w:bookmarkEnd w:id="65"/>
    <w:bookmarkStart w:id="66" w:name="Xfca87b76d71a9eeeedfed17811310ea13fd4e43"/>
    <w:p>
      <w:pPr>
        <w:pStyle w:val="Heading3"/>
      </w:pPr>
      <w:r>
        <w:rPr>
          <w:lang w:val="en-GB"/>
        </w:rPr>
        <w:t xml:space="preserve">5. Independent main results remain a separate obligation</w:t>
      </w:r>
    </w:p>
    <w:p>
      <w:pPr>
        <w:pStyle w:val="FirstParagraph"/>
      </w:pPr>
      <w:r>
        <w:rPr>
          <w:lang w:val="en-GB"/>
        </w:rPr>
        <w:t xml:space="preserve">The 240-campaign main series has not yet been admitted. Consequently this chapter makes no Gstar-versus-PMX/G0 superiority claim, no equivalence claim, and no claim that the final model is independently adequate across three applications. Completed mechanisms, arithmetic audits, technical controls and development forecasts cannot substitute for that series.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66"/>
    <w:bookmarkEnd w:id="67"/>
    <w:bookmarkStart w:id="74" w:name="discussion"/>
    <w:p>
      <w:pPr>
        <w:pStyle w:val="Heading2"/>
      </w:pPr>
      <w:r>
        <w:rPr>
          <w:lang w:val="en-GB"/>
        </w:rPr>
        <w:t xml:space="preserve">Discussion</w:t>
      </w:r>
    </w:p>
    <w:bookmarkStart w:id="68"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68"/>
    <w:bookmarkStart w:id="69"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69"/>
    <w:bookmarkStart w:id="70"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70"/>
    <w:bookmarkStart w:id="71"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71"/>
    <w:bookmarkStart w:id="72"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72"/>
    <w:bookmarkStart w:id="73"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second preflight exposes a zero-step PMX resource-estimation loop; its separately qualified clock-progress correction preserves all previously supported forecasts on the saved development inputs. That repair is disclosed as a derived binary, and its qualification does not add independent test campaigns.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73"/>
    <w:bookmarkEnd w:id="74"/>
    <w:bookmarkStart w:id="84" w:name="Xca5978b00292db4c29cfb3375589ea70af0cfb1"/>
    <w:p>
      <w:pPr>
        <w:pStyle w:val="Heading2"/>
      </w:pPr>
      <w:r>
        <w:rPr>
          <w:lang w:val="en-GB"/>
        </w:rPr>
        <w:t xml:space="preserve">Appendix: contribution and evidence boundaries</w:t>
      </w:r>
    </w:p>
    <w:bookmarkStart w:id="81"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6">
              <w:r>
                <w:rPr>
                  <w:rStyle w:val="Hyperlink"/>
                  <w:lang w:val="en-GB"/>
                </w:rPr>
                <w:t xml:space="preserve">ICSE aggregate audit</w:t>
              </w:r>
            </w:hyperlink>
            <w:r>
              <w:rPr>
                <w:lang w:val="en-GB"/>
              </w:rPr>
              <w:t xml:space="preserve">;</w:t>
            </w:r>
            <w:r>
              <w:rPr>
                <w:lang w:val="en-GB"/>
              </w:rPr>
              <w:t xml:space="preserve"> </w:t>
            </w:r>
            <w:hyperlink r:id="rId53">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75">
              <w:r>
                <w:rPr>
                  <w:rStyle w:val="Hyperlink"/>
                  <w:lang w:val="en-GB"/>
                </w:rPr>
                <w:t xml:space="preserve">Execution specification and proofs</w:t>
              </w:r>
            </w:hyperlink>
            <w:r>
              <w:rPr>
                <w:lang w:val="en-GB"/>
              </w:rPr>
              <w:t xml:space="preserve">, source-bound adapters and</w:t>
            </w:r>
            <w:r>
              <w:rPr>
                <w:lang w:val="en-GB"/>
              </w:rPr>
              <w:t xml:space="preserve"> </w:t>
            </w:r>
            <w:hyperlink r:id="rId76">
              <w:r>
                <w:rPr>
                  <w:rStyle w:val="Hyperlink"/>
                  <w:lang w:val="en-GB"/>
                </w:rPr>
                <w:t xml:space="preserve">methods chapter</w:t>
              </w:r>
            </w:hyperlink>
          </w:p>
        </w:tc>
        <w:tc>
          <w:tcPr/>
          <w:p>
            <w:pPr>
              <w:pStyle w:val="Compact"/>
            </w:pPr>
            <w:r>
              <w:rPr>
                <w:lang w:val="en-GB"/>
              </w:rPr>
              <w:t xml:space="preserve">Attribute the MODELS manuscript/preprint as an origin, without an accepted-publication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7">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77">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6">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39">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78">
              <w:r>
                <w:rPr>
                  <w:rStyle w:val="Hyperlink"/>
                  <w:lang w:val="en-GB"/>
                </w:rPr>
                <w:t xml:space="preserve">G0 specification</w:t>
              </w:r>
            </w:hyperlink>
            <w:r>
              <w:rPr>
                <w:lang w:val="en-GB"/>
              </w:rPr>
              <w:t xml:space="preserve">;</w:t>
            </w:r>
            <w:r>
              <w:rPr>
                <w:lang w:val="en-GB"/>
              </w:rPr>
              <w:t xml:space="preserve"> </w:t>
            </w:r>
            <w:hyperlink r:id="rId58">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w:t>
            </w:r>
            <w:r>
              <w:rPr>
                <w:lang w:val="en-GB"/>
              </w:rPr>
              <w:t xml:space="preserve"> </w:t>
            </w:r>
            <w:hyperlink r:id="rId40">
              <w:r>
                <w:rPr>
                  <w:rStyle w:val="Hyperlink"/>
                  <w:lang w:val="en-GB"/>
                </w:rPr>
                <w:t xml:space="preserve">qualified derived PMX repair</w:t>
              </w:r>
            </w:hyperlink>
            <w:r>
              <w:rPr>
                <w:lang w:val="en-GB"/>
              </w:rPr>
              <w:t xml:space="preserve">;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79">
        <w:r>
          <w:rPr>
            <w:rStyle w:val="Hyperlink"/>
            <w:lang w:val="en-GB"/>
          </w:rPr>
          <w:t xml:space="preserve">related-work ledger</w:t>
        </w:r>
      </w:hyperlink>
      <w:r>
        <w:rPr>
          <w:lang w:val="en-GB"/>
        </w:rPr>
        <w:t xml:space="preserve"> </w:t>
      </w:r>
      <w:r>
        <w:rPr>
          <w:lang w:val="en-GB"/>
        </w:rPr>
        <w:t xml:space="preserve">and</w:t>
      </w:r>
      <w:r>
        <w:rPr>
          <w:lang w:val="en-GB"/>
        </w:rPr>
        <w:t xml:space="preserve"> </w:t>
      </w:r>
      <w:hyperlink r:id="rId80">
        <w:r>
          <w:rPr>
            <w:rStyle w:val="Hyperlink"/>
            <w:lang w:val="en-GB"/>
          </w:rPr>
          <w:t xml:space="preserve">validation addendum</w:t>
        </w:r>
      </w:hyperlink>
      <w:r>
        <w:rPr>
          <w:lang w:val="en-GB"/>
        </w:rPr>
        <w:t xml:space="preserve"> </w:t>
      </w:r>
      <w:r>
        <w:rPr>
          <w:lang w:val="en-GB"/>
        </w:rPr>
        <w:t xml:space="preserve">identify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81"/>
    <w:bookmarkStart w:id="82"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31">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3">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39">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42">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82"/>
    <w:bookmarkStart w:id="83" w:name="Xd813bc0ac44da3215c8dbccccb245cb170c3963"/>
    <w:p>
      <w:pPr>
        <w:pStyle w:val="Heading3"/>
      </w:pPr>
      <w:r>
        <w:rPr>
          <w:lang w:val="en-GB"/>
        </w:rPr>
        <w:t xml:space="preserve">Statements that must survive final editing</w:t>
      </w:r>
    </w:p>
    <w:p>
      <w:pPr>
        <w:pStyle w:val="Compact"/>
        <w:numPr>
          <w:ilvl w:val="0"/>
          <w:numId w:val="1001"/>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1"/>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1"/>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1"/>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1"/>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1"/>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hyperlink" Id="rId52"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6" Target="../ARTICLE_METHODS_V3.md" TargetMode="External" /><Relationship Type="http://schemas.openxmlformats.org/officeDocument/2006/relationships/hyperlink" Id="rId12" Target="../ARTICLE_RESULTS_V3.md" TargetMode="External" /><Relationship Type="http://schemas.openxmlformats.org/officeDocument/2006/relationships/hyperlink" Id="rId78" Target="../G0_AINA_ORDINARY_V1.md" TargetMode="External" /><Relationship Type="http://schemas.openxmlformats.org/officeDocument/2006/relationships/hyperlink" Id="rId75" Target="../GRAPH_EXECUTION_MODEL_V1.md" TargetMode="External" /><Relationship Type="http://schemas.openxmlformats.org/officeDocument/2006/relationships/hyperlink" Id="rId79" Target="../RELATED_WORK_SCOPE.md" TargetMode="External" /><Relationship Type="http://schemas.openxmlformats.org/officeDocument/2006/relationships/hyperlink" Id="rId80" Target="../RELATED_WORK_VALIDATION_ADDENDUM_V3.md" TargetMode="External" /><Relationship Type="http://schemas.openxmlformats.org/officeDocument/2006/relationships/hyperlink" Id="rId31" Target="../TEN_EXTERNAL_OPERATION_CONTRACTS.md" TargetMode="External" /><Relationship Type="http://schemas.openxmlformats.org/officeDocument/2006/relationships/hyperlink" Id="rId34" Target="../V3_APPLICATION_EXECUTION_V2.md" TargetMode="External" /><Relationship Type="http://schemas.openxmlformats.org/officeDocument/2006/relationships/hyperlink" Id="rId42" Target="../V3_CAMPAIGN_ANALYSIS_COMPONENT_V1.md" TargetMode="External" /><Relationship Type="http://schemas.openxmlformats.org/officeDocument/2006/relationships/hyperlink" Id="rId61" Target="../V3_COMPARISON_V2_REQUEST_PROFILE_CORRECTION.md" TargetMode="External" /><Relationship Type="http://schemas.openxmlformats.org/officeDocument/2006/relationships/hyperlink" Id="rId39" Target="../V3_FINAL_COMPARISON_BINDINGS_V1.md" TargetMode="External" /><Relationship Type="http://schemas.openxmlformats.org/officeDocument/2006/relationships/hyperlink" Id="rId33" Target="../V3_ORDINARY_IDENTITY_V2.md" TargetMode="External" /><Relationship Type="http://schemas.openxmlformats.org/officeDocument/2006/relationships/hyperlink" Id="rId51" Target="../figures/aina-audit-v3-provenance.json" TargetMode="External" /><Relationship Type="http://schemas.openxmlformats.org/officeDocument/2006/relationships/hyperlink" Id="rId50" Target="../figures/aina-audit-v3.pdf" TargetMode="External" /><Relationship Type="http://schemas.openxmlformats.org/officeDocument/2006/relationships/hyperlink" Id="rId36" Target="../milestones/H_EXEC_01_SEALED_STUDY_CONFIRMATION.md" TargetMode="External" /><Relationship Type="http://schemas.openxmlformats.org/officeDocument/2006/relationships/hyperlink" Id="rId53" Target="../milestones/ORIGINAL_AINA_FULL_AUDIT.md" TargetMode="External" /><Relationship Type="http://schemas.openxmlformats.org/officeDocument/2006/relationships/hyperlink" Id="rId54" Target="../milestones/ORIGINAL_AINA_TIMING_FEASIBILITY.md" TargetMode="External" /><Relationship Type="http://schemas.openxmlformats.org/officeDocument/2006/relationships/hyperlink" Id="rId46" Target="../milestones/ORIGINAL_ICSE_AGGREGATE_AUDIT.md" TargetMode="External" /><Relationship Type="http://schemas.openxmlformats.org/officeDocument/2006/relationships/hyperlink" Id="rId40" Target="../milestones/PMX_CLOCK_PROGRESS_QUALIFICATION_V1_RESULT.md" TargetMode="External" /><Relationship Type="http://schemas.openxmlformats.org/officeDocument/2006/relationships/hyperlink" Id="rId57" Target="../milestones/V3_APPLICATION_EXECUTION_V2_RESULT.md" TargetMode="External" /><Relationship Type="http://schemas.openxmlformats.org/officeDocument/2006/relationships/hyperlink" Id="rId60" Target="../milestones/V3_COMPARISON_PREFLIGHT_V1_RESULT.md" TargetMode="External" /><Relationship Type="http://schemas.openxmlformats.org/officeDocument/2006/relationships/hyperlink" Id="rId62" Target="../milestones/V3_COMPARISON_PREFLIGHT_V2_FAILURE.md" TargetMode="External" /><Relationship Type="http://schemas.openxmlformats.org/officeDocument/2006/relationships/hyperlink" Id="rId58" Target="../milestones/V3_G0_QUALIFICATION_V1_RESULT.md" TargetMode="External" /><Relationship Type="http://schemas.openxmlformats.org/officeDocument/2006/relationships/hyperlink" Id="rId77"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8"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 Type="http://schemas.openxmlformats.org/officeDocument/2006/relationships/hyperlink" Id="rId26" Target="https://sce.carleton.ca/faculty/wainer/papers/1-s2.0-S1569190X14001142-main.pdf" TargetMode="External" /><Relationship Type="http://schemas.openxmlformats.org/officeDocument/2006/relationships/hyperlink" Id="rId25" Target="https://www.sciencedirect.com/science/article/abs/pii/S1569190X16000411" TargetMode="External" /></Relationships>
</file>

<file path=word/_rels/footnotes.xml.rels><?xml version="1.0" encoding="UTF-8"?><Relationships xmlns="http://schemas.openxmlformats.org/package/2006/relationships"><Relationship Type="http://schemas.openxmlformats.org/officeDocument/2006/relationships/hyperlink" Id="rId52"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6" Target="../ARTICLE_METHODS_V3.md" TargetMode="External" /><Relationship Type="http://schemas.openxmlformats.org/officeDocument/2006/relationships/hyperlink" Id="rId12" Target="../ARTICLE_RESULTS_V3.md" TargetMode="External" /><Relationship Type="http://schemas.openxmlformats.org/officeDocument/2006/relationships/hyperlink" Id="rId78" Target="../G0_AINA_ORDINARY_V1.md" TargetMode="External" /><Relationship Type="http://schemas.openxmlformats.org/officeDocument/2006/relationships/hyperlink" Id="rId75" Target="../GRAPH_EXECUTION_MODEL_V1.md" TargetMode="External" /><Relationship Type="http://schemas.openxmlformats.org/officeDocument/2006/relationships/hyperlink" Id="rId79" Target="../RELATED_WORK_SCOPE.md" TargetMode="External" /><Relationship Type="http://schemas.openxmlformats.org/officeDocument/2006/relationships/hyperlink" Id="rId80" Target="../RELATED_WORK_VALIDATION_ADDENDUM_V3.md" TargetMode="External" /><Relationship Type="http://schemas.openxmlformats.org/officeDocument/2006/relationships/hyperlink" Id="rId31" Target="../TEN_EXTERNAL_OPERATION_CONTRACTS.md" TargetMode="External" /><Relationship Type="http://schemas.openxmlformats.org/officeDocument/2006/relationships/hyperlink" Id="rId34" Target="../V3_APPLICATION_EXECUTION_V2.md" TargetMode="External" /><Relationship Type="http://schemas.openxmlformats.org/officeDocument/2006/relationships/hyperlink" Id="rId42" Target="../V3_CAMPAIGN_ANALYSIS_COMPONENT_V1.md" TargetMode="External" /><Relationship Type="http://schemas.openxmlformats.org/officeDocument/2006/relationships/hyperlink" Id="rId61" Target="../V3_COMPARISON_V2_REQUEST_PROFILE_CORRECTION.md" TargetMode="External" /><Relationship Type="http://schemas.openxmlformats.org/officeDocument/2006/relationships/hyperlink" Id="rId39" Target="../V3_FINAL_COMPARISON_BINDINGS_V1.md" TargetMode="External" /><Relationship Type="http://schemas.openxmlformats.org/officeDocument/2006/relationships/hyperlink" Id="rId33" Target="../V3_ORDINARY_IDENTITY_V2.md" TargetMode="External" /><Relationship Type="http://schemas.openxmlformats.org/officeDocument/2006/relationships/hyperlink" Id="rId51" Target="../figures/aina-audit-v3-provenance.json" TargetMode="External" /><Relationship Type="http://schemas.openxmlformats.org/officeDocument/2006/relationships/hyperlink" Id="rId50" Target="../figures/aina-audit-v3.pdf" TargetMode="External" /><Relationship Type="http://schemas.openxmlformats.org/officeDocument/2006/relationships/hyperlink" Id="rId36" Target="../milestones/H_EXEC_01_SEALED_STUDY_CONFIRMATION.md" TargetMode="External" /><Relationship Type="http://schemas.openxmlformats.org/officeDocument/2006/relationships/hyperlink" Id="rId53" Target="../milestones/ORIGINAL_AINA_FULL_AUDIT.md" TargetMode="External" /><Relationship Type="http://schemas.openxmlformats.org/officeDocument/2006/relationships/hyperlink" Id="rId54" Target="../milestones/ORIGINAL_AINA_TIMING_FEASIBILITY.md" TargetMode="External" /><Relationship Type="http://schemas.openxmlformats.org/officeDocument/2006/relationships/hyperlink" Id="rId46" Target="../milestones/ORIGINAL_ICSE_AGGREGATE_AUDIT.md" TargetMode="External" /><Relationship Type="http://schemas.openxmlformats.org/officeDocument/2006/relationships/hyperlink" Id="rId40" Target="../milestones/PMX_CLOCK_PROGRESS_QUALIFICATION_V1_RESULT.md" TargetMode="External" /><Relationship Type="http://schemas.openxmlformats.org/officeDocument/2006/relationships/hyperlink" Id="rId57" Target="../milestones/V3_APPLICATION_EXECUTION_V2_RESULT.md" TargetMode="External" /><Relationship Type="http://schemas.openxmlformats.org/officeDocument/2006/relationships/hyperlink" Id="rId60" Target="../milestones/V3_COMPARISON_PREFLIGHT_V1_RESULT.md" TargetMode="External" /><Relationship Type="http://schemas.openxmlformats.org/officeDocument/2006/relationships/hyperlink" Id="rId62" Target="../milestones/V3_COMPARISON_PREFLIGHT_V2_FAILURE.md" TargetMode="External" /><Relationship Type="http://schemas.openxmlformats.org/officeDocument/2006/relationships/hyperlink" Id="rId58" Target="../milestones/V3_G0_QUALIFICATION_V1_RESULT.md" TargetMode="External" /><Relationship Type="http://schemas.openxmlformats.org/officeDocument/2006/relationships/hyperlink" Id="rId77"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8"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 Type="http://schemas.openxmlformats.org/officeDocument/2006/relationships/hyperlink" Id="rId26" Target="https://sce.carleton.ca/faculty/wainer/papers/1-s2.0-S1569190X14001142-main.pdf" TargetMode="External" /><Relationship Type="http://schemas.openxmlformats.org/officeDocument/2006/relationships/hyperlink" Id="rId25" Target="https://www.sciencedirect.com/science/article/abs/pii/S1569190X160004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2026-09-10T09:48:34Z</dcterms:created>
  <dcterms:modified xsi:type="dcterms:W3CDTF">2026-09-10T09:48:34Z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