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  <Override PartName="/word/media/rId25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exp1_results</w:t>
      </w:r>
    </w:p>
    <w:p>
      <w:pPr>
        <w:pStyle w:val="FirstParagraph"/>
      </w:pPr>
      <w:r>
        <w:t xml:space="preserve">In total, 0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 Resulting in a</w:t>
      </w:r>
      <w:r>
        <w:t xml:space="preserve"> </w:t>
      </w:r>
      <w:r>
        <w:t xml:space="preserve">loss of 0 percent of the data.</w:t>
      </w:r>
    </w:p>
    <w:p>
      <w:pPr>
        <w:pStyle w:val="BodyText"/>
      </w:pPr>
      <w:r>
        <w:t xml:space="preserve">Furthermore, 4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1.78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102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45.33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106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47.11</w:t>
      </w:r>
      <w:r>
        <w:t xml:space="preserve"> </w:t>
      </w:r>
      <w:r>
        <w:t xml:space="preserve">percent of the data.</w:t>
      </w:r>
    </w:p>
    <w:p>
      <w:pPr>
        <w:pStyle w:val="SourceCode"/>
      </w:pPr>
      <w:r>
        <w:rPr>
          <w:rStyle w:val="VerbatimChar"/>
        </w:rPr>
        <w:t xml:space="preserve">t is large; approximation invoked.</w:t>
      </w:r>
    </w:p>
    <w:bookmarkStart w:id="30" w:name="diagnostic"/>
    <w:p>
      <w:pPr>
        <w:pStyle w:val="Heading1"/>
      </w:pPr>
      <w:r>
        <w:t xml:space="preserve">Diagnostic</w:t>
      </w:r>
    </w:p>
    <w:bookmarkStart w:id="20" w:name="table"/>
    <w:p>
      <w:pPr>
        <w:pStyle w:val="Heading2"/>
      </w:pPr>
      <w:r>
        <w:t xml:space="preserve">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[-1.88, 92.8]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Note.</w:t>
      </w:r>
      <w:r>
        <w:t xml:space="preserve"> </w:t>
      </w:r>
      <w:r>
        <w:t xml:space="preserve">P’s are Bonferroni corrected for 2 tests. The tests</w:t>
      </w:r>
      <w:r>
        <w:t xml:space="preserve"> </w:t>
      </w:r>
      <w:r>
        <w:t xml:space="preserve">have 1 degrees of freedom.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.05 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.01 ***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bookmarkEnd w:id="20"/>
    <w:bookmarkStart w:id="29" w:name="figures"/>
    <w:p>
      <w:pPr>
        <w:pStyle w:val="Heading2"/>
      </w:pPr>
      <w:r>
        <w:t xml:space="preserve">Figures</w:t>
      </w:r>
    </w:p>
    <w:bookmarkStart w:id="24" w:name="linerange"/>
    <w:p>
      <w:pPr>
        <w:pStyle w:val="Heading3"/>
      </w:pPr>
      <w:r>
        <w:t xml:space="preserve">linerange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ar-plot"/>
    <w:p>
      <w:pPr>
        <w:pStyle w:val="Heading3"/>
      </w:pPr>
      <w:r>
        <w:t xml:space="preserve">Bar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bookmarkStart w:id="41" w:name="inducer-with-correlation"/>
    <w:p>
      <w:pPr>
        <w:pStyle w:val="Heading1"/>
      </w:pPr>
      <w:r>
        <w:t xml:space="preserve">Inducer (with correlation)</w:t>
      </w:r>
    </w:p>
    <w:bookmarkStart w:id="35" w:name="total"/>
    <w:p>
      <w:pPr>
        <w:pStyle w:val="Heading2"/>
      </w:pPr>
      <w:r>
        <w:t xml:space="preserve">Total</w:t>
      </w:r>
    </w:p>
    <w:bookmarkStart w:id="34" w:name="table-1"/>
    <w:p>
      <w:pPr>
        <w:pStyle w:val="Heading3"/>
      </w:pPr>
      <w:r>
        <w:t xml:space="preserve">Table</w:t>
      </w:r>
    </w:p>
    <w:p>
      <w:pPr>
        <w:pStyle w:val="FirstParagraph"/>
      </w:pPr>
      <w:r>
        <w:t xml:space="preserve">Grand correlation, encoding time (ms) and response time (ms) for the inducer task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  cor instructions trial</w:t>
      </w:r>
      <w:r>
        <w:br/>
      </w:r>
      <w:r>
        <w:rPr>
          <w:rStyle w:val="VerbatimChar"/>
        </w:rPr>
        <w:t xml:space="preserve">   &lt;dbl&gt;        &lt;dbl&gt; &lt;dbl&gt;</w:t>
      </w:r>
      <w:r>
        <w:br/>
      </w:r>
      <w:r>
        <w:rPr>
          <w:rStyle w:val="VerbatimChar"/>
        </w:rPr>
        <w:t xml:space="preserve">1 -0.397        4290.  850.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ysis_testing_files/figure-docx/total%20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0" w:name="within"/>
    <w:p>
      <w:pPr>
        <w:pStyle w:val="Heading2"/>
      </w:pPr>
      <w:r>
        <w:t xml:space="preserve">Within</w:t>
      </w:r>
    </w:p>
    <w:bookmarkStart w:id="39" w:name="table-2"/>
    <w:p>
      <w:pPr>
        <w:pStyle w:val="Heading3"/>
      </w:pPr>
      <w:r>
        <w:t xml:space="preserve">table</w:t>
      </w:r>
    </w:p>
    <w:p>
      <w:pPr>
        <w:pStyle w:val="FirstParagraph"/>
      </w:pPr>
      <w:r>
        <w:t xml:space="preserve">Individual correlation, encoding time (ms) and response time (ms)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id          cor encoding trial</w:t>
      </w:r>
      <w:r>
        <w:br/>
      </w:r>
      <w:r>
        <w:rPr>
          <w:rStyle w:val="VerbatimChar"/>
        </w:rPr>
        <w:t xml:space="preserve">  &lt;chr&gt;     &lt;dbl&gt;    &lt;dbl&gt; &lt;dbl&gt;</w:t>
      </w:r>
      <w:r>
        <w:br/>
      </w:r>
      <w:r>
        <w:rPr>
          <w:rStyle w:val="VerbatimChar"/>
        </w:rPr>
        <w:t xml:space="preserve">1 o6g1w3c4  0.506    6417.  617.</w:t>
      </w:r>
      <w:r>
        <w:br/>
      </w:r>
      <w:r>
        <w:rPr>
          <w:rStyle w:val="VerbatimChar"/>
        </w:rPr>
        <w:t xml:space="preserve">2 xg8vmgtv -0.308    2163  1082.</w:t>
      </w:r>
    </w:p>
    <w:p>
      <w:pPr>
        <w:pStyle w:val="FirstParagraph"/>
      </w:pPr>
      <w:r>
        <w:t xml:space="preserve">Response time in milliseconds (ms) for encoding the instructions and inducer trial.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ysis_testing_files/figure-docx/within%20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53" w:name="explore"/>
    <w:p>
      <w:pPr>
        <w:pStyle w:val="Heading1"/>
      </w:pPr>
      <w:r>
        <w:t xml:space="preserve">Explore</w:t>
      </w:r>
    </w:p>
    <w:bookmarkStart w:id="42" w:name="lisas"/>
    <w:p>
      <w:pPr>
        <w:pStyle w:val="Heading2"/>
      </w:pPr>
      <w:r>
        <w:t xml:space="preserve">LISAS</w:t>
      </w:r>
    </w:p>
    <w:bookmarkEnd w:id="42"/>
    <w:bookmarkStart w:id="52" w:name="split-by-incorrect"/>
    <w:p>
      <w:pPr>
        <w:pStyle w:val="Heading2"/>
      </w:pPr>
      <w:r>
        <w:t xml:space="preserve">Split by in/correct ????</w:t>
      </w:r>
    </w:p>
    <w:p>
      <w:pPr>
        <w:pStyle w:val="SourceCode"/>
      </w:pPr>
      <w:r>
        <w:rPr>
          <w:rStyle w:val="VerbatimChar"/>
        </w:rPr>
        <w:t xml:space="preserve">`summarise()` has grouped output by 'id'. You can override using the `.groups`</w:t>
      </w:r>
      <w:r>
        <w:br/>
      </w:r>
      <w:r>
        <w:rPr>
          <w:rStyle w:val="VerbatimChar"/>
        </w:rPr>
        <w:t xml:space="preserve">argument.</w:t>
      </w:r>
    </w:p>
    <w:p>
      <w:pPr>
        <w:pStyle w:val="SourceCode"/>
      </w:pPr>
      <w:r>
        <w:rPr>
          <w:rStyle w:val="VerbatimChar"/>
        </w:rPr>
        <w:t xml:space="preserve">No summary function supplied, defaulting to `mean_se()`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No summary function supplied, defaulting to `mean_se()`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No summary function supplied, defaulting to `mean_se()`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exp1_results</dc:title>
  <dc:creator/>
  <dc:language>en-GB</dc:language>
  <cp:keywords/>
  <dcterms:created xsi:type="dcterms:W3CDTF">2024-01-23T13:52:58Z</dcterms:created>
  <dcterms:modified xsi:type="dcterms:W3CDTF">2024-01-23T13:52:58Z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