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2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12.5 percent of the data.</w:t>
      </w:r>
    </w:p>
    <w:p>
      <w:pPr>
        <w:pStyle w:val="BodyText"/>
      </w:pPr>
      <w:r>
        <w:t xml:space="preserve">Furthermore, 17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2.1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251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31.06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369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45.67</w:t>
      </w:r>
      <w:r>
        <w:t xml:space="preserve"> </w:t>
      </w:r>
      <w:r>
        <w:t xml:space="preserve">percent of the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[-13.3, 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[-0.12, 0.04]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5 degrees of freedom.</w:t>
      </w:r>
      <w:r>
        <w:t xml:space="preserve"> 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t xml:space="preserve">subscript H</w:t>
      </w:r>
      <w:r>
        <w:rPr>
          <w:vertAlign w:val="subscript"/>
        </w:rPr>
        <w:t xml:space="preserve">20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testing_files/figure-docx/rt%20and%20percent%20plot%20-%20difference%20to%20baselin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2024-01-18T10:58:27Z</dcterms:created>
  <dcterms:modified xsi:type="dcterms:W3CDTF">2024-01-18T10:58:27Z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