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6"/>
          <w:szCs w:val="26"/>
          <w:rtl w:val="0"/>
        </w:rPr>
        <w:t xml:space="preserve">PLAN DE GESTIÓN DE LA CONFIGURACIÓN DEL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 Introducción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Situación de la empresa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Durante la elaboración de un software, es frecuente que sin una buena gestión, existan los siguientes problemas :la sobreescritura de código, archivos perdidos, cambios a una versión incorrecta del código, reaparición de errores ya corregidos , etc. Por todo esto es importante  que  la empresa Softgenix implemente un buen plan de gestión de configuración del software. Ya que esto nos permitirá aplicar procesos técnicos y administrativos durante el ciclo de vida de nuestros proyectos.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Propósito del plan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Establecer un sistema de gestión de la configuración efectivo para la empresa, que permita la identificación, control y seguimiento de los elementos de configuración de los productos de software que se desarrollan, mantienen o entregan a los clientes.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Con el objetivo de asegurar que todas las versiones de los componentes de software estén bajo control y que se puedan rastrear los cambios realizados en ellos a lo largo del tiempo. Esto es esencial para garantizar que el software sea confiable, seguro, escalable y mantenido adecuadamente.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Benchmarking de herramientas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8.8619405389386"/>
        <w:gridCol w:w="1403.3119837107108"/>
        <w:gridCol w:w="1536.257329535936"/>
        <w:gridCol w:w="1388.5402786190189"/>
        <w:gridCol w:w="1388.5402786190189"/>
        <w:tblGridChange w:id="0">
          <w:tblGrid>
            <w:gridCol w:w="3308.8619405389386"/>
            <w:gridCol w:w="1403.3119837107108"/>
            <w:gridCol w:w="1536.257329535936"/>
            <w:gridCol w:w="1388.5402786190189"/>
            <w:gridCol w:w="1388.5402786190189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Criterios/Características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Bazaar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Mercurial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Darcs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8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Gratuito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Multiplataforma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Interfaz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Integración / Plugs-ins 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Soporte para diferentes lenguajes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ind w:left="82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Réplica de repositorio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Unicode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Mantenimiento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ind w:left="8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Historial de cambio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ind w:left="820" w:firstLine="0"/>
              <w:jc w:val="center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ind w:left="820" w:firstLine="0"/>
              <w:jc w:val="center"/>
              <w:rPr>
                <w:b w:val="1"/>
                <w:color w:val="6aa84f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aa84f"/>
                <w:sz w:val="28"/>
                <w:szCs w:val="28"/>
                <w:rtl w:val="0"/>
              </w:rPr>
              <w:t xml:space="preserve">✓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Git cumple con todas las características mencionadas en el cuadro. Es una herramienta gratuita y de código abierto que es compatible con múltiples plataformas, tiene una interfaz web y una integración estrecha con muchos IDE populares. Además, es compatible con una amplia gama de lenguajes de programación, admite la replicación de repositorios y la gestión de Unicode, y se mantiene activamente a través de actualizaciones y mejoras continuas.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Identificación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125"/>
        <w:gridCol w:w="5640"/>
        <w:tblGridChange w:id="0">
          <w:tblGrid>
            <w:gridCol w:w="2235"/>
            <w:gridCol w:w="1125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Línea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Hito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Items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Línea Base 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SCIP-PC.pdf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SCIP-CP.xlsx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SCIP-PER.docx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SCIP-RF-001-GU.docx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SCIP-RF-002-AP.docx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SCIP-RF-003-GRI.docx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SCIP-RF-004-BP.docx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SCIP-RF-005-GAS.docx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SCIP-RF-006-MRG.docx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SCIP-RF-007-MLP.docx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SCIP-RF-008-MHR.docx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SCIP-RF-009-APR.docx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SCIP-PGR.docx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SCIP-DAS.docx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SCIP-VDAS.docx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SCIP-DEUX.docx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SCIP-VDEDB.docx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SCIP-VDEUX.docx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SCIP-AF-HI.docx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Línea Base 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SCIP-IRI.docx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SCIP-ADS.docx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rtl w:val="0"/>
              </w:rPr>
              <w:t xml:space="preserve">SCIP-DEDB.docx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3"/>
                <w:szCs w:val="23"/>
                <w:highlight w:val="white"/>
                <w:rtl w:val="0"/>
              </w:rPr>
              <w:t xml:space="preserve">SCIP-IR.docx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3"/>
                <w:szCs w:val="23"/>
                <w:highlight w:val="white"/>
                <w:rtl w:val="0"/>
              </w:rPr>
              <w:t xml:space="preserve">SCIP-AF-HII.docx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Línea Base 3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3"/>
                <w:szCs w:val="23"/>
                <w:highlight w:val="white"/>
                <w:rtl w:val="0"/>
              </w:rPr>
              <w:t xml:space="preserve">SCIP-IRII.docx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3"/>
                <w:szCs w:val="23"/>
                <w:highlight w:val="white"/>
                <w:rtl w:val="0"/>
              </w:rPr>
              <w:t xml:space="preserve">SCIP-DCS.docx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ource Sans Pro" w:cs="Source Sans Pro" w:eastAsia="Source Sans Pro" w:hAnsi="Source Sans Pro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sz w:val="23"/>
                <w:szCs w:val="23"/>
                <w:highlight w:val="white"/>
                <w:rtl w:val="0"/>
              </w:rPr>
              <w:t xml:space="preserve">SCIP-ACP.docx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Estado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Entrega y Gestión de 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