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60" w:before="240" w:line="240" w:lineRule="auto"/>
        <w:jc w:val="center"/>
        <w:rPr>
          <w:rFonts w:ascii="Source Sans Pro" w:cs="Source Sans Pro" w:eastAsia="Source Sans Pro" w:hAnsi="Source Sans Pro"/>
          <w:b w:val="1"/>
          <w:color w:val="0081c6"/>
          <w:sz w:val="48"/>
          <w:szCs w:val="48"/>
        </w:rPr>
      </w:pPr>
      <w:r w:rsidDel="00000000" w:rsidR="00000000" w:rsidRPr="00000000">
        <w:rPr>
          <w:rFonts w:ascii="Source Sans Pro" w:cs="Source Sans Pro" w:eastAsia="Source Sans Pro" w:hAnsi="Source Sans Pro"/>
          <w:b w:val="1"/>
          <w:sz w:val="48"/>
          <w:szCs w:val="48"/>
          <w:rtl w:val="0"/>
        </w:rPr>
        <w:t xml:space="preserve">GESTIÓN DE INVENTARIO - MALIBÚ PERÚ</w:t>
      </w:r>
      <w:r w:rsidDel="00000000" w:rsidR="00000000" w:rsidRPr="00000000">
        <w:rPr>
          <w:rtl w:val="0"/>
        </w:rPr>
      </w:r>
    </w:p>
    <w:p w:rsidR="00000000" w:rsidDel="00000000" w:rsidP="00000000" w:rsidRDefault="00000000" w:rsidRPr="00000000" w14:paraId="00000002">
      <w:pPr>
        <w:spacing w:after="120" w:before="120" w:line="360" w:lineRule="auto"/>
        <w:jc w:val="both"/>
        <w:rPr>
          <w:rFonts w:ascii="Source Sans Pro" w:cs="Source Sans Pro" w:eastAsia="Source Sans Pro" w:hAnsi="Source Sans Pro"/>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after="60" w:before="240" w:line="240" w:lineRule="auto"/>
        <w:jc w:val="center"/>
        <w:rPr>
          <w:rFonts w:ascii="Source Sans Pro" w:cs="Source Sans Pro" w:eastAsia="Source Sans Pro" w:hAnsi="Source Sans Pro"/>
          <w:b w:val="1"/>
          <w:color w:val="0081c6"/>
          <w:sz w:val="48"/>
          <w:szCs w:val="48"/>
        </w:rPr>
      </w:pPr>
      <w:bookmarkStart w:colFirst="0" w:colLast="0" w:name="_30j0zll" w:id="1"/>
      <w:bookmarkEnd w:id="1"/>
      <w:r w:rsidDel="00000000" w:rsidR="00000000" w:rsidRPr="00000000">
        <w:rPr>
          <w:rFonts w:ascii="Source Sans Pro" w:cs="Source Sans Pro" w:eastAsia="Source Sans Pro" w:hAnsi="Source Sans Pro"/>
          <w:b w:val="1"/>
          <w:sz w:val="44"/>
          <w:szCs w:val="44"/>
          <w:rtl w:val="0"/>
        </w:rPr>
        <w:t xml:space="preserve">Especificación de Requisito: </w:t>
      </w:r>
      <w:r w:rsidDel="00000000" w:rsidR="00000000" w:rsidRPr="00000000">
        <w:rPr>
          <w:rtl w:val="0"/>
        </w:rPr>
      </w:r>
    </w:p>
    <w:p w:rsidR="00000000" w:rsidDel="00000000" w:rsidP="00000000" w:rsidRDefault="00000000" w:rsidRPr="00000000" w14:paraId="00000004">
      <w:pPr>
        <w:spacing w:after="60" w:before="240" w:line="240" w:lineRule="auto"/>
        <w:jc w:val="center"/>
        <w:rPr>
          <w:rFonts w:ascii="Source Sans Pro" w:cs="Source Sans Pro" w:eastAsia="Source Sans Pro" w:hAnsi="Source Sans Pro"/>
          <w:b w:val="1"/>
          <w:color w:val="0081c6"/>
          <w:sz w:val="48"/>
          <w:szCs w:val="48"/>
        </w:rPr>
      </w:pPr>
      <w:r w:rsidDel="00000000" w:rsidR="00000000" w:rsidRPr="00000000">
        <w:rPr>
          <w:rFonts w:ascii="Source Sans Pro" w:cs="Source Sans Pro" w:eastAsia="Source Sans Pro" w:hAnsi="Source Sans Pro"/>
          <w:b w:val="1"/>
          <w:sz w:val="44"/>
          <w:szCs w:val="44"/>
          <w:rtl w:val="0"/>
        </w:rPr>
        <w:t xml:space="preserve">RF08 </w:t>
      </w:r>
      <w:r w:rsidDel="00000000" w:rsidR="00000000" w:rsidRPr="00000000">
        <w:rPr>
          <w:rFonts w:ascii="Source Sans Pro" w:cs="Source Sans Pro" w:eastAsia="Source Sans Pro" w:hAnsi="Source Sans Pro"/>
          <w:b w:val="1"/>
          <w:sz w:val="44"/>
          <w:szCs w:val="44"/>
          <w:rtl w:val="0"/>
        </w:rPr>
        <w:t xml:space="preserve">- Mostrar historial de reportes</w:t>
      </w: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Source Sans Pro" w:cs="Source Sans Pro" w:eastAsia="Source Sans Pro" w:hAnsi="Source Sans Pro"/>
          <w:sz w:val="36"/>
          <w:szCs w:val="36"/>
        </w:rPr>
      </w:pP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Source Sans Pro" w:cs="Source Sans Pro" w:eastAsia="Source Sans Pro" w:hAnsi="Source Sans Pro"/>
          <w:sz w:val="36"/>
          <w:szCs w:val="36"/>
        </w:rPr>
      </w:pP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Source Sans Pro" w:cs="Source Sans Pro" w:eastAsia="Source Sans Pro" w:hAnsi="Source Sans Pro"/>
          <w:sz w:val="32"/>
          <w:szCs w:val="32"/>
        </w:rPr>
      </w:pPr>
      <w:r w:rsidDel="00000000" w:rsidR="00000000" w:rsidRPr="00000000">
        <w:rPr>
          <w:rtl w:val="0"/>
        </w:rPr>
      </w:r>
    </w:p>
    <w:p w:rsidR="00000000" w:rsidDel="00000000" w:rsidP="00000000" w:rsidRDefault="00000000" w:rsidRPr="00000000" w14:paraId="00000008">
      <w:pPr>
        <w:spacing w:after="120" w:before="120" w:line="36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32"/>
          <w:szCs w:val="32"/>
          <w:rtl w:val="0"/>
        </w:rPr>
        <w:t xml:space="preserve">Versión 1.0</w:t>
      </w:r>
      <w:r w:rsidDel="00000000" w:rsidR="00000000" w:rsidRPr="00000000">
        <w:rPr>
          <w:rtl w:val="0"/>
        </w:rPr>
      </w:r>
    </w:p>
    <w:p w:rsidR="00000000" w:rsidDel="00000000" w:rsidP="00000000" w:rsidRDefault="00000000" w:rsidRPr="00000000" w14:paraId="00000009">
      <w:pPr>
        <w:spacing w:after="120" w:before="120" w:line="360" w:lineRule="auto"/>
        <w:jc w:val="center"/>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B">
      <w:pPr>
        <w:spacing w:after="120" w:before="120" w:line="360" w:lineRule="auto"/>
        <w:jc w:val="left"/>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D">
      <w:pPr>
        <w:spacing w:after="120" w:before="120" w:line="360" w:lineRule="auto"/>
        <w:jc w:val="left"/>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E">
      <w:pPr>
        <w:spacing w:after="120" w:before="120" w:line="360" w:lineRule="auto"/>
        <w:jc w:val="center"/>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F">
      <w:pPr>
        <w:spacing w:after="120" w:before="120" w:line="360" w:lineRule="auto"/>
        <w:jc w:val="right"/>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Lima, abril del 2023</w:t>
      </w:r>
    </w:p>
    <w:p w:rsidR="00000000" w:rsidDel="00000000" w:rsidP="00000000" w:rsidRDefault="00000000" w:rsidRPr="00000000" w14:paraId="00000010">
      <w:pPr>
        <w:spacing w:after="120" w:before="120" w:line="360" w:lineRule="auto"/>
        <w:jc w:val="right"/>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1">
      <w:pPr>
        <w:spacing w:after="120" w:before="120" w:line="360" w:lineRule="auto"/>
        <w:jc w:val="right"/>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2">
      <w:pPr>
        <w:spacing w:after="120" w:before="120" w:line="360" w:lineRule="auto"/>
        <w:jc w:val="right"/>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3">
      <w:pPr>
        <w:spacing w:after="120" w:before="120" w:line="360" w:lineRule="auto"/>
        <w:jc w:val="right"/>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4">
      <w:pPr>
        <w:spacing w:after="120" w:before="120" w:line="360" w:lineRule="auto"/>
        <w:jc w:val="right"/>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5">
      <w:pPr>
        <w:spacing w:after="120" w:before="120" w:line="360" w:lineRule="auto"/>
        <w:jc w:val="left"/>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CONTROL DE VERSIONES</w:t>
      </w:r>
    </w:p>
    <w:tbl>
      <w:tblPr>
        <w:tblStyle w:val="Table1"/>
        <w:tblW w:w="8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455"/>
        <w:gridCol w:w="3240"/>
        <w:gridCol w:w="2010"/>
        <w:tblGridChange w:id="0">
          <w:tblGrid>
            <w:gridCol w:w="2235"/>
            <w:gridCol w:w="1455"/>
            <w:gridCol w:w="3240"/>
            <w:gridCol w:w="201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FECHA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VERSIÓN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15-04-2023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Acceder al historial de reportes de 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Alexander Gabriel Cuello Apaza</w:t>
            </w:r>
          </w:p>
        </w:tc>
      </w:tr>
    </w:tbl>
    <w:p w:rsidR="00000000" w:rsidDel="00000000" w:rsidP="00000000" w:rsidRDefault="00000000" w:rsidRPr="00000000" w14:paraId="0000001E">
      <w:pPr>
        <w:spacing w:line="360" w:lineRule="auto"/>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F">
      <w:pPr>
        <w:spacing w:line="36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360" w:lineRule="auto"/>
            <w:rPr>
              <w:rFonts w:ascii="Source Sans Pro" w:cs="Source Sans Pro" w:eastAsia="Source Sans Pro" w:hAnsi="Source Sans Pro"/>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58crz86y0fm5">
            <w:r w:rsidDel="00000000" w:rsidR="00000000" w:rsidRPr="00000000">
              <w:rPr>
                <w:rFonts w:ascii="Source Sans Pro" w:cs="Source Sans Pro" w:eastAsia="Source Sans Pro" w:hAnsi="Source Sans Pro"/>
                <w:i w:val="0"/>
                <w:smallCaps w:val="0"/>
                <w:strike w:val="0"/>
                <w:color w:val="000000"/>
                <w:sz w:val="22"/>
                <w:szCs w:val="22"/>
                <w:u w:val="none"/>
                <w:shd w:fill="auto" w:val="clear"/>
                <w:vertAlign w:val="baseline"/>
                <w:rtl w:val="0"/>
              </w:rPr>
              <w:t xml:space="preserve">1.1 Propósito</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9p19c7lzavco">
            <w:r w:rsidDel="00000000" w:rsidR="00000000" w:rsidRPr="00000000">
              <w:rPr>
                <w:rFonts w:ascii="Source Sans Pro" w:cs="Source Sans Pro" w:eastAsia="Source Sans Pro" w:hAnsi="Source Sans Pro"/>
                <w:i w:val="0"/>
                <w:smallCaps w:val="0"/>
                <w:strike w:val="0"/>
                <w:color w:val="000000"/>
                <w:sz w:val="22"/>
                <w:szCs w:val="22"/>
                <w:u w:val="none"/>
                <w:shd w:fill="auto" w:val="clear"/>
                <w:vertAlign w:val="baseline"/>
                <w:rtl w:val="0"/>
              </w:rPr>
              <w:t xml:space="preserve">1.2 Alcance</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imckooshdruo">
            <w:r w:rsidDel="00000000" w:rsidR="00000000" w:rsidRPr="00000000">
              <w:rPr>
                <w:rFonts w:ascii="Source Sans Pro" w:cs="Source Sans Pro" w:eastAsia="Source Sans Pro" w:hAnsi="Source Sans Pro"/>
                <w:color w:val="000000"/>
                <w:u w:val="none"/>
                <w:rtl w:val="0"/>
              </w:rPr>
              <w:t xml:space="preserve">1.3 Definiciones, siglas y abreviaciones</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3dy6vkm">
            <w:r w:rsidDel="00000000" w:rsidR="00000000" w:rsidRPr="00000000">
              <w:rPr>
                <w:rFonts w:ascii="Source Sans Pro" w:cs="Source Sans Pro" w:eastAsia="Source Sans Pro" w:hAnsi="Source Sans Pro"/>
                <w:color w:val="000000"/>
                <w:u w:val="none"/>
                <w:rtl w:val="0"/>
              </w:rPr>
              <w:t xml:space="preserve">1.4 Referencias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fcmw9rt39j7b">
            <w:r w:rsidDel="00000000" w:rsidR="00000000" w:rsidRPr="00000000">
              <w:rPr>
                <w:rFonts w:ascii="Source Sans Pro" w:cs="Source Sans Pro" w:eastAsia="Source Sans Pro" w:hAnsi="Source Sans Pro"/>
                <w:color w:val="000000"/>
                <w:u w:val="none"/>
                <w:rtl w:val="0"/>
              </w:rPr>
              <w:t xml:space="preserve">1.5 Resumen</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rPr>
              <w:rFonts w:ascii="Source Sans Pro" w:cs="Source Sans Pro" w:eastAsia="Source Sans Pro" w:hAnsi="Source Sans Pro"/>
              <w:b w:val="1"/>
              <w:color w:val="000000"/>
              <w:u w:val="none"/>
            </w:rPr>
          </w:pPr>
          <w:hyperlink w:anchor="_vufu7a6nwqf9">
            <w:r w:rsidDel="00000000" w:rsidR="00000000" w:rsidRPr="00000000">
              <w:rPr>
                <w:rFonts w:ascii="Source Sans Pro" w:cs="Source Sans Pro" w:eastAsia="Source Sans Pro" w:hAnsi="Source Sans Pro"/>
                <w:b w:val="1"/>
                <w:color w:val="000000"/>
                <w:u w:val="none"/>
                <w:rtl w:val="0"/>
              </w:rPr>
              <w:t xml:space="preserve">2. DESCRIPCIÓN GENERAL</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4d34og8">
            <w:r w:rsidDel="00000000" w:rsidR="00000000" w:rsidRPr="00000000">
              <w:rPr>
                <w:rFonts w:ascii="Source Sans Pro" w:cs="Source Sans Pro" w:eastAsia="Source Sans Pro" w:hAnsi="Source Sans Pro"/>
                <w:color w:val="000000"/>
                <w:u w:val="none"/>
                <w:rtl w:val="0"/>
              </w:rPr>
              <w:t xml:space="preserve">2.1 Diagrama de Casos de Usos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nbr7xhh1ypau">
            <w:r w:rsidDel="00000000" w:rsidR="00000000" w:rsidRPr="00000000">
              <w:rPr>
                <w:rFonts w:ascii="Source Sans Pro" w:cs="Source Sans Pro" w:eastAsia="Source Sans Pro" w:hAnsi="Source Sans Pro"/>
                <w:color w:val="000000"/>
                <w:u w:val="none"/>
                <w:rtl w:val="0"/>
              </w:rPr>
              <w:t xml:space="preserve">2.2 Descripción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txw5btz4jupl">
            <w:r w:rsidDel="00000000" w:rsidR="00000000" w:rsidRPr="00000000">
              <w:rPr>
                <w:rFonts w:ascii="Source Sans Pro" w:cs="Source Sans Pro" w:eastAsia="Source Sans Pro" w:hAnsi="Source Sans Pro"/>
                <w:color w:val="000000"/>
                <w:u w:val="none"/>
                <w:rtl w:val="0"/>
              </w:rPr>
              <w:t xml:space="preserve">2.3 Actores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s97icm2eyp60">
            <w:r w:rsidDel="00000000" w:rsidR="00000000" w:rsidRPr="00000000">
              <w:rPr>
                <w:rFonts w:ascii="Source Sans Pro" w:cs="Source Sans Pro" w:eastAsia="Source Sans Pro" w:hAnsi="Source Sans Pro"/>
                <w:color w:val="000000"/>
                <w:u w:val="none"/>
                <w:rtl w:val="0"/>
              </w:rPr>
              <w:t xml:space="preserve">2.4 Precondiciones</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2u8bw2j2czjd">
            <w:r w:rsidDel="00000000" w:rsidR="00000000" w:rsidRPr="00000000">
              <w:rPr>
                <w:rFonts w:ascii="Source Sans Pro" w:cs="Source Sans Pro" w:eastAsia="Source Sans Pro" w:hAnsi="Source Sans Pro"/>
                <w:color w:val="000000"/>
                <w:u w:val="none"/>
                <w:rtl w:val="0"/>
              </w:rPr>
              <w:t xml:space="preserve">2.5 Pos Condiciones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4yb4g2hoxaz0">
            <w:r w:rsidDel="00000000" w:rsidR="00000000" w:rsidRPr="00000000">
              <w:rPr>
                <w:rFonts w:ascii="Source Sans Pro" w:cs="Source Sans Pro" w:eastAsia="Source Sans Pro" w:hAnsi="Source Sans Pro"/>
                <w:color w:val="000000"/>
                <w:u w:val="none"/>
                <w:rtl w:val="0"/>
              </w:rPr>
              <w:t xml:space="preserve">2.6 Flujo Básico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z1yvrw3a9dgl">
            <w:r w:rsidDel="00000000" w:rsidR="00000000" w:rsidRPr="00000000">
              <w:rPr>
                <w:rFonts w:ascii="Source Sans Pro" w:cs="Source Sans Pro" w:eastAsia="Source Sans Pro" w:hAnsi="Source Sans Pro"/>
                <w:color w:val="000000"/>
                <w:u w:val="none"/>
                <w:rtl w:val="0"/>
              </w:rPr>
              <w:t xml:space="preserve">2.7 Excepciones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1ksv4uv">
            <w:r w:rsidDel="00000000" w:rsidR="00000000" w:rsidRPr="00000000">
              <w:rPr>
                <w:rFonts w:ascii="Source Sans Pro" w:cs="Source Sans Pro" w:eastAsia="Source Sans Pro" w:hAnsi="Source Sans Pro"/>
                <w:color w:val="000000"/>
                <w:u w:val="none"/>
                <w:rtl w:val="0"/>
              </w:rPr>
              <w:t xml:space="preserve">2.8 Prototipos visuales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360" w:lineRule="auto"/>
            <w:ind w:left="360" w:firstLine="0"/>
            <w:rPr>
              <w:rFonts w:ascii="Source Sans Pro" w:cs="Source Sans Pro" w:eastAsia="Source Sans Pro" w:hAnsi="Source Sans Pro"/>
              <w:color w:val="000000"/>
              <w:u w:val="none"/>
            </w:rPr>
          </w:pPr>
          <w:hyperlink w:anchor="_sg85wa24ard0">
            <w:r w:rsidDel="00000000" w:rsidR="00000000" w:rsidRPr="00000000">
              <w:rPr>
                <w:rFonts w:ascii="Source Sans Pro" w:cs="Source Sans Pro" w:eastAsia="Source Sans Pro" w:hAnsi="Source Sans Pro"/>
                <w:color w:val="000000"/>
                <w:u w:val="none"/>
                <w:rtl w:val="0"/>
              </w:rPr>
              <w:t xml:space="preserve">2.9 Requerimientos no funcionales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1">
      <w:pPr>
        <w:pStyle w:val="Heading1"/>
        <w:keepNext w:val="1"/>
        <w:pageBreakBefore w:val="1"/>
        <w:numPr>
          <w:ilvl w:val="0"/>
          <w:numId w:val="4"/>
        </w:numPr>
        <w:spacing w:after="360" w:before="360" w:line="360" w:lineRule="auto"/>
        <w:ind w:left="425.19685039370086" w:hanging="435"/>
        <w:rPr>
          <w:rFonts w:ascii="Source Sans Pro" w:cs="Source Sans Pro" w:eastAsia="Source Sans Pro" w:hAnsi="Source Sans Pro"/>
          <w:b w:val="1"/>
          <w:sz w:val="26"/>
          <w:szCs w:val="26"/>
        </w:rPr>
      </w:pPr>
      <w:bookmarkStart w:colFirst="0" w:colLast="0" w:name="_1fob9te" w:id="2"/>
      <w:bookmarkEnd w:id="2"/>
      <w:r w:rsidDel="00000000" w:rsidR="00000000" w:rsidRPr="00000000">
        <w:rPr>
          <w:rFonts w:ascii="Source Sans Pro" w:cs="Source Sans Pro" w:eastAsia="Source Sans Pro" w:hAnsi="Source Sans Pro"/>
          <w:b w:val="1"/>
          <w:sz w:val="26"/>
          <w:szCs w:val="26"/>
          <w:rtl w:val="0"/>
        </w:rPr>
        <w:t xml:space="preserve">INTRODUCCIÓN</w:t>
      </w:r>
    </w:p>
    <w:p w:rsidR="00000000" w:rsidDel="00000000" w:rsidP="00000000" w:rsidRDefault="00000000" w:rsidRPr="00000000" w14:paraId="00000032">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58crz86y0fm5" w:id="3"/>
      <w:bookmarkEnd w:id="3"/>
      <w:r w:rsidDel="00000000" w:rsidR="00000000" w:rsidRPr="00000000">
        <w:rPr>
          <w:rFonts w:ascii="Source Sans Pro" w:cs="Source Sans Pro" w:eastAsia="Source Sans Pro" w:hAnsi="Source Sans Pro"/>
          <w:b w:val="1"/>
          <w:sz w:val="24"/>
          <w:szCs w:val="24"/>
          <w:rtl w:val="0"/>
        </w:rPr>
        <w:t xml:space="preserve">Propósito</w:t>
      </w:r>
    </w:p>
    <w:p w:rsidR="00000000" w:rsidDel="00000000" w:rsidP="00000000" w:rsidRDefault="00000000" w:rsidRPr="00000000" w14:paraId="00000033">
      <w:pPr>
        <w:ind w:left="566.9291338582675"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Permitir a los usuarios acceder a una lista de todos los reportes de inventario presentados previamente y poder ver los detalles correspondientes a cada uno de ellos.</w:t>
      </w:r>
      <w:r w:rsidDel="00000000" w:rsidR="00000000" w:rsidRPr="00000000">
        <w:rPr>
          <w:rtl w:val="0"/>
        </w:rPr>
      </w:r>
    </w:p>
    <w:p w:rsidR="00000000" w:rsidDel="00000000" w:rsidP="00000000" w:rsidRDefault="00000000" w:rsidRPr="00000000" w14:paraId="00000034">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9p19c7lzavco" w:id="4"/>
      <w:bookmarkEnd w:id="4"/>
      <w:r w:rsidDel="00000000" w:rsidR="00000000" w:rsidRPr="00000000">
        <w:rPr>
          <w:rFonts w:ascii="Source Sans Pro" w:cs="Source Sans Pro" w:eastAsia="Source Sans Pro" w:hAnsi="Source Sans Pro"/>
          <w:b w:val="1"/>
          <w:sz w:val="24"/>
          <w:szCs w:val="24"/>
          <w:rtl w:val="0"/>
        </w:rPr>
        <w:t xml:space="preserve">Alcance</w:t>
      </w:r>
    </w:p>
    <w:p w:rsidR="00000000" w:rsidDel="00000000" w:rsidP="00000000" w:rsidRDefault="00000000" w:rsidRPr="00000000" w14:paraId="00000035">
      <w:pPr>
        <w:ind w:left="566.9291338582675"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Proporcionar a los usuarios la funcionalidad de acceder a una lista completa de todos los reportes de inventario presentados previamente y ver los detalles como: información básica(identificador único, fecha y hora en que se recibió) y una descripción del problema en el inventario(en caso de existir), además de contar con una opción de filtrado por usuario que emitió el reporte o fecha.</w:t>
      </w:r>
      <w:r w:rsidDel="00000000" w:rsidR="00000000" w:rsidRPr="00000000">
        <w:rPr>
          <w:rtl w:val="0"/>
        </w:rPr>
      </w:r>
    </w:p>
    <w:p w:rsidR="00000000" w:rsidDel="00000000" w:rsidP="00000000" w:rsidRDefault="00000000" w:rsidRPr="00000000" w14:paraId="00000036">
      <w:pPr>
        <w:pStyle w:val="Heading2"/>
        <w:keepNext w:val="1"/>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240" w:line="360" w:lineRule="auto"/>
        <w:ind w:left="566.9291338582675" w:right="0" w:hanging="570"/>
        <w:jc w:val="both"/>
        <w:rPr>
          <w:rFonts w:ascii="Source Sans Pro" w:cs="Source Sans Pro" w:eastAsia="Source Sans Pro" w:hAnsi="Source Sans Pro"/>
          <w:b w:val="1"/>
          <w:sz w:val="24"/>
          <w:szCs w:val="24"/>
        </w:rPr>
      </w:pPr>
      <w:bookmarkStart w:colFirst="0" w:colLast="0" w:name="_imckooshdruo" w:id="5"/>
      <w:bookmarkEnd w:id="5"/>
      <w:r w:rsidDel="00000000" w:rsidR="00000000" w:rsidRPr="00000000">
        <w:rPr>
          <w:rFonts w:ascii="Source Sans Pro" w:cs="Source Sans Pro" w:eastAsia="Source Sans Pro" w:hAnsi="Source Sans Pro"/>
          <w:b w:val="1"/>
          <w:sz w:val="24"/>
          <w:szCs w:val="24"/>
          <w:rtl w:val="0"/>
        </w:rPr>
        <w:t xml:space="preserve">Definiciones, siglas y abreviaciones</w:t>
      </w:r>
      <w:r w:rsidDel="00000000" w:rsidR="00000000" w:rsidRPr="00000000">
        <w:rPr>
          <w:rtl w:val="0"/>
        </w:rPr>
      </w:r>
    </w:p>
    <w:p w:rsidR="00000000" w:rsidDel="00000000" w:rsidP="00000000" w:rsidRDefault="00000000" w:rsidRPr="00000000" w14:paraId="00000037">
      <w:pPr>
        <w:numPr>
          <w:ilvl w:val="0"/>
          <w:numId w:val="5"/>
        </w:numPr>
        <w:spacing w:after="120" w:before="120" w:line="360" w:lineRule="auto"/>
        <w:ind w:left="720" w:hanging="360"/>
        <w:jc w:val="both"/>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Identificador único: Número o código único asignado a un reporte de inventario.</w:t>
      </w:r>
    </w:p>
    <w:p w:rsidR="00000000" w:rsidDel="00000000" w:rsidP="00000000" w:rsidRDefault="00000000" w:rsidRPr="00000000" w14:paraId="00000038">
      <w:pPr>
        <w:numPr>
          <w:ilvl w:val="0"/>
          <w:numId w:val="5"/>
        </w:numPr>
        <w:spacing w:after="120" w:before="120" w:line="360" w:lineRule="auto"/>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Filtro: Criterio utilizado para limitar los resultados de búsqueda de los reportes de inventario, como "fecha", "usuario”, etc.</w:t>
      </w:r>
    </w:p>
    <w:p w:rsidR="00000000" w:rsidDel="00000000" w:rsidP="00000000" w:rsidRDefault="00000000" w:rsidRPr="00000000" w14:paraId="00000039">
      <w:pPr>
        <w:numPr>
          <w:ilvl w:val="0"/>
          <w:numId w:val="5"/>
        </w:numPr>
        <w:spacing w:after="120" w:before="120" w:line="360" w:lineRule="auto"/>
        <w:ind w:left="720" w:hanging="360"/>
        <w:jc w:val="both"/>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Fecha y hora de recepción: Fecha y hora en que se recibió un reporte de inventario.</w:t>
      </w:r>
    </w:p>
    <w:p w:rsidR="00000000" w:rsidDel="00000000" w:rsidP="00000000" w:rsidRDefault="00000000" w:rsidRPr="00000000" w14:paraId="0000003A">
      <w:pPr>
        <w:numPr>
          <w:ilvl w:val="0"/>
          <w:numId w:val="5"/>
        </w:numPr>
        <w:spacing w:after="120" w:before="120" w:line="360" w:lineRule="auto"/>
        <w:ind w:left="720" w:hanging="360"/>
        <w:jc w:val="both"/>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Historial de reportes de inventario: Lista completa de todos los reportes de inventario presentados previamente.</w:t>
      </w:r>
    </w:p>
    <w:p w:rsidR="00000000" w:rsidDel="00000000" w:rsidP="00000000" w:rsidRDefault="00000000" w:rsidRPr="00000000" w14:paraId="0000003B">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3dy6vkm" w:id="6"/>
      <w:bookmarkEnd w:id="6"/>
      <w:r w:rsidDel="00000000" w:rsidR="00000000" w:rsidRPr="00000000">
        <w:rPr>
          <w:rFonts w:ascii="Source Sans Pro" w:cs="Source Sans Pro" w:eastAsia="Source Sans Pro" w:hAnsi="Source Sans Pro"/>
          <w:b w:val="1"/>
          <w:sz w:val="24"/>
          <w:szCs w:val="24"/>
          <w:rtl w:val="0"/>
        </w:rPr>
        <w:t xml:space="preserve">Referencias</w:t>
      </w:r>
    </w:p>
    <w:p w:rsidR="00000000" w:rsidDel="00000000" w:rsidP="00000000" w:rsidRDefault="00000000" w:rsidRPr="00000000" w14:paraId="0000003C">
      <w:pPr>
        <w:ind w:left="720"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SCIP-PER.docx</w:t>
      </w:r>
      <w:r w:rsidDel="00000000" w:rsidR="00000000" w:rsidRPr="00000000">
        <w:rPr>
          <w:rtl w:val="0"/>
        </w:rPr>
      </w:r>
    </w:p>
    <w:p w:rsidR="00000000" w:rsidDel="00000000" w:rsidP="00000000" w:rsidRDefault="00000000" w:rsidRPr="00000000" w14:paraId="0000003D">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fcmw9rt39j7b" w:id="7"/>
      <w:bookmarkEnd w:id="7"/>
      <w:r w:rsidDel="00000000" w:rsidR="00000000" w:rsidRPr="00000000">
        <w:rPr>
          <w:rFonts w:ascii="Source Sans Pro" w:cs="Source Sans Pro" w:eastAsia="Source Sans Pro" w:hAnsi="Source Sans Pro"/>
          <w:b w:val="1"/>
          <w:sz w:val="24"/>
          <w:szCs w:val="24"/>
          <w:rtl w:val="0"/>
        </w:rPr>
        <w:t xml:space="preserve">Resumen</w:t>
      </w:r>
    </w:p>
    <w:p w:rsidR="00000000" w:rsidDel="00000000" w:rsidP="00000000" w:rsidRDefault="00000000" w:rsidRPr="00000000" w14:paraId="0000003E">
      <w:pPr>
        <w:ind w:left="566.9291338582675"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El requerimiento funcional "Mostrar historial de reportes de inventario" consiste en mostrar la lista completa de todos los reportes de inventario, accediendo a la  información detallada sobre cada reporte. El objetivo es proporcionar a los usuarios una  visión general del historial de reportes de inventario y permitir tomar decisiones informadas sobre la gestión del inventario en base a las incidencias reportadas.</w:t>
      </w:r>
      <w:r w:rsidDel="00000000" w:rsidR="00000000" w:rsidRPr="00000000">
        <w:rPr>
          <w:rtl w:val="0"/>
        </w:rPr>
      </w:r>
    </w:p>
    <w:p w:rsidR="00000000" w:rsidDel="00000000" w:rsidP="00000000" w:rsidRDefault="00000000" w:rsidRPr="00000000" w14:paraId="0000003F">
      <w:pPr>
        <w:pStyle w:val="Heading1"/>
        <w:keepNext w:val="1"/>
        <w:pageBreakBefore w:val="1"/>
        <w:numPr>
          <w:ilvl w:val="0"/>
          <w:numId w:val="4"/>
        </w:numPr>
        <w:spacing w:after="360" w:before="360" w:line="360" w:lineRule="auto"/>
        <w:ind w:left="425.19685039370086" w:hanging="435"/>
        <w:rPr>
          <w:rFonts w:ascii="Source Sans Pro" w:cs="Source Sans Pro" w:eastAsia="Source Sans Pro" w:hAnsi="Source Sans Pro"/>
          <w:b w:val="1"/>
          <w:sz w:val="26"/>
          <w:szCs w:val="26"/>
        </w:rPr>
      </w:pPr>
      <w:bookmarkStart w:colFirst="0" w:colLast="0" w:name="_vufu7a6nwqf9" w:id="8"/>
      <w:bookmarkEnd w:id="8"/>
      <w:r w:rsidDel="00000000" w:rsidR="00000000" w:rsidRPr="00000000">
        <w:rPr>
          <w:rFonts w:ascii="Source Sans Pro" w:cs="Source Sans Pro" w:eastAsia="Source Sans Pro" w:hAnsi="Source Sans Pro"/>
          <w:b w:val="1"/>
          <w:sz w:val="26"/>
          <w:szCs w:val="26"/>
          <w:rtl w:val="0"/>
        </w:rPr>
        <w:t xml:space="preserve">DESCRIPCIÓN GENERAL</w:t>
      </w:r>
      <w:r w:rsidDel="00000000" w:rsidR="00000000" w:rsidRPr="00000000">
        <w:rPr>
          <w:rtl w:val="0"/>
        </w:rPr>
      </w:r>
    </w:p>
    <w:p w:rsidR="00000000" w:rsidDel="00000000" w:rsidP="00000000" w:rsidRDefault="00000000" w:rsidRPr="00000000" w14:paraId="00000040">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4d34og8" w:id="9"/>
      <w:bookmarkEnd w:id="9"/>
      <w:r w:rsidDel="00000000" w:rsidR="00000000" w:rsidRPr="00000000">
        <w:rPr>
          <w:rFonts w:ascii="Source Sans Pro" w:cs="Source Sans Pro" w:eastAsia="Source Sans Pro" w:hAnsi="Source Sans Pro"/>
          <w:b w:val="1"/>
          <w:sz w:val="24"/>
          <w:szCs w:val="24"/>
          <w:rtl w:val="0"/>
        </w:rPr>
        <w:t xml:space="preserve">Diagrama de Casos de Usos</w:t>
      </w:r>
      <w:r w:rsidDel="00000000" w:rsidR="00000000" w:rsidRPr="00000000">
        <w:rPr>
          <w:rtl w:val="0"/>
        </w:rPr>
      </w:r>
    </w:p>
    <w:p w:rsidR="00000000" w:rsidDel="00000000" w:rsidP="00000000" w:rsidRDefault="00000000" w:rsidRPr="00000000" w14:paraId="00000041">
      <w:pPr>
        <w:spacing w:after="120" w:before="120" w:line="36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Pr>
        <w:drawing>
          <wp:inline distB="114300" distT="114300" distL="114300" distR="114300">
            <wp:extent cx="4600575" cy="305752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60057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20" w:before="120" w:line="360" w:lineRule="auto"/>
        <w:jc w:val="center"/>
        <w:rPr>
          <w:rFonts w:ascii="Source Sans Pro" w:cs="Source Sans Pro" w:eastAsia="Source Sans Pro" w:hAnsi="Source Sans Pro"/>
          <w:sz w:val="24"/>
          <w:szCs w:val="24"/>
        </w:rPr>
      </w:pPr>
      <w:bookmarkStart w:colFirst="0" w:colLast="0" w:name="_2s8eyo1" w:id="10"/>
      <w:bookmarkEnd w:id="10"/>
      <w:r w:rsidDel="00000000" w:rsidR="00000000" w:rsidRPr="00000000">
        <w:rPr>
          <w:rFonts w:ascii="Source Sans Pro" w:cs="Source Sans Pro" w:eastAsia="Source Sans Pro" w:hAnsi="Source Sans Pro"/>
          <w:b w:val="1"/>
          <w:sz w:val="24"/>
          <w:szCs w:val="24"/>
          <w:rtl w:val="0"/>
        </w:rPr>
        <w:t xml:space="preserve">Figura 8. Prototipo del Caso de uso: </w:t>
      </w:r>
      <w:r w:rsidDel="00000000" w:rsidR="00000000" w:rsidRPr="00000000">
        <w:rPr>
          <w:rFonts w:ascii="Source Sans Pro" w:cs="Source Sans Pro" w:eastAsia="Source Sans Pro" w:hAnsi="Source Sans Pro"/>
          <w:b w:val="1"/>
          <w:sz w:val="24"/>
          <w:szCs w:val="24"/>
          <w:rtl w:val="0"/>
        </w:rPr>
        <w:t xml:space="preserve">CU008</w:t>
      </w:r>
      <w:r w:rsidDel="00000000" w:rsidR="00000000" w:rsidRPr="00000000">
        <w:rPr>
          <w:rFonts w:ascii="Source Sans Pro" w:cs="Source Sans Pro" w:eastAsia="Source Sans Pro" w:hAnsi="Source Sans Pro"/>
          <w:b w:val="1"/>
          <w:sz w:val="24"/>
          <w:szCs w:val="24"/>
          <w:rtl w:val="0"/>
        </w:rPr>
        <w:t xml:space="preserve"> - Mostrar historial de reportes de inventario</w:t>
      </w:r>
      <w:r w:rsidDel="00000000" w:rsidR="00000000" w:rsidRPr="00000000">
        <w:rPr>
          <w:rtl w:val="0"/>
        </w:rPr>
      </w:r>
    </w:p>
    <w:p w:rsidR="00000000" w:rsidDel="00000000" w:rsidP="00000000" w:rsidRDefault="00000000" w:rsidRPr="00000000" w14:paraId="00000043">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nbr7xhh1ypau" w:id="11"/>
      <w:bookmarkEnd w:id="11"/>
      <w:r w:rsidDel="00000000" w:rsidR="00000000" w:rsidRPr="00000000">
        <w:rPr>
          <w:rFonts w:ascii="Source Sans Pro" w:cs="Source Sans Pro" w:eastAsia="Source Sans Pro" w:hAnsi="Source Sans Pro"/>
          <w:b w:val="1"/>
          <w:sz w:val="24"/>
          <w:szCs w:val="24"/>
          <w:rtl w:val="0"/>
        </w:rPr>
        <w:t xml:space="preserve">Descripción</w:t>
      </w:r>
    </w:p>
    <w:p w:rsidR="00000000" w:rsidDel="00000000" w:rsidP="00000000" w:rsidRDefault="00000000" w:rsidRPr="00000000" w14:paraId="00000044">
      <w:pPr>
        <w:ind w:left="566.9291338582675"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El caso de uso "Mostrar historial de reportes de inventario" describe el proceso mediante el cual los usuarios de la empresa pueden acceder al listado completo de los reportes de inventario presentados previamente. Este caso de uso es útil para el usuario ya que permite buscar y filtrar los reportes de inventario según los criterios especificados(fecha, usuario que emitió el reporte).</w:t>
      </w:r>
      <w:r w:rsidDel="00000000" w:rsidR="00000000" w:rsidRPr="00000000">
        <w:rPr>
          <w:rtl w:val="0"/>
        </w:rPr>
      </w:r>
    </w:p>
    <w:p w:rsidR="00000000" w:rsidDel="00000000" w:rsidP="00000000" w:rsidRDefault="00000000" w:rsidRPr="00000000" w14:paraId="00000045">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txw5btz4jupl" w:id="12"/>
      <w:bookmarkEnd w:id="12"/>
      <w:r w:rsidDel="00000000" w:rsidR="00000000" w:rsidRPr="00000000">
        <w:rPr>
          <w:rFonts w:ascii="Source Sans Pro" w:cs="Source Sans Pro" w:eastAsia="Source Sans Pro" w:hAnsi="Source Sans Pro"/>
          <w:b w:val="1"/>
          <w:sz w:val="24"/>
          <w:szCs w:val="24"/>
          <w:rtl w:val="0"/>
        </w:rPr>
        <w:t xml:space="preserve">Actores</w:t>
      </w:r>
      <w:r w:rsidDel="00000000" w:rsidR="00000000" w:rsidRPr="00000000">
        <w:rPr>
          <w:rtl w:val="0"/>
        </w:rPr>
      </w:r>
    </w:p>
    <w:p w:rsidR="00000000" w:rsidDel="00000000" w:rsidP="00000000" w:rsidRDefault="00000000" w:rsidRPr="00000000" w14:paraId="00000046">
      <w:pPr>
        <w:numPr>
          <w:ilvl w:val="0"/>
          <w:numId w:val="2"/>
        </w:numPr>
        <w:spacing w:after="120" w:before="120" w:line="360" w:lineRule="auto"/>
        <w:ind w:left="720" w:hanging="360"/>
        <w:jc w:val="both"/>
        <w:rPr>
          <w:rFonts w:ascii="Source Sans Pro" w:cs="Source Sans Pro" w:eastAsia="Source Sans Pro" w:hAnsi="Source Sans Pro"/>
          <w:sz w:val="24"/>
          <w:szCs w:val="24"/>
        </w:rPr>
      </w:pPr>
      <w:bookmarkStart w:colFirst="0" w:colLast="0" w:name="_5pug6b1zcmd9" w:id="13"/>
      <w:bookmarkEnd w:id="13"/>
      <w:r w:rsidDel="00000000" w:rsidR="00000000" w:rsidRPr="00000000">
        <w:rPr>
          <w:rFonts w:ascii="Source Sans Pro" w:cs="Source Sans Pro" w:eastAsia="Source Sans Pro" w:hAnsi="Source Sans Pro"/>
          <w:sz w:val="24"/>
          <w:szCs w:val="24"/>
          <w:rtl w:val="0"/>
        </w:rPr>
        <w:t xml:space="preserve">Administrador</w:t>
      </w:r>
    </w:p>
    <w:p w:rsidR="00000000" w:rsidDel="00000000" w:rsidP="00000000" w:rsidRDefault="00000000" w:rsidRPr="00000000" w14:paraId="00000047">
      <w:pPr>
        <w:numPr>
          <w:ilvl w:val="0"/>
          <w:numId w:val="2"/>
        </w:numPr>
        <w:spacing w:after="120" w:before="120" w:line="360" w:lineRule="auto"/>
        <w:ind w:left="720" w:hanging="360"/>
        <w:jc w:val="both"/>
        <w:rPr>
          <w:rFonts w:ascii="Source Sans Pro" w:cs="Source Sans Pro" w:eastAsia="Source Sans Pro" w:hAnsi="Source Sans Pro"/>
          <w:sz w:val="24"/>
          <w:szCs w:val="24"/>
        </w:rPr>
      </w:pPr>
      <w:bookmarkStart w:colFirst="0" w:colLast="0" w:name="_2qsekl7ap0tt" w:id="14"/>
      <w:bookmarkEnd w:id="14"/>
      <w:r w:rsidDel="00000000" w:rsidR="00000000" w:rsidRPr="00000000">
        <w:rPr>
          <w:rFonts w:ascii="Source Sans Pro" w:cs="Source Sans Pro" w:eastAsia="Source Sans Pro" w:hAnsi="Source Sans Pro"/>
          <w:sz w:val="24"/>
          <w:szCs w:val="24"/>
          <w:rtl w:val="0"/>
        </w:rPr>
        <w:t xml:space="preserve">Empleado</w:t>
      </w:r>
    </w:p>
    <w:p w:rsidR="00000000" w:rsidDel="00000000" w:rsidP="00000000" w:rsidRDefault="00000000" w:rsidRPr="00000000" w14:paraId="00000048">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s97icm2eyp60" w:id="15"/>
      <w:bookmarkEnd w:id="15"/>
      <w:r w:rsidDel="00000000" w:rsidR="00000000" w:rsidRPr="00000000">
        <w:rPr>
          <w:rFonts w:ascii="Source Sans Pro" w:cs="Source Sans Pro" w:eastAsia="Source Sans Pro" w:hAnsi="Source Sans Pro"/>
          <w:b w:val="1"/>
          <w:sz w:val="24"/>
          <w:szCs w:val="24"/>
          <w:rtl w:val="0"/>
        </w:rPr>
        <w:t xml:space="preserve">Precondiciones</w:t>
      </w:r>
    </w:p>
    <w:p w:rsidR="00000000" w:rsidDel="00000000" w:rsidP="00000000" w:rsidRDefault="00000000" w:rsidRPr="00000000" w14:paraId="00000049">
      <w:pPr>
        <w:ind w:left="566.9291338582675"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Para poder acceder al historial de reportes de inventario el usuario debe estar autenticado y tener los permisos necesarios para acceder a la funcionalidad de “Mostrar historial de reportes de inventario”.</w:t>
      </w:r>
      <w:r w:rsidDel="00000000" w:rsidR="00000000" w:rsidRPr="00000000">
        <w:rPr>
          <w:rtl w:val="0"/>
        </w:rPr>
      </w:r>
    </w:p>
    <w:p w:rsidR="00000000" w:rsidDel="00000000" w:rsidP="00000000" w:rsidRDefault="00000000" w:rsidRPr="00000000" w14:paraId="0000004A">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2u8bw2j2czjd" w:id="16"/>
      <w:bookmarkEnd w:id="16"/>
      <w:r w:rsidDel="00000000" w:rsidR="00000000" w:rsidRPr="00000000">
        <w:rPr>
          <w:rFonts w:ascii="Source Sans Pro" w:cs="Source Sans Pro" w:eastAsia="Source Sans Pro" w:hAnsi="Source Sans Pro"/>
          <w:b w:val="1"/>
          <w:sz w:val="24"/>
          <w:szCs w:val="24"/>
          <w:rtl w:val="0"/>
        </w:rPr>
        <w:t xml:space="preserve">Pos Condiciones</w:t>
      </w:r>
    </w:p>
    <w:p w:rsidR="00000000" w:rsidDel="00000000" w:rsidP="00000000" w:rsidRDefault="00000000" w:rsidRPr="00000000" w14:paraId="0000004B">
      <w:pPr>
        <w:ind w:left="566.9291338582675"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Una vez que el usuario accede al historial de reportes de inventario, puede visualizar el listado completo de reportes de inventario presentados previamente en el sistema, filtrar y ordenar los reportes según los criterios establecidos con la finalidad de utilizar esta información para tomar decisiones informadas sobre la gestión del inventario en base a las incidencias reportadas.</w:t>
      </w:r>
      <w:r w:rsidDel="00000000" w:rsidR="00000000" w:rsidRPr="00000000">
        <w:rPr>
          <w:rtl w:val="0"/>
        </w:rPr>
      </w:r>
    </w:p>
    <w:p w:rsidR="00000000" w:rsidDel="00000000" w:rsidP="00000000" w:rsidRDefault="00000000" w:rsidRPr="00000000" w14:paraId="0000004C">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4yb4g2hoxaz0" w:id="17"/>
      <w:bookmarkEnd w:id="17"/>
      <w:r w:rsidDel="00000000" w:rsidR="00000000" w:rsidRPr="00000000">
        <w:rPr>
          <w:rFonts w:ascii="Source Sans Pro" w:cs="Source Sans Pro" w:eastAsia="Source Sans Pro" w:hAnsi="Source Sans Pro"/>
          <w:b w:val="1"/>
          <w:sz w:val="24"/>
          <w:szCs w:val="24"/>
          <w:rtl w:val="0"/>
        </w:rPr>
        <w:t xml:space="preserve">Flujo Básico</w:t>
      </w:r>
      <w:r w:rsidDel="00000000" w:rsidR="00000000" w:rsidRPr="00000000">
        <w:rPr>
          <w:rtl w:val="0"/>
        </w:rPr>
      </w:r>
    </w:p>
    <w:p w:rsidR="00000000" w:rsidDel="00000000" w:rsidP="00000000" w:rsidRDefault="00000000" w:rsidRPr="00000000" w14:paraId="0000004D">
      <w:pPr>
        <w:numPr>
          <w:ilvl w:val="0"/>
          <w:numId w:val="3"/>
        </w:numPr>
        <w:spacing w:after="120" w:before="120" w:line="360" w:lineRule="auto"/>
        <w:ind w:left="360"/>
        <w:jc w:val="both"/>
        <w:rPr>
          <w:rFonts w:ascii="Source Sans Pro" w:cs="Source Sans Pro" w:eastAsia="Source Sans Pro" w:hAnsi="Source Sans Pro"/>
          <w:sz w:val="24"/>
          <w:szCs w:val="24"/>
        </w:rPr>
      </w:pPr>
      <w:bookmarkStart w:colFirst="0" w:colLast="0" w:name="_35nkun2" w:id="18"/>
      <w:bookmarkEnd w:id="18"/>
      <w:r w:rsidDel="00000000" w:rsidR="00000000" w:rsidRPr="00000000">
        <w:rPr>
          <w:rFonts w:ascii="Source Sans Pro" w:cs="Source Sans Pro" w:eastAsia="Source Sans Pro" w:hAnsi="Source Sans Pro"/>
          <w:sz w:val="24"/>
          <w:szCs w:val="24"/>
          <w:rtl w:val="0"/>
        </w:rPr>
        <w:t xml:space="preserve">El usuario inicia sesión en el sistema.</w:t>
      </w:r>
    </w:p>
    <w:p w:rsidR="00000000" w:rsidDel="00000000" w:rsidP="00000000" w:rsidRDefault="00000000" w:rsidRPr="00000000" w14:paraId="0000004E">
      <w:pPr>
        <w:numPr>
          <w:ilvl w:val="0"/>
          <w:numId w:val="3"/>
        </w:numPr>
        <w:spacing w:after="120" w:before="120" w:line="360" w:lineRule="auto"/>
        <w:ind w:left="360"/>
        <w:jc w:val="both"/>
        <w:rPr>
          <w:rFonts w:ascii="Source Sans Pro" w:cs="Source Sans Pro" w:eastAsia="Source Sans Pro" w:hAnsi="Source Sans Pro"/>
          <w:sz w:val="24"/>
          <w:szCs w:val="24"/>
          <w:u w:val="none"/>
        </w:rPr>
      </w:pPr>
      <w:bookmarkStart w:colFirst="0" w:colLast="0" w:name="_dur2v98pc0vx" w:id="19"/>
      <w:bookmarkEnd w:id="19"/>
      <w:r w:rsidDel="00000000" w:rsidR="00000000" w:rsidRPr="00000000">
        <w:rPr>
          <w:rFonts w:ascii="Source Sans Pro" w:cs="Source Sans Pro" w:eastAsia="Source Sans Pro" w:hAnsi="Source Sans Pro"/>
          <w:sz w:val="24"/>
          <w:szCs w:val="24"/>
          <w:rtl w:val="0"/>
        </w:rPr>
        <w:t xml:space="preserve">El usuario selecciona la opción historial de reportes de inventario.</w:t>
      </w:r>
    </w:p>
    <w:p w:rsidR="00000000" w:rsidDel="00000000" w:rsidP="00000000" w:rsidRDefault="00000000" w:rsidRPr="00000000" w14:paraId="0000004F">
      <w:pPr>
        <w:numPr>
          <w:ilvl w:val="0"/>
          <w:numId w:val="3"/>
        </w:numPr>
        <w:spacing w:after="120" w:before="120" w:line="360" w:lineRule="auto"/>
        <w:ind w:left="360"/>
        <w:jc w:val="both"/>
        <w:rPr>
          <w:rFonts w:ascii="Source Sans Pro" w:cs="Source Sans Pro" w:eastAsia="Source Sans Pro" w:hAnsi="Source Sans Pro"/>
          <w:sz w:val="24"/>
          <w:szCs w:val="24"/>
          <w:u w:val="none"/>
        </w:rPr>
      </w:pPr>
      <w:bookmarkStart w:colFirst="0" w:colLast="0" w:name="_9mwxd595pghr" w:id="20"/>
      <w:bookmarkEnd w:id="20"/>
      <w:r w:rsidDel="00000000" w:rsidR="00000000" w:rsidRPr="00000000">
        <w:rPr>
          <w:rFonts w:ascii="Source Sans Pro" w:cs="Source Sans Pro" w:eastAsia="Source Sans Pro" w:hAnsi="Source Sans Pro"/>
          <w:sz w:val="24"/>
          <w:szCs w:val="24"/>
          <w:rtl w:val="0"/>
        </w:rPr>
        <w:t xml:space="preserve">El sistema muestra una lista de los reportes de inventario previamente presentados, ordenados por fecha de presentación de forma predeterminada.</w:t>
      </w:r>
    </w:p>
    <w:p w:rsidR="00000000" w:rsidDel="00000000" w:rsidP="00000000" w:rsidRDefault="00000000" w:rsidRPr="00000000" w14:paraId="00000050">
      <w:pPr>
        <w:numPr>
          <w:ilvl w:val="0"/>
          <w:numId w:val="3"/>
        </w:numPr>
        <w:spacing w:after="120" w:before="120" w:line="360" w:lineRule="auto"/>
        <w:ind w:left="360"/>
        <w:jc w:val="both"/>
        <w:rPr>
          <w:rFonts w:ascii="Source Sans Pro" w:cs="Source Sans Pro" w:eastAsia="Source Sans Pro" w:hAnsi="Source Sans Pro"/>
          <w:sz w:val="24"/>
          <w:szCs w:val="24"/>
          <w:u w:val="none"/>
        </w:rPr>
      </w:pPr>
      <w:bookmarkStart w:colFirst="0" w:colLast="0" w:name="_f0kyhbj1ky77" w:id="21"/>
      <w:bookmarkEnd w:id="21"/>
      <w:r w:rsidDel="00000000" w:rsidR="00000000" w:rsidRPr="00000000">
        <w:rPr>
          <w:rFonts w:ascii="Source Sans Pro" w:cs="Source Sans Pro" w:eastAsia="Source Sans Pro" w:hAnsi="Source Sans Pro"/>
          <w:sz w:val="24"/>
          <w:szCs w:val="24"/>
          <w:rtl w:val="0"/>
        </w:rPr>
        <w:t xml:space="preserve">El usuario tiene la opción de aplicar filtros para reducir la lista de reportes visualizados, como por fecha o usuario que emitió el reporte.</w:t>
      </w:r>
    </w:p>
    <w:p w:rsidR="00000000" w:rsidDel="00000000" w:rsidP="00000000" w:rsidRDefault="00000000" w:rsidRPr="00000000" w14:paraId="00000051">
      <w:pPr>
        <w:numPr>
          <w:ilvl w:val="0"/>
          <w:numId w:val="3"/>
        </w:numPr>
        <w:spacing w:after="120" w:before="120" w:line="360" w:lineRule="auto"/>
        <w:ind w:left="360"/>
        <w:jc w:val="both"/>
        <w:rPr>
          <w:rFonts w:ascii="Source Sans Pro" w:cs="Source Sans Pro" w:eastAsia="Source Sans Pro" w:hAnsi="Source Sans Pro"/>
          <w:sz w:val="24"/>
          <w:szCs w:val="24"/>
          <w:u w:val="none"/>
        </w:rPr>
      </w:pPr>
      <w:bookmarkStart w:colFirst="0" w:colLast="0" w:name="_65al589pvih" w:id="22"/>
      <w:bookmarkEnd w:id="22"/>
      <w:r w:rsidDel="00000000" w:rsidR="00000000" w:rsidRPr="00000000">
        <w:rPr>
          <w:rFonts w:ascii="Source Sans Pro" w:cs="Source Sans Pro" w:eastAsia="Source Sans Pro" w:hAnsi="Source Sans Pro"/>
          <w:sz w:val="24"/>
          <w:szCs w:val="24"/>
          <w:rtl w:val="0"/>
        </w:rPr>
        <w:t xml:space="preserve">Si el usuario identifica un reporte de inventario de interés, puede seleccionarlo para ver los detalles del mismo.</w:t>
      </w:r>
    </w:p>
    <w:p w:rsidR="00000000" w:rsidDel="00000000" w:rsidP="00000000" w:rsidRDefault="00000000" w:rsidRPr="00000000" w14:paraId="00000052">
      <w:pPr>
        <w:numPr>
          <w:ilvl w:val="0"/>
          <w:numId w:val="3"/>
        </w:numPr>
        <w:spacing w:after="120" w:before="120" w:line="360" w:lineRule="auto"/>
        <w:ind w:left="360"/>
        <w:jc w:val="both"/>
        <w:rPr>
          <w:rFonts w:ascii="Source Sans Pro" w:cs="Source Sans Pro" w:eastAsia="Source Sans Pro" w:hAnsi="Source Sans Pro"/>
          <w:sz w:val="24"/>
          <w:szCs w:val="24"/>
          <w:u w:val="none"/>
        </w:rPr>
      </w:pPr>
      <w:bookmarkStart w:colFirst="0" w:colLast="0" w:name="_oopjcyi72kmm" w:id="23"/>
      <w:bookmarkEnd w:id="23"/>
      <w:r w:rsidDel="00000000" w:rsidR="00000000" w:rsidRPr="00000000">
        <w:rPr>
          <w:rFonts w:ascii="Source Sans Pro" w:cs="Source Sans Pro" w:eastAsia="Source Sans Pro" w:hAnsi="Source Sans Pro"/>
          <w:sz w:val="24"/>
          <w:szCs w:val="24"/>
          <w:rtl w:val="0"/>
        </w:rPr>
        <w:t xml:space="preserve">El usuario puede salir del módulo “Historial de reportes de inventario” cuando considere que ha finalizado su búsqueda.</w:t>
      </w:r>
    </w:p>
    <w:p w:rsidR="00000000" w:rsidDel="00000000" w:rsidP="00000000" w:rsidRDefault="00000000" w:rsidRPr="00000000" w14:paraId="00000053">
      <w:pPr>
        <w:numPr>
          <w:ilvl w:val="0"/>
          <w:numId w:val="3"/>
        </w:numPr>
        <w:spacing w:after="120" w:before="120" w:line="360" w:lineRule="auto"/>
        <w:ind w:left="360"/>
        <w:jc w:val="both"/>
        <w:rPr>
          <w:rFonts w:ascii="Source Sans Pro" w:cs="Source Sans Pro" w:eastAsia="Source Sans Pro" w:hAnsi="Source Sans Pro"/>
          <w:sz w:val="24"/>
          <w:szCs w:val="24"/>
          <w:u w:val="none"/>
        </w:rPr>
      </w:pPr>
      <w:bookmarkStart w:colFirst="0" w:colLast="0" w:name="_5fz09cxncto0" w:id="24"/>
      <w:bookmarkEnd w:id="24"/>
      <w:r w:rsidDel="00000000" w:rsidR="00000000" w:rsidRPr="00000000">
        <w:rPr>
          <w:rFonts w:ascii="Source Sans Pro" w:cs="Source Sans Pro" w:eastAsia="Source Sans Pro" w:hAnsi="Source Sans Pro"/>
          <w:sz w:val="24"/>
          <w:szCs w:val="24"/>
          <w:rtl w:val="0"/>
        </w:rPr>
        <w:t xml:space="preserve">El usuario utiliza información proporcionada por su consulta del historial de reportes de inventario para tomar decisiones informadas sobre la gestión del inventario en base a las incidencias del mismo.</w:t>
      </w:r>
    </w:p>
    <w:p w:rsidR="00000000" w:rsidDel="00000000" w:rsidP="00000000" w:rsidRDefault="00000000" w:rsidRPr="00000000" w14:paraId="00000054">
      <w:pPr>
        <w:pStyle w:val="Heading2"/>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z1yvrw3a9dgl" w:id="25"/>
      <w:bookmarkEnd w:id="25"/>
      <w:r w:rsidDel="00000000" w:rsidR="00000000" w:rsidRPr="00000000">
        <w:rPr>
          <w:rFonts w:ascii="Source Sans Pro" w:cs="Source Sans Pro" w:eastAsia="Source Sans Pro" w:hAnsi="Source Sans Pro"/>
          <w:b w:val="1"/>
          <w:sz w:val="24"/>
          <w:szCs w:val="24"/>
          <w:rtl w:val="0"/>
        </w:rPr>
        <w:t xml:space="preserve">Excepciones</w:t>
      </w:r>
      <w:r w:rsidDel="00000000" w:rsidR="00000000" w:rsidRPr="00000000">
        <w:rPr>
          <w:rtl w:val="0"/>
        </w:rPr>
      </w:r>
    </w:p>
    <w:p w:rsidR="00000000" w:rsidDel="00000000" w:rsidP="00000000" w:rsidRDefault="00000000" w:rsidRPr="00000000" w14:paraId="00000055">
      <w:pPr>
        <w:spacing w:after="120" w:before="120" w:line="360" w:lineRule="auto"/>
        <w:jc w:val="both"/>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[EX1]: Empleado sin permiso necesario.</w:t>
      </w:r>
    </w:p>
    <w:p w:rsidR="00000000" w:rsidDel="00000000" w:rsidP="00000000" w:rsidRDefault="00000000" w:rsidRPr="00000000" w14:paraId="00000056">
      <w:pPr>
        <w:spacing w:after="120" w:before="120" w:line="360" w:lineRule="auto"/>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Si el empleado no tiene los permisos necesarios para generar el reporte de inventario, el sistema mostrará un mensaje de error indicando que el usuario no tiene acceso a esta funcionalidad.</w:t>
      </w:r>
    </w:p>
    <w:p w:rsidR="00000000" w:rsidDel="00000000" w:rsidP="00000000" w:rsidRDefault="00000000" w:rsidRPr="00000000" w14:paraId="00000057">
      <w:pPr>
        <w:spacing w:after="120" w:before="120" w:line="360" w:lineRule="auto"/>
        <w:jc w:val="both"/>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[EX2]: No hay reportes de inventario previamente presentados en el sistema.</w:t>
      </w:r>
    </w:p>
    <w:p w:rsidR="00000000" w:rsidDel="00000000" w:rsidP="00000000" w:rsidRDefault="00000000" w:rsidRPr="00000000" w14:paraId="00000058">
      <w:pPr>
        <w:spacing w:after="120" w:before="120" w:line="360" w:lineRule="auto"/>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Si no hay reportes de inventario previamente presentados en el sistema, se debe mostrar un mensaje indicando que no hay datos disponibles y el usuario debe ser redirigido a la pantalla principal del sistema.</w:t>
      </w:r>
    </w:p>
    <w:p w:rsidR="00000000" w:rsidDel="00000000" w:rsidP="00000000" w:rsidRDefault="00000000" w:rsidRPr="00000000" w14:paraId="00000059">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1ksv4uv" w:id="26"/>
      <w:bookmarkEnd w:id="26"/>
      <w:r w:rsidDel="00000000" w:rsidR="00000000" w:rsidRPr="00000000">
        <w:rPr>
          <w:rFonts w:ascii="Source Sans Pro" w:cs="Source Sans Pro" w:eastAsia="Source Sans Pro" w:hAnsi="Source Sans Pro"/>
          <w:b w:val="1"/>
          <w:sz w:val="24"/>
          <w:szCs w:val="24"/>
          <w:rtl w:val="0"/>
        </w:rPr>
        <w:t xml:space="preserve">Prototipos visuales</w:t>
      </w:r>
      <w:r w:rsidDel="00000000" w:rsidR="00000000" w:rsidRPr="00000000">
        <w:rPr>
          <w:rtl w:val="0"/>
        </w:rPr>
      </w:r>
    </w:p>
    <w:p w:rsidR="00000000" w:rsidDel="00000000" w:rsidP="00000000" w:rsidRDefault="00000000" w:rsidRPr="00000000" w14:paraId="0000005A">
      <w:pPr>
        <w:spacing w:after="120" w:before="120" w:line="360" w:lineRule="auto"/>
        <w:jc w:val="both"/>
        <w:rPr>
          <w:rFonts w:ascii="Source Sans Pro" w:cs="Source Sans Pro" w:eastAsia="Source Sans Pro" w:hAnsi="Source Sans Pro"/>
          <w:sz w:val="24"/>
          <w:szCs w:val="24"/>
        </w:rPr>
      </w:pPr>
      <w:bookmarkStart w:colFirst="0" w:colLast="0" w:name="_44sinio" w:id="27"/>
      <w:bookmarkEnd w:id="27"/>
      <w:r w:rsidDel="00000000" w:rsidR="00000000" w:rsidRPr="00000000">
        <w:rPr>
          <w:rFonts w:ascii="Source Sans Pro" w:cs="Source Sans Pro" w:eastAsia="Source Sans Pro" w:hAnsi="Source Sans Pro"/>
          <w:sz w:val="24"/>
          <w:szCs w:val="24"/>
        </w:rPr>
        <w:drawing>
          <wp:inline distB="114300" distT="114300" distL="114300" distR="114300">
            <wp:extent cx="5731200" cy="3238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2"/>
        <w:keepNext w:val="1"/>
        <w:numPr>
          <w:ilvl w:val="1"/>
          <w:numId w:val="4"/>
        </w:numPr>
        <w:spacing w:after="240" w:before="240" w:line="360" w:lineRule="auto"/>
        <w:ind w:left="566.9291338582675" w:hanging="570"/>
        <w:jc w:val="both"/>
        <w:rPr>
          <w:rFonts w:ascii="Source Sans Pro" w:cs="Source Sans Pro" w:eastAsia="Source Sans Pro" w:hAnsi="Source Sans Pro"/>
          <w:b w:val="1"/>
          <w:sz w:val="24"/>
          <w:szCs w:val="24"/>
        </w:rPr>
      </w:pPr>
      <w:bookmarkStart w:colFirst="0" w:colLast="0" w:name="_sg85wa24ard0" w:id="28"/>
      <w:bookmarkEnd w:id="28"/>
      <w:r w:rsidDel="00000000" w:rsidR="00000000" w:rsidRPr="00000000">
        <w:rPr>
          <w:rFonts w:ascii="Source Sans Pro" w:cs="Source Sans Pro" w:eastAsia="Source Sans Pro" w:hAnsi="Source Sans Pro"/>
          <w:b w:val="1"/>
          <w:sz w:val="24"/>
          <w:szCs w:val="24"/>
          <w:rtl w:val="0"/>
        </w:rPr>
        <w:t xml:space="preserve">Requerimientos no funcionales</w:t>
      </w:r>
      <w:r w:rsidDel="00000000" w:rsidR="00000000" w:rsidRPr="00000000">
        <w:rPr>
          <w:rtl w:val="0"/>
        </w:rPr>
      </w:r>
    </w:p>
    <w:p w:rsidR="00000000" w:rsidDel="00000000" w:rsidP="00000000" w:rsidRDefault="00000000" w:rsidRPr="00000000" w14:paraId="0000005C">
      <w:pPr>
        <w:numPr>
          <w:ilvl w:val="0"/>
          <w:numId w:val="1"/>
        </w:numPr>
        <w:spacing w:after="120" w:before="120" w:line="360" w:lineRule="auto"/>
        <w:ind w:left="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RNF01</w:t>
      </w:r>
      <w:r w:rsidDel="00000000" w:rsidR="00000000" w:rsidRPr="00000000">
        <w:rPr>
          <w:rFonts w:ascii="Source Sans Pro" w:cs="Source Sans Pro" w:eastAsia="Source Sans Pro" w:hAnsi="Source Sans Pro"/>
          <w:sz w:val="24"/>
          <w:szCs w:val="24"/>
          <w:rtl w:val="0"/>
        </w:rPr>
        <w:t xml:space="preserve"> - Usabilidad: La interfaz de usuario debe ser fácil de usar y permitir una navegación intuitiva para que los usuarios puedan encontrar rápidamente la información que necesitan.</w:t>
      </w:r>
    </w:p>
    <w:p w:rsidR="00000000" w:rsidDel="00000000" w:rsidP="00000000" w:rsidRDefault="00000000" w:rsidRPr="00000000" w14:paraId="0000005D">
      <w:pPr>
        <w:numPr>
          <w:ilvl w:val="0"/>
          <w:numId w:val="1"/>
        </w:numPr>
        <w:spacing w:after="120" w:before="120" w:line="360" w:lineRule="auto"/>
        <w:ind w:left="360"/>
        <w:jc w:val="both"/>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RNF03</w:t>
      </w:r>
      <w:r w:rsidDel="00000000" w:rsidR="00000000" w:rsidRPr="00000000">
        <w:rPr>
          <w:rFonts w:ascii="Source Sans Pro" w:cs="Source Sans Pro" w:eastAsia="Source Sans Pro" w:hAnsi="Source Sans Pro"/>
          <w:sz w:val="24"/>
          <w:szCs w:val="24"/>
          <w:rtl w:val="0"/>
        </w:rPr>
        <w:t xml:space="preserve"> - Confiabilidad: El sistema debe estar disponible en todo momento y garantizar una alta disponibilidad para los usuarios autorizados.</w:t>
      </w:r>
    </w:p>
    <w:p w:rsidR="00000000" w:rsidDel="00000000" w:rsidP="00000000" w:rsidRDefault="00000000" w:rsidRPr="00000000" w14:paraId="0000005E">
      <w:pPr>
        <w:numPr>
          <w:ilvl w:val="0"/>
          <w:numId w:val="1"/>
        </w:numPr>
        <w:spacing w:after="120" w:before="120" w:line="360" w:lineRule="auto"/>
        <w:ind w:left="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RNF-04 - Rendimiento: El sistema debe ser capaz de cargar y mostrar los datos del historial de reportes de inventario de manera rápida y eficiente.</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 w:name="Source Sans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66.9291338582675" w:hanging="570"/>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SourceSansPro-regular.ttf"/><Relationship Id="rId4" Type="http://schemas.openxmlformats.org/officeDocument/2006/relationships/font" Target="fonts/SourceSansPro-bold.ttf"/><Relationship Id="rId5" Type="http://schemas.openxmlformats.org/officeDocument/2006/relationships/font" Target="fonts/SourceSansPro-italic.ttf"/><Relationship Id="rId6"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