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Source Sans Pro" w:cs="Source Sans Pro" w:eastAsia="Source Sans Pro" w:hAnsi="Source Sans Pro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Source Sans Pro" w:cs="Source Sans Pro" w:eastAsia="Source Sans Pro" w:hAnsi="Source Sans Pro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Facultad de Ingeniería de Sistemas e Informática</w:t>
      </w:r>
      <w:r w:rsidDel="00000000" w:rsidR="00000000" w:rsidRPr="00000000">
        <w:rPr>
          <w:rFonts w:ascii="Source Sans Pro" w:cs="Source Sans Pro" w:eastAsia="Source Sans Pro" w:hAnsi="Source Sans Pr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20"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</w:rPr>
        <w:drawing>
          <wp:inline distB="0" distT="0" distL="0" distR="0">
            <wp:extent cx="1604248" cy="1968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248" cy="1968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4"/>
          <w:szCs w:val="34"/>
          <w:rtl w:val="0"/>
        </w:rPr>
        <w:t xml:space="preserve">ACTA DE FINALIZACIÓN DE HITO 1</w:t>
      </w:r>
    </w:p>
    <w:p w:rsidR="00000000" w:rsidDel="00000000" w:rsidP="00000000" w:rsidRDefault="00000000" w:rsidRPr="00000000" w14:paraId="00000006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30"/>
          <w:szCs w:val="3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0"/>
          <w:szCs w:val="30"/>
          <w:rtl w:val="0"/>
        </w:rPr>
        <w:t xml:space="preserve">Gestión de Inventario - Malibú Perú</w:t>
      </w:r>
    </w:p>
    <w:p w:rsidR="00000000" w:rsidDel="00000000" w:rsidP="00000000" w:rsidRDefault="00000000" w:rsidRPr="00000000" w14:paraId="00000007">
      <w:pPr>
        <w:spacing w:after="220" w:before="220"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ASIGNATURA:</w:t>
      </w:r>
      <w:r w:rsidDel="00000000" w:rsidR="00000000" w:rsidRPr="00000000">
        <w:rPr>
          <w:rFonts w:ascii="Source Sans Pro" w:cs="Source Sans Pro" w:eastAsia="Source Sans Pro" w:hAnsi="Source Sans Pro"/>
          <w:sz w:val="26"/>
          <w:szCs w:val="26"/>
          <w:rtl w:val="0"/>
        </w:rPr>
        <w:t xml:space="preserve"> Gestión de la Configuración de Software</w:t>
      </w:r>
      <w:r w:rsidDel="00000000" w:rsidR="00000000" w:rsidRPr="00000000">
        <w:rPr>
          <w:rFonts w:ascii="Source Sans Pro" w:cs="Source Sans Pro" w:eastAsia="Source Sans Pro" w:hAnsi="Source Sans Pro"/>
          <w:sz w:val="8"/>
          <w:szCs w:val="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155"/>
        <w:gridCol w:w="3330"/>
        <w:gridCol w:w="1140"/>
        <w:tblGridChange w:id="0">
          <w:tblGrid>
            <w:gridCol w:w="3315"/>
            <w:gridCol w:w="1155"/>
            <w:gridCol w:w="3330"/>
            <w:gridCol w:w="11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INTEGRANTES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BALTAZAR ALIAGA, Sebastián Pablo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15200198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CUELLO APAZA,  Alexander 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ANDÍA CUSI, Juan Vicente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16200055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CÓRDOVA SANDOVAL, Rafael Anthony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CALERO FALCÓN, Alfredo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ALEJO CARNICA, Brayan Martín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17200256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RODRÍGUEZ PORRAS, José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18200330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LANDEO CUENTAS, Sebastián Alonso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21200224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20" w:before="220" w:line="36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DOCENTE: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Prof. Lenis Rossi Wong Portillo.</w:t>
      </w:r>
    </w:p>
    <w:p w:rsidR="00000000" w:rsidDel="00000000" w:rsidP="00000000" w:rsidRDefault="00000000" w:rsidRPr="00000000" w14:paraId="00000021">
      <w:pPr>
        <w:spacing w:before="220" w:line="360" w:lineRule="auto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ESCUELA ACADÉMICO-PROFESIONAL: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Ingeniería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LIMA - PERÚ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sz w:val="38"/>
          <w:szCs w:val="38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DATOS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Empresa / Organización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Softgenix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Sistema de Control de Inventario de una Pyme (SCIP)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 de inicio de Hito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3 de abril del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 de fin de Hito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4 de mayo del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MALIBÚ PERÚ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 (Sponsor)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Angelo Alejo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Gerente / Líder del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CHÁVEZ SILUPÚ, Erick Alberto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DEPARTAMENTO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Angelo Alejo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Gerente General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Alta Gerencia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RAZÓN DE 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Todas las actividades planificadas para el hito se han completado dentro del plazo establecido y se han logrado los objetivos previstos.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Estructura de los Hitos.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tiene la siguiente estructura del proyecto: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1: Documentación, requisitos y diseños iniciales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Creación y comienzo del proyecto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Establecer el acta de constitución del proyecto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Elaborar cronograma del proyecto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Crear repositorio del proyecto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Organización y estructura del proyecto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Especificar requisitos del software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RF01: Gestionar usuarios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RF02: Administrar productos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RF03: Generar reporte de inventario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RF04: Buscar producto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RF05: Generar alertas de stock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RF06: Mostrar un reporte gráfico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RF07: Mostrar lista de productos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RF08: Mostrar historial de reportes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   RF09: Administrar proveedores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Establecer plan de gestión de requisitos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Especificar arquitectura y diseño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la arquitectura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Plantear el diseño UX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Plantear el modelo de la base de datos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el modelo de la base de datos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Validar la interfaz de usuario del software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Acta de finalización - Fin del Hito 1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2: Implementación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Creación de módulos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Revisar (Línea base de Gestión, Análisis y Diseño) y aprobar el plan de implementación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Configurar el entorno de desarrollo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Desarrollar la estructura de la base de datos y mapeo de clases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RF01: Gestionar Usuarios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RF02: Administrar Productos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RF03: Generar reporte de Inventario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Implementar RF04: Buscar producto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Desarrollar la capa de presentación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Verificar y actualizar documentos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Acta de finalización - Fin del Hito 2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Hito 3: Integración y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Integración y Pruebas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 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Revisar (Línea base de Desarrollo) y aprobar el plan de integración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Integrar las funcionalidades Frontend - Backend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Realizar las pruebas del sistema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Realizar acta de cierre del proyecto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 Lanzamiento e inicio de operaciones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Por medio de la presente, se da cierre formal a la fase correspondiente al Hito N°1 por las razones especificadas en la siguiente ficha:</w:t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1290"/>
        <w:tblGridChange w:id="0">
          <w:tblGrid>
            <w:gridCol w:w="7710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 de todos los productos de conformidad con los requerimientos del 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pacing w:after="0" w:before="0" w:line="36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color w:val="6aa84f"/>
              </w:rPr>
            </w:pPr>
            <w:bookmarkStart w:colFirst="0" w:colLast="0" w:name="_yyfxezh0rfsu" w:id="0"/>
            <w:bookmarkEnd w:id="0"/>
            <w:r w:rsidDel="00000000" w:rsidR="00000000" w:rsidRPr="00000000">
              <w:rPr>
                <w:rFonts w:ascii="Encode Sans Semi Condensed" w:cs="Encode Sans Semi Condensed" w:eastAsia="Encode Sans Semi Condensed" w:hAnsi="Encode Sans Semi Condensed"/>
                <w:color w:val="6aa84f"/>
                <w:sz w:val="22"/>
                <w:szCs w:val="22"/>
                <w:rtl w:val="0"/>
              </w:rPr>
              <w:t xml:space="preserve">✔️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 parcial de productos y cancelación de otros de conformidad con los requerimientos del cliente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Cancelación de todos los productos asociados con el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continuación se establece cuáles entregables del proyecto han sido aceptados:</w:t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370"/>
        <w:gridCol w:w="1515"/>
        <w:gridCol w:w="1725"/>
        <w:tblGridChange w:id="0">
          <w:tblGrid>
            <w:gridCol w:w="3420"/>
            <w:gridCol w:w="2370"/>
            <w:gridCol w:w="1515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Entregable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Nomenclatura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Aceptación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71.5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Project Charter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SCIP-PC.pdf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Cronograma de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SCIP-CP.xlsx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Plan de Elicitación de Requisitos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SCIP-PER.docx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RF01: Gestionar usuarios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SCIP-RF-001-GU.docx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RF02: Administrar productos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SCIP-RF-002-AP.docx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RF03: Generar reporte de inventario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SCIP-RF-003-GRI.docx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RF04: Buscar producto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SCIP-RF-004-BP.docx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RF05: Generar alertas de stock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SCIP-RF-005-GAS.docx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RF06: Mostrar un reporte gráfico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SCIP-RF-006-MRG.docx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RF07: Mostrar lista de productos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SCIP-RF-007-MLP.docx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RF08: Mostrar historial de reportes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SCIP-RF-008-MHR.docx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 RF09: Administrar proveedores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SCIP-RF-009-APR.docx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Plan de Gestión de Requisitos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SCIP-PGR.docx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Arquitectura de Software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SCIP-DAS.docx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Validación de Documento de Arquitectura de Software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SCIP-VDAS.docx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Especificación UX (Mockups)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SCIP-DEUX.docx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Documento de Especificación de DB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SCIP-DEDB.docx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Entregado con 1 día de retraso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Validación de Documento de Especificación de DB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SCIP-VDEDB.docx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Validación de Documento de Especificación UX (Mockups)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SCIP-VDEUX.docx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—--</w:t>
            </w:r>
          </w:p>
        </w:tc>
      </w:tr>
    </w:tbl>
    <w:p w:rsidR="00000000" w:rsidDel="00000000" w:rsidP="00000000" w:rsidRDefault="00000000" w:rsidRPr="00000000" w14:paraId="000000CF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Una vez concluido el proceso de cierre del Hito 1, el Patrocinador (Sponsor) del proyecto deberá ser notificado para que el Gerente de Proyectos continúe con la siguiente fase.</w:t>
      </w:r>
    </w:p>
    <w:p w:rsidR="00000000" w:rsidDel="00000000" w:rsidP="00000000" w:rsidRDefault="00000000" w:rsidRPr="00000000" w14:paraId="000000D1">
      <w:pPr>
        <w:spacing w:before="200" w:line="360" w:lineRule="auto"/>
        <w:rPr>
          <w:rFonts w:ascii="Source Sans Pro" w:cs="Source Sans Pro" w:eastAsia="Source Sans Pro" w:hAnsi="Source Sans Pro"/>
          <w:b w:val="1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APROBACIONES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2520"/>
        <w:gridCol w:w="2595"/>
        <w:tblGridChange w:id="0">
          <w:tblGrid>
            <w:gridCol w:w="3900"/>
            <w:gridCol w:w="2520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Angelo Alejo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04/05/2023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</w:rPr>
              <w:drawing>
                <wp:inline distB="114300" distT="114300" distL="114300" distR="114300">
                  <wp:extent cx="1233488" cy="62838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628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ncode Sans Semi Condensed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SemiCondensed-regular.ttf"/><Relationship Id="rId2" Type="http://schemas.openxmlformats.org/officeDocument/2006/relationships/font" Target="fonts/EncodeSansSemiCondensed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