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76" w:lineRule="auto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76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righ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right"/>
        <w:rPr>
          <w:rFonts w:ascii="Source Sans Pro" w:cs="Source Sans Pro" w:eastAsia="Source Sans Pro" w:hAnsi="Source Sans Pro"/>
          <w:b w:val="1"/>
          <w:sz w:val="40"/>
          <w:szCs w:val="40"/>
        </w:rPr>
      </w:pPr>
      <w:bookmarkStart w:colFirst="0" w:colLast="0" w:name="_heading=h.tyjcwt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40"/>
          <w:szCs w:val="40"/>
          <w:rtl w:val="0"/>
        </w:rPr>
        <w:t xml:space="preserve">SISTEMA DE CONTROL DE INVENTARIO DE UNA PYME (SCIP)</w:t>
      </w:r>
    </w:p>
    <w:p w:rsidR="00000000" w:rsidDel="00000000" w:rsidP="00000000" w:rsidRDefault="00000000" w:rsidRPr="00000000" w14:paraId="00000009">
      <w:pPr>
        <w:spacing w:after="240" w:line="240" w:lineRule="auto"/>
        <w:jc w:val="center"/>
        <w:rPr>
          <w:rFonts w:ascii="Source Sans Pro" w:cs="Source Sans Pro" w:eastAsia="Source Sans Pro" w:hAnsi="Source Sans Pro"/>
          <w:b w:val="1"/>
          <w:sz w:val="40"/>
          <w:szCs w:val="40"/>
        </w:rPr>
      </w:pPr>
      <w:bookmarkStart w:colFirst="0" w:colLast="0" w:name="_heading=h.de0qwqhhc1nz" w:id="6"/>
      <w:bookmarkEnd w:id="6"/>
      <w:r w:rsidDel="00000000" w:rsidR="00000000" w:rsidRPr="00000000">
        <w:rPr>
          <w:rFonts w:ascii="Source Sans Pro" w:cs="Source Sans Pro" w:eastAsia="Source Sans Pro" w:hAnsi="Source Sans Pro"/>
          <w:b w:val="1"/>
          <w:sz w:val="40"/>
          <w:szCs w:val="40"/>
          <w:rtl w:val="0"/>
        </w:rPr>
        <w:t xml:space="preserve">VALIDACIÓN DEL DISEÑO DE ARQUITECTURA DE SOFTWARE (VDAS)</w:t>
      </w:r>
    </w:p>
    <w:p w:rsidR="00000000" w:rsidDel="00000000" w:rsidP="00000000" w:rsidRDefault="00000000" w:rsidRPr="00000000" w14:paraId="0000000A">
      <w:pPr>
        <w:widowControl w:val="1"/>
        <w:spacing w:after="200" w:line="240" w:lineRule="auto"/>
        <w:jc w:val="right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Grupo 4</w:t>
      </w:r>
    </w:p>
    <w:p w:rsidR="00000000" w:rsidDel="00000000" w:rsidP="00000000" w:rsidRDefault="00000000" w:rsidRPr="00000000" w14:paraId="0000000B">
      <w:pPr>
        <w:widowControl w:val="1"/>
        <w:spacing w:after="200" w:line="240" w:lineRule="auto"/>
        <w:jc w:val="right"/>
        <w:rPr>
          <w:rFonts w:ascii="Source Sans Pro" w:cs="Source Sans Pro" w:eastAsia="Source Sans Pro" w:hAnsi="Source Sans Pro"/>
          <w:b w:val="1"/>
          <w:sz w:val="40"/>
          <w:szCs w:val="40"/>
        </w:rPr>
        <w:sectPr>
          <w:headerReference r:id="rId7" w:type="first"/>
          <w:pgSz w:h="15840" w:w="12240" w:orient="portrait"/>
          <w:pgMar w:bottom="1418" w:top="1418" w:left="1701" w:right="1134" w:header="720" w:footer="720"/>
          <w:pgNumType w:start="1"/>
          <w:titlePg w:val="1"/>
        </w:sect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Rule="auto"/>
        <w:jc w:val="center"/>
        <w:rPr>
          <w:rFonts w:ascii="Source Sans Pro" w:cs="Source Sans Pro" w:eastAsia="Source Sans Pro" w:hAnsi="Source Sans Pro"/>
          <w:b w:val="1"/>
          <w:color w:val="000000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077"/>
        <w:gridCol w:w="2838"/>
        <w:gridCol w:w="3255"/>
        <w:tblGridChange w:id="0">
          <w:tblGrid>
            <w:gridCol w:w="1470"/>
            <w:gridCol w:w="1077"/>
            <w:gridCol w:w="2838"/>
            <w:gridCol w:w="325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20/04/2023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Elaboración del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Rafael Cordova S.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24/04/2023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Revision y Validacion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right="4"/>
              <w:jc w:val="center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Juan Andia Cusi / Sebastián Baltazar Aliaga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5910"/>
        <w:tblGridChange w:id="0">
          <w:tblGrid>
            <w:gridCol w:w="3345"/>
            <w:gridCol w:w="5910"/>
          </w:tblGrid>
        </w:tblGridChange>
      </w:tblGrid>
      <w:tr>
        <w:trPr>
          <w:cantSplit w:val="0"/>
          <w:trHeight w:val="8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Softgenix-Peru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Sistema de control de inventario de una Pyme - Malibú Perú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24-04-2023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Malibu-Perú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Malibu-Perú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Gerente / Líder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CHÁVEZ SILUPÚ, Erick Alberto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Líder de pruebas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before="0" w:line="276" w:lineRule="auto"/>
              <w:ind w:left="10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ANDÍA CUSI, Juan Vicente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widowControl w:val="1"/>
        <w:spacing w:after="120" w:before="480" w:lineRule="auto"/>
        <w:ind w:left="0" w:right="4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Aprobaciones</w:t>
      </w:r>
    </w:p>
    <w:tbl>
      <w:tblPr>
        <w:tblStyle w:val="Table3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520"/>
        <w:gridCol w:w="1515"/>
        <w:gridCol w:w="2010"/>
        <w:tblGridChange w:id="0">
          <w:tblGrid>
            <w:gridCol w:w="3015"/>
            <w:gridCol w:w="2520"/>
            <w:gridCol w:w="1515"/>
            <w:gridCol w:w="201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before="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before="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before="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before="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rHeight w:val="851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before="6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BALTAZAR ALIAGA, Sebastián Pablo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before="0" w:line="240" w:lineRule="auto"/>
              <w:ind w:left="10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Analista Junior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24/04/2023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</w:rPr>
              <w:drawing>
                <wp:inline distB="114300" distT="114300" distL="114300" distR="114300">
                  <wp:extent cx="641770" cy="41319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70" cy="413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before="6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ANDÍA CUSI, Juan Vicente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before="240" w:line="240" w:lineRule="auto"/>
              <w:ind w:lef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Tester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24/04/2023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</w:rPr>
              <w:drawing>
                <wp:inline distB="114300" distT="114300" distL="114300" distR="114300">
                  <wp:extent cx="724852" cy="345569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2" cy="345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before="0" w:line="240" w:lineRule="auto"/>
              <w:ind w:lef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CHÁVEZ SILUPÚ, Erick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before="6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Jefe del proyecto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24/04/2023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</w:rPr>
              <w:drawing>
                <wp:inline distB="114300" distT="114300" distL="114300" distR="114300">
                  <wp:extent cx="983388" cy="382429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88" cy="382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before="6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CÓRDOVA SANDOVAL, Rafael Anthony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before="6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before="240" w:line="240" w:lineRule="auto"/>
              <w:ind w:left="10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bookmarkStart w:colFirst="0" w:colLast="0" w:name="_heading=h.mc5qmhghxi7m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24/04/2023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</w:rPr>
              <w:drawing>
                <wp:inline distB="114300" distT="114300" distL="114300" distR="114300">
                  <wp:extent cx="857250" cy="325914"/>
                  <wp:effectExtent b="0" l="0" r="0" t="0"/>
                  <wp:docPr id="1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25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mc5qmhghxi7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4vrplz9o9n6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onggg4ef4s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44saqgu4dia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hl3rozcpxv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9bb8rx27pbn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fkencfls1l7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mp4nvgdslms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tuvao4q80qa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c3c1biy5e66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vjw4415jfpm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ij7avmrrh0i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sjmxar1j3th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6hoigrxni0u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f17s4je8cks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4d34og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60" w:line="259" w:lineRule="auto"/>
        <w:ind w:right="4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heading=h.2s8eyo1" w:id="24"/>
      <w:bookmarkEnd w:id="24"/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rdcrjn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26in1rg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lnxbz9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35nkun2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Vista General de la Arquitectura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hyperlink w:anchor="_heading=h.1ksv4uv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Representación de la Arquitectura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44sini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Vista de Diagramas de paquetes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2jxsxqh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Vista de Escenarios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z337ya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Vista de Despliegue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hyperlink w:anchor="_heading=h.3j2qqm3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3. Metas y Restricciones de la Arquitectura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hyperlink w:anchor="_heading=h.1y810tw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4. Vista de Diagramas de paquetes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hyperlink w:anchor="_heading=h.4i7ojhp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5. Vista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2xcytpi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u w:val="none"/>
                <w:rtl w:val="0"/>
              </w:rPr>
              <w:t xml:space="preserve">5.1. Modulo Gestionar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1ci93x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u w:val="none"/>
                <w:rtl w:val="0"/>
              </w:rPr>
              <w:t xml:space="preserve">5.2. Módulo Gestión de Productos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3whwml4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u w:val="none"/>
                <w:rtl w:val="0"/>
              </w:rPr>
              <w:t xml:space="preserve">5.3. Módulo Gestión de Reportes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2"/>
              <w:szCs w:val="22"/>
              <w:u w:val="none"/>
            </w:rPr>
          </w:pPr>
          <w:hyperlink w:anchor="_heading=h.2bn6wsx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u w:val="none"/>
                <w:rtl w:val="0"/>
              </w:rPr>
              <w:t xml:space="preserve">5.4. Módulo Gestión de Proveedores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sz w:val="22"/>
              <w:szCs w:val="22"/>
              <w:u w:val="none"/>
            </w:rPr>
          </w:pPr>
          <w:hyperlink w:anchor="_heading=h.qsh70q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6. Vista de Despliegue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widowControl w:val="1"/>
        <w:spacing w:after="160" w:line="259" w:lineRule="auto"/>
        <w:ind w:right="4"/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after="0" w:line="360" w:lineRule="auto"/>
        <w:ind w:left="720" w:hanging="360"/>
        <w:rPr>
          <w:rFonts w:ascii="Source Sans Pro" w:cs="Source Sans Pro" w:eastAsia="Source Sans Pro" w:hAnsi="Source Sans Pro"/>
          <w:u w:val="none"/>
        </w:rPr>
      </w:pPr>
      <w:bookmarkStart w:colFirst="0" w:colLast="0" w:name="_heading=h.3rdcrjn" w:id="26"/>
      <w:bookmarkEnd w:id="2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Introducción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100" w:before="0" w:line="360" w:lineRule="auto"/>
        <w:ind w:left="144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bookmarkStart w:colFirst="0" w:colLast="0" w:name="_heading=h.26in1rg" w:id="27"/>
      <w:bookmarkEnd w:id="27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Propósito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0" w:before="100" w:line="360" w:lineRule="auto"/>
        <w:ind w:left="1440" w:firstLine="0"/>
        <w:jc w:val="both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Este documento provee una vista general comprensiva de la arquitectura del sistema, usando una serie de puntos de vista arquitectónicos diferentes para representar diferentes aspectos del sistema. Se pretende capturar y transmitir las decisiones arquitectónicas significativas que se han tomado para el sistema.</w:t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heading=h.lnxbz9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73">
      <w:pPr>
        <w:widowControl w:val="1"/>
        <w:spacing w:line="360" w:lineRule="auto"/>
        <w:ind w:left="1440" w:right="-23" w:firstLine="0"/>
        <w:jc w:val="both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ste artefacto se referirá al modelo de arquitectura planteado para el sistema de gestión de inventario, el cual contará con Vista de Escenarios y Vista de Despliegue.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heading=h.35nkun2" w:id="29"/>
      <w:bookmarkEnd w:id="29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Vista General de la Arquitectura</w:t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A continuación, se presentará la Arquitectura del Sistema a implementar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bookmarkStart w:colFirst="0" w:colLast="0" w:name="_heading=h.1ksv4uv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Representación de la Arquitectura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100" w:line="360" w:lineRule="auto"/>
        <w:ind w:left="72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La arquitectura se muestra como una serie de vistas: vista de paquetes,  vista de casos de uso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vista de despliegu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 usando la aplicación de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EdrawMax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 y el lenguaje gráfico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heading=h.44sinio" w:id="31"/>
      <w:bookmarkEnd w:id="31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Vista de Diagramas de paquetes</w:t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rPr>
          <w:rFonts w:ascii="Source Sans Pro" w:cs="Source Sans Pro" w:eastAsia="Source Sans Pro" w:hAnsi="Source Sans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Aquí se muestra cómo los elementos de software se agrupan en paquetes y cómo se relacionan entre sí.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heading=h.2jxsxqh" w:id="32"/>
      <w:bookmarkEnd w:id="32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line="360" w:lineRule="auto"/>
        <w:ind w:left="144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Representado por los casos de uso, los cuales incluyen los requerimientos funcionales del sistema a construir.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eading=h.z337ya" w:id="33"/>
      <w:bookmarkEnd w:id="33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Vista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2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En él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2"/>
          <w:szCs w:val="22"/>
          <w:rtl w:val="0"/>
        </w:rPr>
        <w:t xml:space="preserve"> se mostrará los nodos que han sido identificados.</w:t>
      </w:r>
    </w:p>
    <w:p w:rsidR="00000000" w:rsidDel="00000000" w:rsidP="00000000" w:rsidRDefault="00000000" w:rsidRPr="00000000" w14:paraId="00000080">
      <w:pPr>
        <w:spacing w:after="100" w:before="100"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bookmarkStart w:colFirst="0" w:colLast="0" w:name="_heading=h.3j2qqm3" w:id="34"/>
      <w:bookmarkEnd w:id="3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Metas y Restricciones de la Arquitectura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before="100" w:line="360" w:lineRule="auto"/>
        <w:ind w:left="60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Hay algunos requerimientos claves y restricciones del sistema que tienen una incidencia significativa en la arquitectura son: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El sistema permitirá al administrador acceder al sistema desde cualquier punto vía web.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Cada acceso está sujeto a la identificación del administrador y un control de contraseña.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El sistema será implementado como un sistema cliente-servidor. La porción del cliente reside en su PC y la porción del servidor operará en la nube.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Todos los requerimientos de performance y carga están estipulados en el Documento de Requerimientos, ellos deben ser tomados en consideración a medida que se desarrolla la arquitectura.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bookmarkStart w:colFirst="0" w:colLast="0" w:name="_heading=h.1y810tw" w:id="35"/>
      <w:bookmarkEnd w:id="35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Vista de Diagramas de paquetes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5669292" cy="387744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92" cy="3877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bookmarkStart w:colFirst="0" w:colLast="0" w:name="_heading=h.4i7ojhp" w:id="36"/>
      <w:bookmarkEnd w:id="3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Vista de Casos de Uso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La vista de casos de uso representa la forma de cómo un usuario opera con el sistema en desarrollo, además de la forma, tipo y orden de los elementos que interactúan y así obtener el conjunto de escenarios que contendrá cada iteración.</w:t>
      </w:r>
    </w:p>
    <w:p w:rsidR="00000000" w:rsidDel="00000000" w:rsidP="00000000" w:rsidRDefault="00000000" w:rsidRPr="00000000" w14:paraId="0000008C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eading=h.2xcytpi" w:id="37"/>
      <w:bookmarkEnd w:id="37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Modulo Gestionar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4110672" cy="327863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672" cy="327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eading=h.1ci93xb" w:id="38"/>
      <w:bookmarkEnd w:id="38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Módulo Gestión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4188425" cy="331293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425" cy="331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eading=h.3whwml4" w:id="39"/>
      <w:bookmarkEnd w:id="39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Módulo Gestión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4463098" cy="359177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098" cy="359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eading=h.2bn6wsx" w:id="40"/>
      <w:bookmarkEnd w:id="40"/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Módulo Gestión de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4371023" cy="358740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023" cy="358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bookmarkStart w:colFirst="0" w:colLast="0" w:name="_heading=h.qsh70q" w:id="41"/>
      <w:bookmarkEnd w:id="4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Vista de Despliegue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Para el desarrollo del sistema se propone la siguiente arquitectura: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Sistema web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: Aquí se manejan las solicitudes entrantes del usuario, procesa los datos y envía la respuesta adecuada. El controlador se encarga de recibir las peticiones de la UI y procesarlas adecuadamente.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Source Sans Pro" w:cs="Source Sans Pro" w:eastAsia="Source Sans Pro" w:hAnsi="Source Sans Pr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Datos: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aquí se almacenan todos los datos de los inventarios, como productos, precios, cantidades y usuarios. etc.Para nuestra propuesta usaremos una base de datos RELACIONAL con el gestor de datos MySQL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OpenXava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: Este es un framework de desarrollo web para Java que permite desarrollar aplicaciones empresariales de una manera rápida y sencilla. Esta tecnología usa JSF (JavaServerFaces) para la creación de la interfaz que interactuara con el controlador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</w:rPr>
        <w:drawing>
          <wp:inline distB="114300" distT="114300" distL="114300" distR="114300">
            <wp:extent cx="6167429" cy="2344642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29" cy="234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line="360" w:lineRule="auto"/>
        <w:ind w:right="4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line="276" w:lineRule="auto"/>
        <w:ind w:right="4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="276" w:lineRule="auto"/>
        <w:ind w:right="4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="276" w:lineRule="auto"/>
        <w:ind w:right="4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line="276" w:lineRule="auto"/>
        <w:ind w:right="4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18" w:top="1418" w:left="1701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rFonts w:ascii="Verdana" w:cs="Verdana" w:eastAsia="Verdana" w:hAnsi="Verdana"/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color="000000" w:space="1" w:sz="6" w:val="single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spacing w:line="240" w:lineRule="auto"/>
      <w:jc w:val="right"/>
      <w:rPr>
        <w:rFonts w:ascii="Source Sans Pro" w:cs="Source Sans Pro" w:eastAsia="Source Sans Pro" w:hAnsi="Source Sans Pro"/>
        <w:b w:val="1"/>
        <w:color w:val="000000"/>
        <w:sz w:val="40"/>
        <w:szCs w:val="40"/>
      </w:rPr>
    </w:pPr>
    <w:r w:rsidDel="00000000" w:rsidR="00000000" w:rsidRPr="00000000">
      <w:rPr>
        <w:rFonts w:ascii="Source Sans Pro" w:cs="Source Sans Pro" w:eastAsia="Source Sans Pro" w:hAnsi="Source Sans Pro"/>
        <w:b w:val="1"/>
        <w:sz w:val="40"/>
        <w:szCs w:val="40"/>
        <w:rtl w:val="0"/>
      </w:rPr>
      <w:t xml:space="preserve">GCM-SOFTWARE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Bdr>
        <w:bottom w:color="000000" w:space="1" w:sz="6" w:val="single"/>
      </w:pBd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25" w:hanging="405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0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0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108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0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0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jpg"/><Relationship Id="rId10" Type="http://schemas.openxmlformats.org/officeDocument/2006/relationships/image" Target="media/image11.png"/><Relationship Id="rId21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Rz9pSd9Cv3lrrJGH1LG6C/vx4g==">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