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AC0" w:rsidRPr="002F1265" w:rsidRDefault="002F1265">
      <w:r w:rsidRPr="002F1265">
        <w:t xml:space="preserve">Documento entrega: </w:t>
      </w:r>
    </w:p>
    <w:p w:rsidR="002F1265" w:rsidRPr="002F1265" w:rsidRDefault="002F1265"/>
    <w:p w:rsidR="002F1265" w:rsidRPr="002F1265" w:rsidRDefault="002F1265"/>
    <w:p w:rsidR="002F1265" w:rsidRDefault="002F1265">
      <w:pPr>
        <w:rPr>
          <w:lang w:val="es-CO"/>
        </w:rPr>
      </w:pPr>
      <w:r w:rsidRPr="007C021A">
        <w:rPr>
          <w:lang w:val="es-CO"/>
        </w:rPr>
        <w:t>Sonar Qube</w:t>
      </w:r>
      <w:r w:rsidR="009B1335" w:rsidRPr="007C021A">
        <w:rPr>
          <w:lang w:val="es-CO"/>
        </w:rPr>
        <w:t>: Es</w:t>
      </w:r>
      <w:r w:rsidR="007C021A" w:rsidRPr="007C021A">
        <w:rPr>
          <w:lang w:val="es-CO"/>
        </w:rPr>
        <w:t xml:space="preserve"> una plataforma abierta, que facilita la inspección continua del </w:t>
      </w:r>
      <w:r w:rsidR="009B1335" w:rsidRPr="007C021A">
        <w:rPr>
          <w:lang w:val="es-CO"/>
        </w:rPr>
        <w:t>código</w:t>
      </w:r>
      <w:r w:rsidR="007C021A" w:rsidRPr="007C021A">
        <w:rPr>
          <w:lang w:val="es-CO"/>
        </w:rPr>
        <w:t xml:space="preserve"> para </w:t>
      </w:r>
      <w:r w:rsidR="009B1335">
        <w:rPr>
          <w:lang w:val="es-CO"/>
        </w:rPr>
        <w:t>detectar</w:t>
      </w:r>
      <w:r w:rsidR="007C021A" w:rsidRPr="007C021A">
        <w:rPr>
          <w:lang w:val="es-CO"/>
        </w:rPr>
        <w:t xml:space="preserve"> problemas, vulnerabilidades y </w:t>
      </w:r>
      <w:r w:rsidR="007C021A" w:rsidRPr="007C021A">
        <w:rPr>
          <w:i/>
          <w:lang w:val="es-CO"/>
        </w:rPr>
        <w:t>code smells</w:t>
      </w:r>
      <w:r w:rsidR="007C021A" w:rsidRPr="007C021A">
        <w:rPr>
          <w:lang w:val="es-CO"/>
        </w:rPr>
        <w:t xml:space="preserve">. Es posible usarla en 20 lenguajes diferentes. En nuestro caso la usaremos para </w:t>
      </w:r>
      <w:r w:rsidR="009B1335">
        <w:rPr>
          <w:lang w:val="es-CO"/>
        </w:rPr>
        <w:t>nuestra aplicación escrita en Java.</w:t>
      </w:r>
    </w:p>
    <w:p w:rsidR="009B1335" w:rsidRDefault="009B1335">
      <w:pPr>
        <w:rPr>
          <w:lang w:val="es-CO"/>
        </w:rPr>
      </w:pPr>
      <w:r>
        <w:rPr>
          <w:lang w:val="es-CO"/>
        </w:rPr>
        <w:t xml:space="preserve">SonarQube corre en el puerto 9000. Para lograr el funcionamiento correcto de la aplicación, </w:t>
      </w:r>
      <w:r w:rsidR="00240775">
        <w:rPr>
          <w:lang w:val="es-CO"/>
        </w:rPr>
        <w:t>se debe primero configurar el servidor sobre el cual correra la aplicación y los parámetros del ejecutable. Que son el nombre de la aplicación, la versión, la fuente, entre otras cosas.</w:t>
      </w:r>
    </w:p>
    <w:p w:rsidR="00240775" w:rsidRDefault="00240775">
      <w:pPr>
        <w:rPr>
          <w:lang w:val="es-CO"/>
        </w:rPr>
      </w:pPr>
      <w:r>
        <w:rPr>
          <w:lang w:val="es-CO"/>
        </w:rPr>
        <w:t xml:space="preserve">Despues de lo anterior, se despliega un </w:t>
      </w:r>
      <w:r>
        <w:rPr>
          <w:i/>
          <w:lang w:val="es-CO"/>
        </w:rPr>
        <w:t>dashboard</w:t>
      </w:r>
      <w:r>
        <w:rPr>
          <w:lang w:val="es-CO"/>
        </w:rPr>
        <w:t xml:space="preserve"> informativo con diferentes métricas, las cuales se explican a continuación.</w:t>
      </w:r>
    </w:p>
    <w:p w:rsidR="00240775" w:rsidRDefault="00240775">
      <w:pPr>
        <w:rPr>
          <w:lang w:val="es-CO"/>
        </w:rPr>
      </w:pPr>
    </w:p>
    <w:p w:rsidR="00240775" w:rsidRDefault="00240775">
      <w:pPr>
        <w:rPr>
          <w:lang w:val="es-CO"/>
        </w:rPr>
      </w:pPr>
      <w:r>
        <w:rPr>
          <w:lang w:val="es-CO"/>
        </w:rPr>
        <w:t xml:space="preserve">En la figura 1, observamos un </w:t>
      </w:r>
      <w:r>
        <w:rPr>
          <w:i/>
          <w:lang w:val="es-CO"/>
        </w:rPr>
        <w:t xml:space="preserve">overview </w:t>
      </w:r>
      <w:r>
        <w:rPr>
          <w:lang w:val="es-CO"/>
        </w:rPr>
        <w:t xml:space="preserve"> de lo que es la aplicación. Nos muestra la deuda técnica, así como la tasa de la misma y los problemas sobre los cuales se calcula tal deuda. Además divide los problemas en bloqueantes, críticos, importantes, no importantes e ínfimos. </w:t>
      </w:r>
    </w:p>
    <w:p w:rsidR="00240775" w:rsidRDefault="007A6C8C">
      <w:pPr>
        <w:rPr>
          <w:lang w:val="es-CO"/>
        </w:rPr>
      </w:pPr>
      <w:r>
        <w:rPr>
          <w:lang w:val="es-CO"/>
        </w:rPr>
        <w:t>El calculo de la deuda técnica es basa en la metodología SQALE (</w:t>
      </w:r>
      <w:r>
        <w:rPr>
          <w:i/>
          <w:lang w:val="es-CO"/>
        </w:rPr>
        <w:t xml:space="preserve">Software Quality Assessment based on LifeCycle Expectations). </w:t>
      </w:r>
      <w:r w:rsidR="00D55C92">
        <w:rPr>
          <w:i/>
          <w:lang w:val="es-CO"/>
        </w:rPr>
        <w:t xml:space="preserve"> </w:t>
      </w:r>
      <w:r w:rsidR="00D55C92">
        <w:rPr>
          <w:lang w:val="es-CO"/>
        </w:rPr>
        <w:t xml:space="preserve">Dicho calculo tiene en cuenta bloques duplicados, pruebas unitarias fallidas, insuficiente cubrimiento de las pruebas unitarias, insuficiente densidad de comentarios del codgio, insuficiente cubrimiento de líneas por parte de las pruebas unitarias y pruebas no ejecutadas. </w:t>
      </w:r>
    </w:p>
    <w:p w:rsidR="00202669" w:rsidRDefault="00202669">
      <w:pPr>
        <w:rPr>
          <w:lang w:val="es-CO"/>
        </w:rPr>
      </w:pPr>
      <w:r>
        <w:rPr>
          <w:lang w:val="es-CO"/>
        </w:rPr>
        <w:t xml:space="preserve">Teniendo en cuenta la deuda técnica de cada problema encontrado se realiza una sumatoria, teniendo asi el valor final que es el mostrado en la pantalla. También es posible visualizar la deuda total por criterio en la interfaz de problemas. </w:t>
      </w:r>
    </w:p>
    <w:p w:rsidR="007A6C8C" w:rsidRDefault="000979BB">
      <w:pPr>
        <w:rPr>
          <w:lang w:val="es-CO"/>
        </w:rPr>
      </w:pPr>
      <w:r>
        <w:rPr>
          <w:i/>
          <w:lang w:val="es-CO"/>
        </w:rPr>
        <w:t xml:space="preserve">Technical Debt Ratio: </w:t>
      </w:r>
      <w:r>
        <w:rPr>
          <w:lang w:val="es-CO"/>
        </w:rPr>
        <w:t xml:space="preserve">esta métrica nos da la taza entre la deuda técnica actual y el esfuerzo que tomaría reescribir el codigo por completo desde cero. </w:t>
      </w:r>
      <w:r w:rsidR="00FB21F0">
        <w:rPr>
          <w:lang w:val="es-CO"/>
        </w:rPr>
        <w:t xml:space="preserve">Adicionalmente el valor de esta métrica depende del tamaño del proyecto. Dado un valor para esta tasa, el proyecto recibe una calificación que va desde A hasta la E, siendo la ultima la peor calificación. </w:t>
      </w:r>
    </w:p>
    <w:p w:rsidR="00FB21F0" w:rsidRDefault="00FB21F0" w:rsidP="00D55C92">
      <w:pPr>
        <w:pStyle w:val="NormalWeb"/>
        <w:shd w:val="clear" w:color="auto" w:fill="FFFFFF"/>
        <w:spacing w:before="150" w:beforeAutospacing="0" w:after="0" w:afterAutospacing="0"/>
        <w:rPr>
          <w:rFonts w:ascii="Arial" w:hAnsi="Arial" w:cs="Arial"/>
          <w:color w:val="333333"/>
          <w:sz w:val="21"/>
          <w:szCs w:val="21"/>
          <w:lang w:val="en-CA"/>
        </w:rPr>
      </w:pPr>
    </w:p>
    <w:p w:rsidR="00D55C92" w:rsidRPr="00FB21F0" w:rsidRDefault="00FB21F0" w:rsidP="00D55C92">
      <w:pPr>
        <w:pStyle w:val="NormalWeb"/>
        <w:shd w:val="clear" w:color="auto" w:fill="FFFFFF"/>
        <w:spacing w:before="150" w:beforeAutospacing="0" w:after="0" w:afterAutospacing="0"/>
        <w:rPr>
          <w:rFonts w:ascii="Arial" w:hAnsi="Arial" w:cs="Arial"/>
          <w:color w:val="333333"/>
          <w:sz w:val="21"/>
          <w:szCs w:val="21"/>
        </w:rPr>
      </w:pPr>
      <w:r w:rsidRPr="00FB21F0">
        <w:rPr>
          <w:rFonts w:ascii="Arial" w:hAnsi="Arial" w:cs="Arial"/>
          <w:color w:val="333333"/>
          <w:sz w:val="21"/>
          <w:szCs w:val="21"/>
        </w:rPr>
        <w:t>Compararemos dos proyectos con la misma deud</w:t>
      </w:r>
      <w:r>
        <w:rPr>
          <w:rFonts w:ascii="Arial" w:hAnsi="Arial" w:cs="Arial"/>
          <w:color w:val="333333"/>
          <w:sz w:val="21"/>
          <w:szCs w:val="21"/>
        </w:rPr>
        <w:t xml:space="preserve">a técnica: </w:t>
      </w:r>
    </w:p>
    <w:p w:rsidR="00D55C92" w:rsidRPr="00FB21F0" w:rsidRDefault="00FB21F0" w:rsidP="00D55C92">
      <w:pPr>
        <w:numPr>
          <w:ilvl w:val="0"/>
          <w:numId w:val="2"/>
        </w:numPr>
        <w:shd w:val="clear" w:color="auto" w:fill="FFFFFF"/>
        <w:spacing w:before="100" w:beforeAutospacing="1" w:after="100" w:afterAutospacing="1" w:line="240" w:lineRule="auto"/>
        <w:ind w:left="0"/>
        <w:rPr>
          <w:rFonts w:ascii="Arial" w:hAnsi="Arial" w:cs="Arial"/>
          <w:color w:val="333333"/>
          <w:sz w:val="21"/>
          <w:szCs w:val="21"/>
          <w:lang w:val="es-CO"/>
        </w:rPr>
      </w:pPr>
      <w:r w:rsidRPr="00FB21F0">
        <w:rPr>
          <w:rFonts w:ascii="Arial" w:hAnsi="Arial" w:cs="Arial"/>
          <w:color w:val="333333"/>
          <w:sz w:val="21"/>
          <w:szCs w:val="21"/>
          <w:lang w:val="es-CO"/>
        </w:rPr>
        <w:t>Arquisoft 1</w:t>
      </w:r>
      <w:r w:rsidR="00D55C92" w:rsidRPr="00FB21F0">
        <w:rPr>
          <w:rFonts w:ascii="Arial" w:hAnsi="Arial" w:cs="Arial"/>
          <w:color w:val="333333"/>
          <w:sz w:val="21"/>
          <w:szCs w:val="21"/>
          <w:lang w:val="es-CO"/>
        </w:rPr>
        <w:t xml:space="preserve">: 95 days </w:t>
      </w:r>
      <w:r w:rsidRPr="00FB21F0">
        <w:rPr>
          <w:rFonts w:ascii="Arial" w:hAnsi="Arial" w:cs="Arial"/>
          <w:color w:val="333333"/>
          <w:sz w:val="21"/>
          <w:szCs w:val="21"/>
          <w:lang w:val="es-CO"/>
        </w:rPr>
        <w:t>y 80.000 lineas de codigo.</w:t>
      </w:r>
    </w:p>
    <w:p w:rsidR="00D55C92" w:rsidRDefault="00FB21F0" w:rsidP="00D55C92">
      <w:pPr>
        <w:numPr>
          <w:ilvl w:val="0"/>
          <w:numId w:val="2"/>
        </w:numPr>
        <w:shd w:val="clear" w:color="auto" w:fill="FFFFFF"/>
        <w:spacing w:before="100" w:beforeAutospacing="1" w:after="100" w:afterAutospacing="1" w:line="240" w:lineRule="auto"/>
        <w:ind w:left="0"/>
        <w:rPr>
          <w:rFonts w:ascii="Arial" w:hAnsi="Arial" w:cs="Arial"/>
          <w:color w:val="333333"/>
          <w:sz w:val="21"/>
          <w:szCs w:val="21"/>
          <w:lang w:val="es-CO"/>
        </w:rPr>
      </w:pPr>
      <w:r w:rsidRPr="00FB21F0">
        <w:rPr>
          <w:rFonts w:ascii="Arial" w:hAnsi="Arial" w:cs="Arial"/>
          <w:color w:val="333333"/>
          <w:sz w:val="21"/>
          <w:szCs w:val="21"/>
          <w:lang w:val="es-CO"/>
        </w:rPr>
        <w:t>Arquisoft 2</w:t>
      </w:r>
      <w:r w:rsidR="00D55C92" w:rsidRPr="00FB21F0">
        <w:rPr>
          <w:rFonts w:ascii="Arial" w:hAnsi="Arial" w:cs="Arial"/>
          <w:color w:val="333333"/>
          <w:sz w:val="21"/>
          <w:szCs w:val="21"/>
          <w:lang w:val="es-CO"/>
        </w:rPr>
        <w:t xml:space="preserve">: 95 days </w:t>
      </w:r>
      <w:r>
        <w:rPr>
          <w:rFonts w:ascii="Arial" w:hAnsi="Arial" w:cs="Arial"/>
          <w:color w:val="333333"/>
          <w:sz w:val="21"/>
          <w:szCs w:val="21"/>
          <w:lang w:val="es-CO"/>
        </w:rPr>
        <w:t>y 7.000 lineas de codigo.</w:t>
      </w:r>
    </w:p>
    <w:p w:rsidR="00FB21F0" w:rsidRPr="00FB21F0" w:rsidRDefault="00FB21F0" w:rsidP="00FB21F0">
      <w:pPr>
        <w:shd w:val="clear" w:color="auto" w:fill="FFFFFF"/>
        <w:spacing w:before="100" w:beforeAutospacing="1" w:after="100" w:afterAutospacing="1" w:line="240" w:lineRule="auto"/>
        <w:rPr>
          <w:rFonts w:ascii="Arial" w:hAnsi="Arial" w:cs="Arial"/>
          <w:color w:val="333333"/>
          <w:sz w:val="21"/>
          <w:szCs w:val="21"/>
          <w:lang w:val="es-CO"/>
        </w:rPr>
      </w:pPr>
      <w:r>
        <w:rPr>
          <w:rFonts w:ascii="Arial" w:hAnsi="Arial" w:cs="Arial"/>
          <w:color w:val="333333"/>
          <w:sz w:val="21"/>
          <w:szCs w:val="21"/>
          <w:lang w:val="es-CO"/>
        </w:rPr>
        <w:t xml:space="preserve">La formula de la tasa de deuda técnica es : Deuda técnica / tiempo estimado de desarrollo , que se calcula en LOC/30min. </w:t>
      </w:r>
    </w:p>
    <w:p w:rsidR="00D55C92" w:rsidRDefault="00FB21F0" w:rsidP="00D55C92">
      <w:pPr>
        <w:numPr>
          <w:ilvl w:val="0"/>
          <w:numId w:val="3"/>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Arquisoft 1</w:t>
      </w:r>
      <w:r w:rsidR="00D55C92">
        <w:rPr>
          <w:rFonts w:ascii="Arial" w:hAnsi="Arial" w:cs="Arial"/>
          <w:color w:val="333333"/>
          <w:sz w:val="21"/>
          <w:szCs w:val="21"/>
        </w:rPr>
        <w:t>: (95 x 8 x 60) / (80 000 x 30) =</w:t>
      </w:r>
      <w:r w:rsidR="00D55C92">
        <w:rPr>
          <w:rStyle w:val="apple-converted-space"/>
          <w:rFonts w:ascii="Arial" w:hAnsi="Arial" w:cs="Arial"/>
          <w:color w:val="333333"/>
          <w:sz w:val="21"/>
          <w:szCs w:val="21"/>
        </w:rPr>
        <w:t> </w:t>
      </w:r>
      <w:r w:rsidR="00D55C92">
        <w:rPr>
          <w:rStyle w:val="Textoennegrita"/>
          <w:rFonts w:ascii="Arial" w:hAnsi="Arial" w:cs="Arial"/>
          <w:color w:val="333333"/>
          <w:sz w:val="21"/>
          <w:szCs w:val="21"/>
        </w:rPr>
        <w:t>1,9%</w:t>
      </w:r>
    </w:p>
    <w:p w:rsidR="00D55C92" w:rsidRDefault="00FB21F0" w:rsidP="00D55C92">
      <w:pPr>
        <w:numPr>
          <w:ilvl w:val="0"/>
          <w:numId w:val="3"/>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Arquisoft 2</w:t>
      </w:r>
      <w:r w:rsidR="00D55C92">
        <w:rPr>
          <w:rFonts w:ascii="Arial" w:hAnsi="Arial" w:cs="Arial"/>
          <w:color w:val="333333"/>
          <w:sz w:val="21"/>
          <w:szCs w:val="21"/>
        </w:rPr>
        <w:t>: (95 x 8 x 60) / (13 000 x 30) =</w:t>
      </w:r>
      <w:r w:rsidR="00D55C92">
        <w:rPr>
          <w:rStyle w:val="apple-converted-space"/>
          <w:rFonts w:ascii="Arial" w:hAnsi="Arial" w:cs="Arial"/>
          <w:color w:val="333333"/>
          <w:sz w:val="21"/>
          <w:szCs w:val="21"/>
        </w:rPr>
        <w:t> </w:t>
      </w:r>
      <w:r w:rsidR="00D55C92">
        <w:rPr>
          <w:rStyle w:val="Textoennegrita"/>
          <w:rFonts w:ascii="Arial" w:hAnsi="Arial" w:cs="Arial"/>
          <w:color w:val="333333"/>
          <w:sz w:val="21"/>
          <w:szCs w:val="21"/>
        </w:rPr>
        <w:t>21,7%</w:t>
      </w:r>
    </w:p>
    <w:p w:rsidR="00D55C92" w:rsidRPr="00FB21F0" w:rsidRDefault="00FB21F0" w:rsidP="00D55C92">
      <w:pPr>
        <w:pStyle w:val="NormalWeb"/>
        <w:shd w:val="clear" w:color="auto" w:fill="FFFFFF"/>
        <w:spacing w:before="150" w:beforeAutospacing="0" w:after="0" w:afterAutospacing="0"/>
        <w:rPr>
          <w:rFonts w:ascii="Arial" w:hAnsi="Arial" w:cs="Arial"/>
          <w:color w:val="333333"/>
          <w:sz w:val="21"/>
          <w:szCs w:val="21"/>
        </w:rPr>
      </w:pPr>
      <w:r w:rsidRPr="00FB21F0">
        <w:rPr>
          <w:rFonts w:ascii="Arial" w:hAnsi="Arial" w:cs="Arial"/>
          <w:color w:val="333333"/>
          <w:sz w:val="21"/>
          <w:szCs w:val="21"/>
        </w:rPr>
        <w:lastRenderedPageBreak/>
        <w:t>De lo anterior sabemos que el proyecto 1 esta en major forma que el proyecto 2.</w:t>
      </w:r>
    </w:p>
    <w:p w:rsidR="002F1265" w:rsidRPr="007A6C8C" w:rsidRDefault="002F1265"/>
    <w:p w:rsidR="002F1265" w:rsidRPr="007A6C8C" w:rsidRDefault="002F1265"/>
    <w:p w:rsidR="002F1265" w:rsidRDefault="002F1265">
      <w:r>
        <w:rPr>
          <w:noProof/>
          <w:lang w:val="es-CO" w:eastAsia="es-CO"/>
        </w:rPr>
        <w:drawing>
          <wp:inline distT="0" distB="0" distL="0" distR="0" wp14:anchorId="0D3DFBE1" wp14:editId="1C0DCD5A">
            <wp:extent cx="5612130" cy="253174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531745"/>
                    </a:xfrm>
                    <a:prstGeom prst="rect">
                      <a:avLst/>
                    </a:prstGeom>
                  </pic:spPr>
                </pic:pic>
              </a:graphicData>
            </a:graphic>
          </wp:inline>
        </w:drawing>
      </w:r>
    </w:p>
    <w:p w:rsidR="00F2225D" w:rsidRDefault="00F2225D"/>
    <w:p w:rsidR="00F2225D" w:rsidRDefault="00F2225D">
      <w:pPr>
        <w:rPr>
          <w:lang w:val="es-CO"/>
        </w:rPr>
      </w:pPr>
      <w:r w:rsidRPr="00F2225D">
        <w:rPr>
          <w:lang w:val="es-CO"/>
        </w:rPr>
        <w:t xml:space="preserve">En cuanto a las duplicaciones, encontramos diferentes tipos, la primera en cuanto a los bloques repetidos, </w:t>
      </w:r>
      <w:r>
        <w:rPr>
          <w:lang w:val="es-CO"/>
        </w:rPr>
        <w:t xml:space="preserve"> debe haber al menos 10 declaraciones sucesivas y duplicadas, independientemente del numero de fichas y líneas, esto lo toma como bloques repetidos, líneas duplicadas, archivos duplicados y el porcentaje de líneas duplicadas.</w:t>
      </w:r>
    </w:p>
    <w:p w:rsidR="00F2225D" w:rsidRPr="00F2225D" w:rsidRDefault="00F2225D">
      <w:pPr>
        <w:rPr>
          <w:lang w:val="es-CO"/>
        </w:rPr>
      </w:pPr>
    </w:p>
    <w:p w:rsidR="002F1265" w:rsidRPr="00F2225D" w:rsidRDefault="002F1265">
      <w:pPr>
        <w:rPr>
          <w:lang w:val="es-CO"/>
        </w:rPr>
      </w:pPr>
    </w:p>
    <w:p w:rsidR="002F1265" w:rsidRDefault="002F1265"/>
    <w:p w:rsidR="002F1265" w:rsidRDefault="002F1265">
      <w:r>
        <w:rPr>
          <w:noProof/>
          <w:lang w:val="es-CO" w:eastAsia="es-CO"/>
        </w:rPr>
        <w:drawing>
          <wp:inline distT="0" distB="0" distL="0" distR="0" wp14:anchorId="3846BA75" wp14:editId="7E52AA9B">
            <wp:extent cx="5612130" cy="2569210"/>
            <wp:effectExtent l="0" t="0" r="762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569210"/>
                    </a:xfrm>
                    <a:prstGeom prst="rect">
                      <a:avLst/>
                    </a:prstGeom>
                  </pic:spPr>
                </pic:pic>
              </a:graphicData>
            </a:graphic>
          </wp:inline>
        </w:drawing>
      </w:r>
    </w:p>
    <w:p w:rsidR="00F2225D" w:rsidRDefault="00F2225D">
      <w:pPr>
        <w:rPr>
          <w:noProof/>
          <w:lang w:val="es-CO" w:eastAsia="es-CO"/>
        </w:rPr>
      </w:pPr>
    </w:p>
    <w:p w:rsidR="002F1265" w:rsidRPr="002F1265" w:rsidRDefault="00820FA0">
      <w:r w:rsidRPr="00820FA0">
        <w:rPr>
          <w:rFonts w:ascii="Arial" w:hAnsi="Arial" w:cs="Arial"/>
          <w:color w:val="333333"/>
          <w:sz w:val="21"/>
          <w:szCs w:val="21"/>
          <w:shd w:val="clear" w:color="auto" w:fill="FFFFFF"/>
          <w:lang w:val="es-CO"/>
        </w:rPr>
        <w:lastRenderedPageBreak/>
        <w:t>La complejidad es calculada con base en el numero de c</w:t>
      </w:r>
      <w:r>
        <w:rPr>
          <w:rFonts w:ascii="Arial" w:hAnsi="Arial" w:cs="Arial"/>
          <w:color w:val="333333"/>
          <w:sz w:val="21"/>
          <w:szCs w:val="21"/>
          <w:shd w:val="clear" w:color="auto" w:fill="FFFFFF"/>
          <w:lang w:val="es-CO"/>
        </w:rPr>
        <w:t xml:space="preserve">aminos existentes en el codigo. En donde sea que el flujo de una función se divida, la complejidad se aumenta en uno. Cada función tiene una complejidad minima de 1. Este calculo varia depende el lenguaje, ya que algunas palabras claves y funcionalidades también lo hacen. </w:t>
      </w:r>
      <w:bookmarkStart w:id="0" w:name="_GoBack"/>
      <w:bookmarkEnd w:id="0"/>
      <w:r w:rsidR="00F2225D">
        <w:rPr>
          <w:noProof/>
          <w:lang w:val="es-CO" w:eastAsia="es-CO"/>
        </w:rPr>
        <w:drawing>
          <wp:anchor distT="0" distB="0" distL="114300" distR="114300" simplePos="0" relativeHeight="251659264" behindDoc="1" locked="0" layoutInCell="1" allowOverlap="1" wp14:anchorId="4C150CCA" wp14:editId="5E98791F">
            <wp:simplePos x="0" y="0"/>
            <wp:positionH relativeFrom="margin">
              <wp:align>right</wp:align>
            </wp:positionH>
            <wp:positionV relativeFrom="paragraph">
              <wp:posOffset>847725</wp:posOffset>
            </wp:positionV>
            <wp:extent cx="5612130" cy="1279525"/>
            <wp:effectExtent l="0" t="0" r="7620" b="0"/>
            <wp:wrapTight wrapText="bothSides">
              <wp:wrapPolygon edited="0">
                <wp:start x="0" y="0"/>
                <wp:lineTo x="0" y="21225"/>
                <wp:lineTo x="21556" y="21225"/>
                <wp:lineTo x="2155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1279525"/>
                    </a:xfrm>
                    <a:prstGeom prst="rect">
                      <a:avLst/>
                    </a:prstGeom>
                  </pic:spPr>
                </pic:pic>
              </a:graphicData>
            </a:graphic>
            <wp14:sizeRelH relativeFrom="page">
              <wp14:pctWidth>0</wp14:pctWidth>
            </wp14:sizeRelH>
            <wp14:sizeRelV relativeFrom="page">
              <wp14:pctHeight>0</wp14:pctHeight>
            </wp14:sizeRelV>
          </wp:anchor>
        </w:drawing>
      </w:r>
      <w:r w:rsidR="00F2225D">
        <w:rPr>
          <w:noProof/>
          <w:lang w:val="es-CO" w:eastAsia="es-CO"/>
        </w:rPr>
        <w:drawing>
          <wp:anchor distT="0" distB="0" distL="114300" distR="114300" simplePos="0" relativeHeight="251658240" behindDoc="0" locked="0" layoutInCell="1" allowOverlap="1" wp14:anchorId="35B23BD4" wp14:editId="11ADFF2C">
            <wp:simplePos x="0" y="0"/>
            <wp:positionH relativeFrom="margin">
              <wp:align>right</wp:align>
            </wp:positionH>
            <wp:positionV relativeFrom="paragraph">
              <wp:posOffset>2830195</wp:posOffset>
            </wp:positionV>
            <wp:extent cx="5612130" cy="3510915"/>
            <wp:effectExtent l="0" t="0" r="762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3510915"/>
                    </a:xfrm>
                    <a:prstGeom prst="rect">
                      <a:avLst/>
                    </a:prstGeom>
                  </pic:spPr>
                </pic:pic>
              </a:graphicData>
            </a:graphic>
            <wp14:sizeRelH relativeFrom="page">
              <wp14:pctWidth>0</wp14:pctWidth>
            </wp14:sizeRelH>
            <wp14:sizeRelV relativeFrom="page">
              <wp14:pctHeight>0</wp14:pctHeight>
            </wp14:sizeRelV>
          </wp:anchor>
        </w:drawing>
      </w:r>
    </w:p>
    <w:sectPr w:rsidR="002F1265" w:rsidRPr="002F126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451" w:rsidRDefault="00691451" w:rsidP="00F2225D">
      <w:pPr>
        <w:spacing w:after="0" w:line="240" w:lineRule="auto"/>
      </w:pPr>
      <w:r>
        <w:separator/>
      </w:r>
    </w:p>
  </w:endnote>
  <w:endnote w:type="continuationSeparator" w:id="0">
    <w:p w:rsidR="00691451" w:rsidRDefault="00691451" w:rsidP="00F22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451" w:rsidRDefault="00691451" w:rsidP="00F2225D">
      <w:pPr>
        <w:spacing w:after="0" w:line="240" w:lineRule="auto"/>
      </w:pPr>
      <w:r>
        <w:separator/>
      </w:r>
    </w:p>
  </w:footnote>
  <w:footnote w:type="continuationSeparator" w:id="0">
    <w:p w:rsidR="00691451" w:rsidRDefault="00691451" w:rsidP="00F222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013C9"/>
    <w:multiLevelType w:val="multilevel"/>
    <w:tmpl w:val="7D5A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9372269"/>
    <w:multiLevelType w:val="multilevel"/>
    <w:tmpl w:val="ADB2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F764582"/>
    <w:multiLevelType w:val="multilevel"/>
    <w:tmpl w:val="BA7CB2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E4A22AE"/>
    <w:multiLevelType w:val="multilevel"/>
    <w:tmpl w:val="552C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265"/>
    <w:rsid w:val="000979BB"/>
    <w:rsid w:val="00202669"/>
    <w:rsid w:val="00240775"/>
    <w:rsid w:val="002F1265"/>
    <w:rsid w:val="005C6428"/>
    <w:rsid w:val="00691451"/>
    <w:rsid w:val="007A6C8C"/>
    <w:rsid w:val="007C021A"/>
    <w:rsid w:val="00820FA0"/>
    <w:rsid w:val="009B1335"/>
    <w:rsid w:val="00B16AC0"/>
    <w:rsid w:val="00D55C92"/>
    <w:rsid w:val="00F2225D"/>
    <w:rsid w:val="00FB21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D6E8D9-3712-4B14-96B4-136DC9F59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paragraph" w:styleId="Ttulo1">
    <w:name w:val="heading 1"/>
    <w:basedOn w:val="Normal"/>
    <w:link w:val="Ttulo1Car"/>
    <w:uiPriority w:val="9"/>
    <w:qFormat/>
    <w:rsid w:val="00D55C92"/>
    <w:pPr>
      <w:spacing w:before="100" w:beforeAutospacing="1" w:after="100" w:afterAutospacing="1" w:line="240" w:lineRule="auto"/>
      <w:outlineLvl w:val="0"/>
    </w:pPr>
    <w:rPr>
      <w:rFonts w:ascii="Times New Roman" w:eastAsia="Times New Roman" w:hAnsi="Times New Roman" w:cs="Times New Roman"/>
      <w:b/>
      <w:bCs/>
      <w:kern w:val="36"/>
      <w:sz w:val="48"/>
      <w:szCs w:val="48"/>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F1265"/>
    <w:rPr>
      <w:color w:val="0000FF"/>
      <w:u w:val="single"/>
    </w:rPr>
  </w:style>
  <w:style w:type="character" w:customStyle="1" w:styleId="apple-converted-space">
    <w:name w:val="apple-converted-space"/>
    <w:basedOn w:val="Fuentedeprrafopredeter"/>
    <w:rsid w:val="002F1265"/>
  </w:style>
  <w:style w:type="paragraph" w:styleId="NormalWeb">
    <w:name w:val="Normal (Web)"/>
    <w:basedOn w:val="Normal"/>
    <w:uiPriority w:val="99"/>
    <w:semiHidden/>
    <w:unhideWhenUsed/>
    <w:rsid w:val="007A6C8C"/>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nfasis">
    <w:name w:val="Emphasis"/>
    <w:basedOn w:val="Fuentedeprrafopredeter"/>
    <w:uiPriority w:val="20"/>
    <w:qFormat/>
    <w:rsid w:val="00D55C92"/>
    <w:rPr>
      <w:i/>
      <w:iCs/>
    </w:rPr>
  </w:style>
  <w:style w:type="character" w:customStyle="1" w:styleId="Ttulo1Car">
    <w:name w:val="Título 1 Car"/>
    <w:basedOn w:val="Fuentedeprrafopredeter"/>
    <w:link w:val="Ttulo1"/>
    <w:uiPriority w:val="9"/>
    <w:rsid w:val="00D55C92"/>
    <w:rPr>
      <w:rFonts w:ascii="Times New Roman" w:eastAsia="Times New Roman" w:hAnsi="Times New Roman" w:cs="Times New Roman"/>
      <w:b/>
      <w:bCs/>
      <w:kern w:val="36"/>
      <w:sz w:val="48"/>
      <w:szCs w:val="48"/>
      <w:lang w:eastAsia="es-CO"/>
    </w:rPr>
  </w:style>
  <w:style w:type="character" w:styleId="Textoennegrita">
    <w:name w:val="Strong"/>
    <w:basedOn w:val="Fuentedeprrafopredeter"/>
    <w:uiPriority w:val="22"/>
    <w:qFormat/>
    <w:rsid w:val="00D55C92"/>
    <w:rPr>
      <w:b/>
      <w:bCs/>
    </w:rPr>
  </w:style>
  <w:style w:type="paragraph" w:styleId="HTMLconformatoprevio">
    <w:name w:val="HTML Preformatted"/>
    <w:basedOn w:val="Normal"/>
    <w:link w:val="HTMLconformatoprevioCar"/>
    <w:uiPriority w:val="99"/>
    <w:semiHidden/>
    <w:unhideWhenUsed/>
    <w:rsid w:val="00F22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F2225D"/>
    <w:rPr>
      <w:rFonts w:ascii="Courier New" w:eastAsia="Times New Roman" w:hAnsi="Courier New" w:cs="Courier New"/>
      <w:sz w:val="20"/>
      <w:szCs w:val="20"/>
      <w:lang w:eastAsia="es-CO"/>
    </w:rPr>
  </w:style>
  <w:style w:type="paragraph" w:styleId="Encabezado">
    <w:name w:val="header"/>
    <w:basedOn w:val="Normal"/>
    <w:link w:val="EncabezadoCar"/>
    <w:uiPriority w:val="99"/>
    <w:unhideWhenUsed/>
    <w:rsid w:val="00F222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225D"/>
    <w:rPr>
      <w:lang w:val="en-CA"/>
    </w:rPr>
  </w:style>
  <w:style w:type="paragraph" w:styleId="Piedepgina">
    <w:name w:val="footer"/>
    <w:basedOn w:val="Normal"/>
    <w:link w:val="PiedepginaCar"/>
    <w:uiPriority w:val="99"/>
    <w:unhideWhenUsed/>
    <w:rsid w:val="00F222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225D"/>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27838">
      <w:bodyDiv w:val="1"/>
      <w:marLeft w:val="0"/>
      <w:marRight w:val="0"/>
      <w:marTop w:val="0"/>
      <w:marBottom w:val="0"/>
      <w:divBdr>
        <w:top w:val="none" w:sz="0" w:space="0" w:color="auto"/>
        <w:left w:val="none" w:sz="0" w:space="0" w:color="auto"/>
        <w:bottom w:val="none" w:sz="0" w:space="0" w:color="auto"/>
        <w:right w:val="none" w:sz="0" w:space="0" w:color="auto"/>
      </w:divBdr>
    </w:div>
    <w:div w:id="475875506">
      <w:bodyDiv w:val="1"/>
      <w:marLeft w:val="0"/>
      <w:marRight w:val="0"/>
      <w:marTop w:val="0"/>
      <w:marBottom w:val="0"/>
      <w:divBdr>
        <w:top w:val="none" w:sz="0" w:space="0" w:color="auto"/>
        <w:left w:val="none" w:sz="0" w:space="0" w:color="auto"/>
        <w:bottom w:val="none" w:sz="0" w:space="0" w:color="auto"/>
        <w:right w:val="none" w:sz="0" w:space="0" w:color="auto"/>
      </w:divBdr>
    </w:div>
    <w:div w:id="955676419">
      <w:bodyDiv w:val="1"/>
      <w:marLeft w:val="0"/>
      <w:marRight w:val="0"/>
      <w:marTop w:val="0"/>
      <w:marBottom w:val="0"/>
      <w:divBdr>
        <w:top w:val="none" w:sz="0" w:space="0" w:color="auto"/>
        <w:left w:val="none" w:sz="0" w:space="0" w:color="auto"/>
        <w:bottom w:val="none" w:sz="0" w:space="0" w:color="auto"/>
        <w:right w:val="none" w:sz="0" w:space="0" w:color="auto"/>
      </w:divBdr>
    </w:div>
    <w:div w:id="972827999">
      <w:bodyDiv w:val="1"/>
      <w:marLeft w:val="0"/>
      <w:marRight w:val="0"/>
      <w:marTop w:val="0"/>
      <w:marBottom w:val="0"/>
      <w:divBdr>
        <w:top w:val="none" w:sz="0" w:space="0" w:color="auto"/>
        <w:left w:val="none" w:sz="0" w:space="0" w:color="auto"/>
        <w:bottom w:val="none" w:sz="0" w:space="0" w:color="auto"/>
        <w:right w:val="none" w:sz="0" w:space="0" w:color="auto"/>
      </w:divBdr>
    </w:div>
    <w:div w:id="1674604729">
      <w:bodyDiv w:val="1"/>
      <w:marLeft w:val="0"/>
      <w:marRight w:val="0"/>
      <w:marTop w:val="0"/>
      <w:marBottom w:val="0"/>
      <w:divBdr>
        <w:top w:val="none" w:sz="0" w:space="0" w:color="auto"/>
        <w:left w:val="none" w:sz="0" w:space="0" w:color="auto"/>
        <w:bottom w:val="none" w:sz="0" w:space="0" w:color="auto"/>
        <w:right w:val="none" w:sz="0" w:space="0" w:color="auto"/>
      </w:divBdr>
    </w:div>
    <w:div w:id="1914854797">
      <w:bodyDiv w:val="1"/>
      <w:marLeft w:val="0"/>
      <w:marRight w:val="0"/>
      <w:marTop w:val="0"/>
      <w:marBottom w:val="0"/>
      <w:divBdr>
        <w:top w:val="none" w:sz="0" w:space="0" w:color="auto"/>
        <w:left w:val="none" w:sz="0" w:space="0" w:color="auto"/>
        <w:bottom w:val="none" w:sz="0" w:space="0" w:color="auto"/>
        <w:right w:val="none" w:sz="0" w:space="0" w:color="auto"/>
      </w:divBdr>
    </w:div>
    <w:div w:id="203044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475</Words>
  <Characters>2615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Barragan</dc:creator>
  <cp:keywords/>
  <dc:description/>
  <cp:lastModifiedBy>Martha Barragan</cp:lastModifiedBy>
  <cp:revision>1</cp:revision>
  <dcterms:created xsi:type="dcterms:W3CDTF">2017-05-01T23:13:00Z</dcterms:created>
  <dcterms:modified xsi:type="dcterms:W3CDTF">2017-05-02T01:21:00Z</dcterms:modified>
</cp:coreProperties>
</file>