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77777777"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14:paraId="72404D2C" w14:textId="77777777"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27DD85CD" w14:textId="604AEE4B"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 w:rsidR="008F5CE2">
        <w:t>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7F578D">
        <w:t xml:space="preserve">a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and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proofErr w:type="gramStart"/>
      <w:r w:rsidR="00077976" w:rsidRPr="00077976">
        <w:rPr>
          <w:sz w:val="12"/>
        </w:rPr>
        <w:t>%</w:t>
      </w:r>
      <w:r w:rsidR="00077976">
        <w:t>}</w:t>
      </w:r>
      <w:r>
        <w:t>was</w:t>
      </w:r>
      <w:proofErr w:type="gram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</w:t>
      </w:r>
      <w:r w:rsidR="00652A0C">
        <w:t> </w:t>
      </w:r>
      <w:r w:rsidR="00977C4A">
        <w:t>=</w:t>
      </w:r>
      <w:r w:rsidR="00652A0C">
        <w:t> </w:t>
      </w:r>
      <w:r w:rsidR="00977C4A">
        <w:t>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and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r>
        <w:t>applied</w:t>
      </w:r>
      <w:proofErr w:type="spellEnd"/>
      <w:r>
        <w:t>.</w:t>
      </w:r>
      <w:r w:rsidR="001E60D3">
        <w:rPr>
          <w:vertAlign w:val="superscript"/>
        </w:rPr>
        <w:t xml:space="preserve"> </w:t>
      </w:r>
      <w:r>
        <w:rPr>
          <w:vertAlign w:val="superscript"/>
        </w:rPr>
        <w:t>[</w:t>
      </w:r>
      <w:r w:rsidR="00BB5B65">
        <w:rPr>
          <w:vertAlign w:val="superscript"/>
        </w:rPr>
        <w:t>1,2</w:t>
      </w:r>
      <w:r>
        <w:rPr>
          <w:vertAlign w:val="superscript"/>
        </w:rPr>
        <w:t>]</w:t>
      </w:r>
      <w:r w:rsidR="005B3434" w:rsidRPr="005B3434">
        <w:rPr>
          <w:vertAlign w:val="superscript"/>
        </w:rPr>
        <w:t xml:space="preserve"> </w:t>
      </w: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r>
        <w:t xml:space="preserve">and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</w:t>
      </w:r>
      <w:proofErr w:type="gramStart"/>
      <w:r w:rsidR="00095AA7">
        <w:t>}</w:t>
      </w:r>
      <w:r>
        <w:t>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E18BB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E18BB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and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cif</w:t>
      </w:r>
      <w:proofErr w:type="spellEnd"/>
      <w:r w:rsidR="009E2435" w:rsidRPr="00C1309C">
        <w:rPr>
          <w:color w:val="00B0F0"/>
          <w:sz w:val="13"/>
          <w:szCs w:val="13"/>
          <w:lang w:val="en-US"/>
        </w:rPr>
        <w:t>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proofErr w:type="spellStart"/>
      <w:r w:rsidR="009E2435" w:rsidRPr="00764943">
        <w:rPr>
          <w:sz w:val="11"/>
          <w:szCs w:val="22"/>
          <w:lang w:val="en-US"/>
        </w:rPr>
        <w:t>cif</w:t>
      </w:r>
      <w:proofErr w:type="spellEnd"/>
      <w:r w:rsidR="009E2435" w:rsidRPr="00764943">
        <w:rPr>
          <w:sz w:val="11"/>
          <w:szCs w:val="22"/>
          <w:lang w:val="en-US"/>
        </w:rPr>
        <w:t>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14:paraId="7862C3D7" w14:textId="77777777" w:rsidR="00693AAF" w:rsidRPr="008123A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FC2DFC"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 w:rsidR="00FC2DFC"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14:paraId="1A755CC3" w14:textId="77777777"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14:paraId="6D506BA8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Default="007E4D5B" w:rsidP="00EF17B6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14:paraId="10FDF9DE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14:paraId="00A1B36A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14:paraId="579DA511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14:paraId="54C2BE0C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Default="007E4D5B" w:rsidP="00EF17B6">
            <w:pPr>
              <w:pStyle w:val="tabletext"/>
            </w:pPr>
            <w:r>
              <w:t>α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5B7ACC82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Default="007E4D5B" w:rsidP="00EF17B6">
            <w:pPr>
              <w:pStyle w:val="tabletext"/>
            </w:pPr>
            <w:r>
              <w:t>β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7E723AE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Default="007E4D5B" w:rsidP="00EF17B6">
            <w:pPr>
              <w:pStyle w:val="tabletext"/>
            </w:pPr>
            <w:r>
              <w:t>γ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6157323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AA3F22D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082C801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477A2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14:paraId="38D5D6E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5A326485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14:paraId="614874DE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14:paraId="650F87A6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00D73703" w14:textId="77777777"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39802C3F" w:rsidR="00134FBA" w:rsidRDefault="00134FBA" w:rsidP="00EF17B6">
            <w:pPr>
              <w:pStyle w:val="tabletext"/>
            </w:pPr>
            <w:r>
              <w:t>2</w:t>
            </w:r>
            <w:r w:rsidR="007875AE">
              <w:t>θ</w:t>
            </w:r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14:paraId="2A71E68A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14:paraId="14D132E5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14:paraId="2C20D68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14:paraId="04BFBD16" w14:textId="77777777"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14:paraId="4AC5AB8A" w14:textId="77777777"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77777777"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704D25FB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07CB3841" w14:textId="5E46CC72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="00654969" w:rsidRPr="006B79E6">
              <w:rPr>
                <w:sz w:val="14"/>
                <w:szCs w:val="14"/>
              </w:rPr>
              <w:t>ls_wR_factor_ref</w:t>
            </w:r>
            <w:proofErr w:type="spellEnd"/>
            <w:r>
              <w:t>}}</w:t>
            </w:r>
          </w:p>
        </w:tc>
      </w:tr>
      <w:tr w:rsidR="006229E9" w:rsidRPr="00B356C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C6A29CD" w14:textId="05ADCA60" w:rsidR="006229E9" w:rsidRPr="00B356CD" w:rsidRDefault="00C674A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r>
              <w:t>}}</w:t>
            </w:r>
          </w:p>
        </w:tc>
      </w:tr>
      <w:tr w:rsidR="004D73F5" w:rsidRPr="00B356CD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2D67806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14:paraId="6EB28F62" w14:textId="77777777"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D7EB545" w14:textId="77777777" w:rsidR="007B4685" w:rsidRDefault="007B4685" w:rsidP="006229E9"/>
        </w:tc>
      </w:tr>
      <w:tr w:rsidR="0077204A" w:rsidRPr="00B356CD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0F4ECD66" w14:textId="77777777" w:rsidR="0077204A" w:rsidRDefault="0077204A" w:rsidP="006229E9"/>
        </w:tc>
      </w:tr>
      <w:tr w:rsidR="0077204A" w:rsidRPr="00B356CD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36B2663C" w14:textId="77777777" w:rsidR="002B23E3" w:rsidRDefault="002B23E3" w:rsidP="006229E9"/>
        </w:tc>
      </w:tr>
    </w:tbl>
    <w:p w14:paraId="71391191" w14:textId="77777777"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14:paraId="3563D05A" w14:textId="77777777" w:rsidR="004D082F" w:rsidRPr="001A7B9C" w:rsidRDefault="0051393C" w:rsidP="00EE4F09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proofErr w:type="gramStart"/>
      <w:r w:rsidRPr="000A640B">
        <w:rPr>
          <w:color w:val="00B050"/>
        </w:rPr>
        <w:t>options.atoms</w:t>
      </w:r>
      <w:proofErr w:type="gramEnd"/>
      <w:r w:rsidRPr="000A640B">
        <w:rPr>
          <w:color w:val="00B050"/>
        </w:rPr>
        <w:t>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and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23D8CF5E" w14:textId="77777777" w:rsidTr="0071088E">
        <w:tc>
          <w:tcPr>
            <w:tcW w:w="1271" w:type="dxa"/>
            <w:vAlign w:val="center"/>
          </w:tcPr>
          <w:p w14:paraId="513CDD18" w14:textId="77777777"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26FAB7BD" w14:textId="77777777"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7B679537" w14:textId="77777777"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4FD44ABA" w14:textId="77777777"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1E43A334" w14:textId="77777777" w:rsidR="00F43CA8" w:rsidRDefault="00F43CA8" w:rsidP="00F43CA8">
            <w:proofErr w:type="spellStart"/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71088E" w:rsidRPr="001A7B9C" w14:paraId="364F9406" w14:textId="77777777" w:rsidTr="0071088E">
        <w:tc>
          <w:tcPr>
            <w:tcW w:w="1271" w:type="dxa"/>
          </w:tcPr>
          <w:p w14:paraId="4F981BF2" w14:textId="77777777"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14:paraId="1974E1BE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404ECCC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3BFD1F7B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78AD958F" w14:textId="77777777" w:rsidR="00F43CA8" w:rsidRPr="001A7B9C" w:rsidRDefault="00F43CA8" w:rsidP="00F43CA8">
            <w:pPr>
              <w:pStyle w:val="fliesstext"/>
            </w:pPr>
          </w:p>
        </w:tc>
      </w:tr>
      <w:tr w:rsidR="0071088E" w:rsidRPr="001A7B9C" w14:paraId="516F7D18" w14:textId="77777777" w:rsidTr="0071088E">
        <w:tc>
          <w:tcPr>
            <w:tcW w:w="1271" w:type="dxa"/>
          </w:tcPr>
          <w:p w14:paraId="25EE746F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14:paraId="47F5A063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3516DC8B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14:paraId="49178D86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279D1D08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14:paraId="1BF3E529" w14:textId="77777777" w:rsidTr="0071088E">
        <w:tc>
          <w:tcPr>
            <w:tcW w:w="1271" w:type="dxa"/>
          </w:tcPr>
          <w:p w14:paraId="3D1EDC9B" w14:textId="77777777"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14:paraId="64020CC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DB24D9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7C58A03A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6F07DE9B" w14:textId="77777777" w:rsidR="00F43CA8" w:rsidRPr="001A7B9C" w:rsidRDefault="00F43CA8" w:rsidP="00F43CA8">
            <w:pPr>
              <w:pStyle w:val="fliesstext"/>
            </w:pPr>
          </w:p>
        </w:tc>
      </w:tr>
    </w:tbl>
    <w:p w14:paraId="76AB0B51" w14:textId="77777777"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14:paraId="1ADE0FD3" w14:textId="77777777"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and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14:paraId="63F3D333" w14:textId="77777777" w:rsidTr="00C02FE9">
        <w:tc>
          <w:tcPr>
            <w:tcW w:w="2098" w:type="dxa"/>
          </w:tcPr>
          <w:p w14:paraId="2C8A3186" w14:textId="77777777"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14:paraId="4C9AA68A" w14:textId="77777777" w:rsidR="007D42BA" w:rsidRDefault="007D42BA" w:rsidP="00B36B5A"/>
        </w:tc>
      </w:tr>
      <w:tr w:rsidR="007D42BA" w14:paraId="574E59F6" w14:textId="77777777" w:rsidTr="00C02FE9">
        <w:tc>
          <w:tcPr>
            <w:tcW w:w="2098" w:type="dxa"/>
          </w:tcPr>
          <w:p w14:paraId="1BFA27EB" w14:textId="77777777"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14:paraId="66DA146C" w14:textId="77777777"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14:paraId="58DA77EC" w14:textId="77777777" w:rsidTr="00C02FE9">
        <w:tc>
          <w:tcPr>
            <w:tcW w:w="2098" w:type="dxa"/>
          </w:tcPr>
          <w:p w14:paraId="73DE0D54" w14:textId="77777777"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28B23CFD" w14:textId="77777777" w:rsidR="007D42BA" w:rsidRDefault="007D42BA" w:rsidP="00B36B5A"/>
        </w:tc>
      </w:tr>
      <w:tr w:rsidR="007D42BA" w14:paraId="353469DF" w14:textId="77777777" w:rsidTr="00C02FE9">
        <w:tc>
          <w:tcPr>
            <w:tcW w:w="2098" w:type="dxa"/>
          </w:tcPr>
          <w:p w14:paraId="5037738C" w14:textId="77777777" w:rsidR="007D42BA" w:rsidRDefault="007D42BA" w:rsidP="00B36B5A"/>
        </w:tc>
        <w:tc>
          <w:tcPr>
            <w:tcW w:w="1417" w:type="dxa"/>
          </w:tcPr>
          <w:p w14:paraId="7A58A164" w14:textId="77777777" w:rsidR="007D42BA" w:rsidRDefault="007D42BA" w:rsidP="00B36B5A"/>
        </w:tc>
      </w:tr>
      <w:tr w:rsidR="00A96174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Default="00A96174" w:rsidP="00A96174"/>
        </w:tc>
      </w:tr>
      <w:tr w:rsidR="00A96174" w14:paraId="65529885" w14:textId="77777777" w:rsidTr="00C02FE9">
        <w:tc>
          <w:tcPr>
            <w:tcW w:w="2098" w:type="dxa"/>
          </w:tcPr>
          <w:p w14:paraId="231F50D1" w14:textId="77777777"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14:paraId="036C1AF3" w14:textId="77777777"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14:paraId="5B0C7A18" w14:textId="77777777" w:rsidTr="00C02FE9">
        <w:tc>
          <w:tcPr>
            <w:tcW w:w="2098" w:type="dxa"/>
          </w:tcPr>
          <w:p w14:paraId="2CB201A8" w14:textId="77777777"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43F64D9E" w14:textId="77777777" w:rsidR="00A96174" w:rsidRDefault="00A96174" w:rsidP="00A96174"/>
        </w:tc>
      </w:tr>
    </w:tbl>
    <w:p w14:paraId="08B4C071" w14:textId="77777777"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14:paraId="19475ABD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</w:t>
      </w:r>
      <w:proofErr w:type="gramEnd"/>
      <w:r w:rsidR="00D2606E" w:rsidRPr="00D2606E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14:paraId="6170B42A" w14:textId="77777777"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14:paraId="3BBC8F3E" w14:textId="77777777"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14:paraId="4BD00B26" w14:textId="77777777"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14:paraId="073B8728" w14:textId="77777777" w:rsidTr="008F3643">
        <w:tc>
          <w:tcPr>
            <w:tcW w:w="2381" w:type="dxa"/>
          </w:tcPr>
          <w:p w14:paraId="5854AB7A" w14:textId="77777777"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14:paraId="4343485A" w14:textId="77777777" w:rsidR="008F3643" w:rsidRDefault="008F3643" w:rsidP="008F3643"/>
        </w:tc>
      </w:tr>
      <w:tr w:rsidR="008F3643" w14:paraId="2764C399" w14:textId="77777777" w:rsidTr="008F3643">
        <w:tc>
          <w:tcPr>
            <w:tcW w:w="2381" w:type="dxa"/>
          </w:tcPr>
          <w:p w14:paraId="11BCB092" w14:textId="77777777"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14:paraId="0ECE9CDF" w14:textId="77777777"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14:paraId="6AF10562" w14:textId="77777777" w:rsidTr="008F3643">
        <w:tc>
          <w:tcPr>
            <w:tcW w:w="2381" w:type="dxa"/>
          </w:tcPr>
          <w:p w14:paraId="5FB07AFA" w14:textId="77777777"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14:paraId="106AC415" w14:textId="77777777" w:rsidR="008F3643" w:rsidRDefault="008F3643" w:rsidP="008F3643"/>
        </w:tc>
      </w:tr>
    </w:tbl>
    <w:p w14:paraId="3B6883CD" w14:textId="77777777"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14:paraId="33952B69" w14:textId="77777777" w:rsidR="00A2449C" w:rsidRDefault="00066F61" w:rsidP="00932F7E">
      <w:pPr>
        <w:rPr>
          <w:color w:val="FF0000"/>
          <w:sz w:val="18"/>
          <w:szCs w:val="26"/>
        </w:r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</w:t>
      </w:r>
      <w:proofErr w:type="gramEnd"/>
      <w:r w:rsidR="007931BD" w:rsidRPr="007931BD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14:paraId="7CAF301C" w14:textId="77777777" w:rsidR="00DF0004" w:rsidRDefault="00DF0004" w:rsidP="00932F7E">
      <w:pPr>
        <w:rPr>
          <w:color w:val="FF0000"/>
          <w:sz w:val="18"/>
          <w:szCs w:val="26"/>
        </w:rPr>
      </w:pPr>
    </w:p>
    <w:p w14:paraId="67D5A19F" w14:textId="77777777"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r w:rsidR="008323CF">
        <w:rPr>
          <w:color w:val="FFC000"/>
        </w:rPr>
        <w:t xml:space="preserve">and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14:paraId="4C54A736" w14:textId="77777777"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14:paraId="04D6DB4B" w14:textId="77777777" w:rsidTr="005A6238">
        <w:tc>
          <w:tcPr>
            <w:tcW w:w="2268" w:type="dxa"/>
          </w:tcPr>
          <w:p w14:paraId="0DBE8699" w14:textId="77777777"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14:paraId="613E56A0" w14:textId="77777777" w:rsidR="004D29A2" w:rsidRDefault="004D29A2" w:rsidP="004D29A2"/>
        </w:tc>
        <w:tc>
          <w:tcPr>
            <w:tcW w:w="1417" w:type="dxa"/>
          </w:tcPr>
          <w:p w14:paraId="2F8E170F" w14:textId="77777777" w:rsidR="004D29A2" w:rsidRDefault="004D29A2" w:rsidP="004D29A2"/>
        </w:tc>
        <w:tc>
          <w:tcPr>
            <w:tcW w:w="1417" w:type="dxa"/>
          </w:tcPr>
          <w:p w14:paraId="7917799B" w14:textId="77777777" w:rsidR="004D29A2" w:rsidRDefault="004D29A2" w:rsidP="004D29A2"/>
        </w:tc>
        <w:tc>
          <w:tcPr>
            <w:tcW w:w="1417" w:type="dxa"/>
          </w:tcPr>
          <w:p w14:paraId="14A12360" w14:textId="77777777" w:rsidR="004D29A2" w:rsidRDefault="004D29A2" w:rsidP="004D29A2"/>
        </w:tc>
      </w:tr>
      <w:tr w:rsidR="004B78E9" w14:paraId="007BD2C5" w14:textId="77777777" w:rsidTr="005A6238">
        <w:tc>
          <w:tcPr>
            <w:tcW w:w="2268" w:type="dxa"/>
          </w:tcPr>
          <w:p w14:paraId="41A76F50" w14:textId="77777777"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14:paraId="4F662A33" w14:textId="77777777"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D6DD413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96DA5CF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E7EC5ED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14:paraId="408851D9" w14:textId="77777777" w:rsidTr="005A6238">
        <w:tc>
          <w:tcPr>
            <w:tcW w:w="2268" w:type="dxa"/>
          </w:tcPr>
          <w:p w14:paraId="29516F7D" w14:textId="77777777"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342ED06D" w14:textId="77777777" w:rsidR="004B78E9" w:rsidRDefault="004B78E9" w:rsidP="004B78E9"/>
        </w:tc>
        <w:tc>
          <w:tcPr>
            <w:tcW w:w="1417" w:type="dxa"/>
          </w:tcPr>
          <w:p w14:paraId="02FEA58E" w14:textId="77777777" w:rsidR="004B78E9" w:rsidRDefault="004B78E9" w:rsidP="004B78E9"/>
        </w:tc>
        <w:tc>
          <w:tcPr>
            <w:tcW w:w="1417" w:type="dxa"/>
          </w:tcPr>
          <w:p w14:paraId="7E21DA0A" w14:textId="77777777" w:rsidR="004B78E9" w:rsidRDefault="004B78E9" w:rsidP="004B78E9"/>
        </w:tc>
        <w:tc>
          <w:tcPr>
            <w:tcW w:w="1417" w:type="dxa"/>
          </w:tcPr>
          <w:p w14:paraId="73B6A296" w14:textId="77777777" w:rsidR="004B78E9" w:rsidRDefault="004B78E9" w:rsidP="004B78E9"/>
        </w:tc>
      </w:tr>
    </w:tbl>
    <w:p w14:paraId="48B8C753" w14:textId="77777777" w:rsidR="00AA33EB" w:rsidRDefault="00523921" w:rsidP="004D29A2">
      <w:pPr>
        <w:rPr>
          <w:szCs w:val="28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proofErr w:type="spellStart"/>
      <w:r>
        <w:t>Bibliography</w:t>
      </w:r>
      <w:proofErr w:type="spellEnd"/>
    </w:p>
    <w:p w14:paraId="32AA7543" w14:textId="2D0709B9" w:rsidR="00210C7F" w:rsidRDefault="00AA33EB" w:rsidP="00370C19">
      <w:pPr>
        <w:pStyle w:val="citation1"/>
      </w:pPr>
      <w:r>
        <w:t>{{</w:t>
      </w:r>
      <w:proofErr w:type="spellStart"/>
      <w:proofErr w:type="gramStart"/>
      <w:r w:rsidR="00601712">
        <w:t>literature.integration</w:t>
      </w:r>
      <w:proofErr w:type="gramEnd"/>
      <w:r w:rsidR="00744833" w:rsidRPr="00744833">
        <w:t>.richtext</w:t>
      </w:r>
      <w:proofErr w:type="spellEnd"/>
      <w:r>
        <w:t>}}</w:t>
      </w:r>
      <w:r w:rsidR="00BE3CA9">
        <w:t xml:space="preserve"> </w:t>
      </w:r>
    </w:p>
    <w:p w14:paraId="50616A46" w14:textId="65BC2CB9" w:rsidR="00601712" w:rsidRPr="00AA33EB" w:rsidRDefault="00601712" w:rsidP="00601712">
      <w:pPr>
        <w:pStyle w:val="citation1"/>
      </w:pPr>
      <w:r>
        <w:t>{{</w:t>
      </w:r>
      <w:proofErr w:type="spellStart"/>
      <w:proofErr w:type="gramStart"/>
      <w:r>
        <w:t>literature.absorption</w:t>
      </w:r>
      <w:proofErr w:type="gramEnd"/>
      <w:r w:rsidR="00744833" w:rsidRPr="00744833">
        <w:t>.richtext</w:t>
      </w:r>
      <w:proofErr w:type="spellEnd"/>
      <w:r>
        <w:t>}}</w:t>
      </w:r>
    </w:p>
    <w:p w14:paraId="4436DE97" w14:textId="08B8CE28" w:rsidR="00601712" w:rsidRPr="00AA33EB" w:rsidRDefault="00601712" w:rsidP="00601712">
      <w:pPr>
        <w:pStyle w:val="citation1"/>
      </w:pPr>
      <w:r>
        <w:t>{{</w:t>
      </w:r>
      <w:proofErr w:type="spellStart"/>
      <w:proofErr w:type="gramStart"/>
      <w:r>
        <w:t>literature.</w:t>
      </w:r>
      <w:r w:rsidR="0036549F">
        <w:t>solution</w:t>
      </w:r>
      <w:proofErr w:type="gramEnd"/>
      <w:r w:rsidR="00744833" w:rsidRPr="00744833">
        <w:t>.richtext</w:t>
      </w:r>
      <w:proofErr w:type="spellEnd"/>
      <w:r>
        <w:t>}}</w:t>
      </w:r>
    </w:p>
    <w:p w14:paraId="0806148F" w14:textId="3A32C39F" w:rsidR="0036549F" w:rsidRDefault="0036549F" w:rsidP="0036549F">
      <w:pPr>
        <w:pStyle w:val="citation1"/>
      </w:pPr>
      <w:r>
        <w:t>{{</w:t>
      </w:r>
      <w:proofErr w:type="spellStart"/>
      <w:proofErr w:type="gramStart"/>
      <w:r>
        <w:t>literature.refinement</w:t>
      </w:r>
      <w:proofErr w:type="gramEnd"/>
      <w:r w:rsidR="00744833" w:rsidRPr="00744833">
        <w:t>.richtext</w:t>
      </w:r>
      <w:proofErr w:type="spellEnd"/>
      <w:r>
        <w:t>}}</w:t>
      </w:r>
    </w:p>
    <w:p w14:paraId="6C4F7349" w14:textId="2EB83698" w:rsidR="0036549F" w:rsidRPr="00AA33EB" w:rsidRDefault="0036549F" w:rsidP="0036549F">
      <w:pPr>
        <w:pStyle w:val="citation1"/>
      </w:pPr>
      <w:r>
        <w:t>{{</w:t>
      </w:r>
      <w:proofErr w:type="spellStart"/>
      <w:proofErr w:type="gramStart"/>
      <w:r>
        <w:t>literature.ccdc</w:t>
      </w:r>
      <w:proofErr w:type="gramEnd"/>
      <w:r w:rsidR="00744833" w:rsidRPr="00744833">
        <w:t>.richtext</w:t>
      </w:r>
      <w:proofErr w:type="spellEnd"/>
      <w:r>
        <w:t>}}</w:t>
      </w:r>
    </w:p>
    <w:p w14:paraId="3F06A058" w14:textId="1E29DBBF" w:rsidR="0036549F" w:rsidRPr="00AA33EB" w:rsidRDefault="0036549F" w:rsidP="0036549F">
      <w:pPr>
        <w:pStyle w:val="citation1"/>
      </w:pPr>
      <w:r>
        <w:t>{{</w:t>
      </w:r>
      <w:proofErr w:type="spellStart"/>
      <w:proofErr w:type="gramStart"/>
      <w:r>
        <w:t>literature.finalcif</w:t>
      </w:r>
      <w:proofErr w:type="gramEnd"/>
      <w:r w:rsidR="00744833" w:rsidRPr="00744833">
        <w:t>.richtext</w:t>
      </w:r>
      <w:proofErr w:type="spellEnd"/>
      <w:r>
        <w:t>}}</w:t>
      </w:r>
    </w:p>
    <w:p w14:paraId="7C422E4D" w14:textId="77777777" w:rsidR="0036549F" w:rsidRPr="00AA33EB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AA33EB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AA33EB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0D87"/>
    <w:rsid w:val="000732C3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405A"/>
    <w:rsid w:val="000D5EE5"/>
    <w:rsid w:val="000D7B23"/>
    <w:rsid w:val="000E3B95"/>
    <w:rsid w:val="000F2966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F1D8D"/>
    <w:rsid w:val="00202C88"/>
    <w:rsid w:val="00203005"/>
    <w:rsid w:val="00210C7F"/>
    <w:rsid w:val="00212A8D"/>
    <w:rsid w:val="00216CAB"/>
    <w:rsid w:val="00216D11"/>
    <w:rsid w:val="00235B55"/>
    <w:rsid w:val="002369A6"/>
    <w:rsid w:val="0024478D"/>
    <w:rsid w:val="00270782"/>
    <w:rsid w:val="002806EF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162B6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52A0C"/>
    <w:rsid w:val="00654969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4833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875AE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A33EB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82337"/>
    <w:rsid w:val="00B9253E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674AC"/>
    <w:rsid w:val="00C70764"/>
    <w:rsid w:val="00C9266E"/>
    <w:rsid w:val="00CA5AB2"/>
    <w:rsid w:val="00CB0106"/>
    <w:rsid w:val="00CB17B0"/>
    <w:rsid w:val="00D04154"/>
    <w:rsid w:val="00D126AB"/>
    <w:rsid w:val="00D233C2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2C3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61E89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4DAC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728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2022-06-06T18:57:00Z</dcterms:modified>
</cp:coreProperties>
</file>