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C39C5" w14:textId="77777777" w:rsidR="008C2128" w:rsidRDefault="008C2128" w:rsidP="008C2128">
      <w:pPr>
        <w:autoSpaceDE w:val="0"/>
        <w:autoSpaceDN w:val="0"/>
        <w:adjustRightInd w:val="0"/>
        <w:rPr>
          <w:rFonts w:ascii="Verdana" w:hAnsi="Verdana" w:cs="Verdana"/>
          <w:b/>
          <w:bCs/>
          <w:color w:val="262626"/>
          <w:sz w:val="28"/>
          <w:szCs w:val="28"/>
          <w:lang w:val="en-GB"/>
        </w:rPr>
      </w:pPr>
      <w:r>
        <w:rPr>
          <w:rFonts w:ascii="Verdana" w:hAnsi="Verdana"/>
          <w:lang w:val="en-GB"/>
        </w:rPr>
        <w:fldChar w:fldCharType="begin"/>
      </w:r>
      <w:r>
        <w:rPr>
          <w:rFonts w:ascii="Verdana" w:hAnsi="Verdana"/>
          <w:lang w:val="en-GB"/>
        </w:rPr>
        <w:instrText>HYPERLINK "https://fred.stlouisfed.org/series/GDP"</w:instrText>
      </w:r>
      <w:r>
        <w:rPr>
          <w:rFonts w:ascii="Verdana" w:hAnsi="Verdana"/>
          <w:lang w:val="en-GB"/>
        </w:rPr>
      </w:r>
      <w:r>
        <w:rPr>
          <w:rFonts w:ascii="Verdana" w:hAnsi="Verdana"/>
          <w:lang w:val="en-GB"/>
        </w:rPr>
        <w:fldChar w:fldCharType="separate"/>
      </w:r>
      <w:r>
        <w:rPr>
          <w:rFonts w:ascii="Verdana" w:hAnsi="Verdana" w:cs="Verdana"/>
          <w:b/>
          <w:bCs/>
          <w:color w:val="262626"/>
          <w:sz w:val="28"/>
          <w:szCs w:val="28"/>
          <w:lang w:val="en-GB"/>
        </w:rPr>
        <w:t xml:space="preserve">Gross Domestic </w:t>
      </w:r>
      <w:proofErr w:type="gramStart"/>
      <w:r>
        <w:rPr>
          <w:rFonts w:ascii="Verdana" w:hAnsi="Verdana" w:cs="Verdana"/>
          <w:b/>
          <w:bCs/>
          <w:color w:val="262626"/>
          <w:sz w:val="28"/>
          <w:szCs w:val="28"/>
          <w:lang w:val="en-GB"/>
        </w:rPr>
        <w:t>Product </w:t>
      </w:r>
      <w:r>
        <w:rPr>
          <w:rFonts w:ascii="Verdana" w:hAnsi="Verdana" w:cs="Verdana"/>
          <w:b/>
          <w:bCs/>
          <w:color w:val="2C4C88"/>
          <w:sz w:val="28"/>
          <w:szCs w:val="28"/>
          <w:lang w:val="en-GB"/>
        </w:rPr>
        <w:t> (</w:t>
      </w:r>
      <w:proofErr w:type="gramEnd"/>
      <w:r>
        <w:rPr>
          <w:rFonts w:ascii="Verdana" w:hAnsi="Verdana" w:cs="Verdana"/>
          <w:b/>
          <w:bCs/>
          <w:color w:val="2C4C88"/>
          <w:sz w:val="28"/>
          <w:szCs w:val="28"/>
          <w:lang w:val="en-GB"/>
        </w:rPr>
        <w:t>GDP)</w:t>
      </w:r>
      <w:r>
        <w:rPr>
          <w:rFonts w:ascii="Verdana" w:hAnsi="Verdana"/>
          <w:lang w:val="en-GB"/>
        </w:rPr>
        <w:fldChar w:fldCharType="end"/>
      </w:r>
    </w:p>
    <w:p w14:paraId="49812663" w14:textId="77777777" w:rsidR="008C2128" w:rsidRDefault="008C2128" w:rsidP="008C2128">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Source:</w:t>
      </w:r>
      <w:r>
        <w:rPr>
          <w:rFonts w:ascii="Verdana" w:hAnsi="Verdana" w:cs="Verdana"/>
          <w:color w:val="262626"/>
          <w:lang w:val="en-GB"/>
        </w:rPr>
        <w:t> </w:t>
      </w:r>
      <w:hyperlink r:id="rId4" w:history="1">
        <w:r>
          <w:rPr>
            <w:rFonts w:ascii="Verdana" w:hAnsi="Verdana" w:cs="Verdana"/>
            <w:color w:val="2C4C88"/>
            <w:lang w:val="en-GB"/>
          </w:rPr>
          <w:t>U.S. Bureau of Economic Analysis </w:t>
        </w:r>
      </w:hyperlink>
      <w:r>
        <w:rPr>
          <w:rFonts w:ascii="Verdana" w:hAnsi="Verdana" w:cs="Verdana"/>
          <w:color w:val="262626"/>
          <w:lang w:val="en-GB"/>
        </w:rPr>
        <w:t> </w:t>
      </w:r>
    </w:p>
    <w:p w14:paraId="7AAA8C69" w14:textId="77777777" w:rsidR="008C2128" w:rsidRDefault="008C2128" w:rsidP="008C2128">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Release:</w:t>
      </w:r>
      <w:r>
        <w:rPr>
          <w:rFonts w:ascii="Verdana" w:hAnsi="Verdana" w:cs="Verdana"/>
          <w:color w:val="262626"/>
          <w:lang w:val="en-GB"/>
        </w:rPr>
        <w:t> </w:t>
      </w:r>
      <w:hyperlink r:id="rId5" w:history="1">
        <w:r>
          <w:rPr>
            <w:rFonts w:ascii="Verdana" w:hAnsi="Verdana" w:cs="Verdana"/>
            <w:color w:val="2C4C88"/>
            <w:lang w:val="en-GB"/>
          </w:rPr>
          <w:t>Gross Domestic Product </w:t>
        </w:r>
      </w:hyperlink>
      <w:r>
        <w:rPr>
          <w:rFonts w:ascii="Verdana" w:hAnsi="Verdana" w:cs="Verdana"/>
          <w:color w:val="262626"/>
          <w:lang w:val="en-GB"/>
        </w:rPr>
        <w:t> </w:t>
      </w:r>
    </w:p>
    <w:p w14:paraId="7BD9A049" w14:textId="77777777" w:rsidR="008C2128" w:rsidRDefault="008C2128" w:rsidP="008C2128">
      <w:pPr>
        <w:autoSpaceDE w:val="0"/>
        <w:autoSpaceDN w:val="0"/>
        <w:adjustRightInd w:val="0"/>
        <w:rPr>
          <w:rFonts w:ascii="Verdana" w:hAnsi="Verdana" w:cs="Verdana"/>
          <w:color w:val="262626"/>
          <w:lang w:val="en-GB"/>
        </w:rPr>
      </w:pPr>
    </w:p>
    <w:p w14:paraId="66E7125E" w14:textId="77777777" w:rsidR="008C2128" w:rsidRDefault="008C2128" w:rsidP="008C2128">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Units:</w:t>
      </w:r>
      <w:r>
        <w:rPr>
          <w:rFonts w:ascii="Verdana" w:hAnsi="Verdana" w:cs="Verdana"/>
          <w:color w:val="262626"/>
          <w:lang w:val="en-GB"/>
        </w:rPr>
        <w:t>  </w:t>
      </w:r>
      <w:r>
        <w:rPr>
          <w:rFonts w:ascii="Verdana" w:hAnsi="Verdana" w:cs="Verdana"/>
          <w:color w:val="535353"/>
          <w:lang w:val="en-GB"/>
        </w:rPr>
        <w:t>Billions of Dollars, Seasonally Adjusted Annual Rate</w:t>
      </w:r>
    </w:p>
    <w:p w14:paraId="49B8981C" w14:textId="77777777" w:rsidR="008C2128" w:rsidRDefault="008C2128" w:rsidP="008C2128">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Frequency:</w:t>
      </w:r>
      <w:r>
        <w:rPr>
          <w:rFonts w:ascii="Verdana" w:hAnsi="Verdana" w:cs="Verdana"/>
          <w:color w:val="262626"/>
          <w:lang w:val="en-GB"/>
        </w:rPr>
        <w:t>  </w:t>
      </w:r>
      <w:r>
        <w:rPr>
          <w:rFonts w:ascii="Verdana" w:hAnsi="Verdana" w:cs="Verdana"/>
          <w:color w:val="535353"/>
          <w:lang w:val="en-GB"/>
        </w:rPr>
        <w:t>Quarterly</w:t>
      </w:r>
    </w:p>
    <w:p w14:paraId="49B03C98" w14:textId="77777777" w:rsidR="008C2128" w:rsidRDefault="008C2128" w:rsidP="008C2128">
      <w:pPr>
        <w:autoSpaceDE w:val="0"/>
        <w:autoSpaceDN w:val="0"/>
        <w:adjustRightInd w:val="0"/>
        <w:spacing w:after="120"/>
        <w:rPr>
          <w:rFonts w:ascii="Verdana" w:hAnsi="Verdana" w:cs="Verdana"/>
          <w:color w:val="262626"/>
          <w:lang w:val="en-GB"/>
        </w:rPr>
      </w:pPr>
      <w:r>
        <w:rPr>
          <w:rFonts w:ascii="Verdana" w:hAnsi="Verdana" w:cs="Verdana"/>
          <w:color w:val="262626"/>
          <w:lang w:val="en-GB"/>
        </w:rPr>
        <w:t>BEA Account Code: A191RC</w:t>
      </w:r>
      <w:r>
        <w:rPr>
          <w:rFonts w:ascii="MS Gothic" w:eastAsia="MS Gothic" w:hAnsi="MS Gothic" w:cs="MS Gothic" w:hint="eastAsia"/>
          <w:color w:val="262626"/>
          <w:lang w:val="en-GB"/>
        </w:rPr>
        <w:t>  </w:t>
      </w:r>
      <w:r>
        <w:rPr>
          <w:rFonts w:ascii="Verdana" w:hAnsi="Verdana" w:cs="Verdana"/>
          <w:color w:val="262626"/>
          <w:lang w:val="en-GB"/>
        </w:rPr>
        <w:t xml:space="preserve">Gross domestic product (GDP), the featured measure of U.S. output, is the market value of the goods and services produced by </w:t>
      </w:r>
      <w:proofErr w:type="spellStart"/>
      <w:r>
        <w:rPr>
          <w:rFonts w:ascii="Verdana" w:hAnsi="Verdana" w:cs="Verdana"/>
          <w:color w:val="262626"/>
          <w:lang w:val="en-GB"/>
        </w:rPr>
        <w:t>labor</w:t>
      </w:r>
      <w:proofErr w:type="spellEnd"/>
      <w:r>
        <w:rPr>
          <w:rFonts w:ascii="Verdana" w:hAnsi="Verdana" w:cs="Verdana"/>
          <w:color w:val="262626"/>
          <w:lang w:val="en-GB"/>
        </w:rPr>
        <w:t xml:space="preserve"> and property located in the United </w:t>
      </w:r>
      <w:proofErr w:type="spellStart"/>
      <w:r>
        <w:rPr>
          <w:rFonts w:ascii="Verdana" w:hAnsi="Verdana" w:cs="Verdana"/>
          <w:color w:val="262626"/>
          <w:lang w:val="en-GB"/>
        </w:rPr>
        <w:t>States.For</w:t>
      </w:r>
      <w:proofErr w:type="spellEnd"/>
      <w:r>
        <w:rPr>
          <w:rFonts w:ascii="Verdana" w:hAnsi="Verdana" w:cs="Verdana"/>
          <w:color w:val="262626"/>
          <w:lang w:val="en-GB"/>
        </w:rPr>
        <w:t xml:space="preserve"> more information, see the Guide to the National Income and Product Accounts of the United States (NIPA) and the </w:t>
      </w:r>
      <w:hyperlink r:id="rId6" w:history="1">
        <w:r>
          <w:rPr>
            <w:rFonts w:ascii="Verdana" w:hAnsi="Verdana" w:cs="Verdana"/>
            <w:color w:val="2C4C88"/>
            <w:lang w:val="en-GB"/>
          </w:rPr>
          <w:t>Bureau of Economic Analysis</w:t>
        </w:r>
      </w:hyperlink>
      <w:r>
        <w:rPr>
          <w:rFonts w:ascii="Verdana" w:hAnsi="Verdana" w:cs="Verdana"/>
          <w:color w:val="262626"/>
          <w:lang w:val="en-GB"/>
        </w:rPr>
        <w:t>.</w:t>
      </w:r>
    </w:p>
    <w:p w14:paraId="09116592" w14:textId="77777777" w:rsidR="008C2128" w:rsidRDefault="008C2128" w:rsidP="008C2128">
      <w:pPr>
        <w:autoSpaceDE w:val="0"/>
        <w:autoSpaceDN w:val="0"/>
        <w:adjustRightInd w:val="0"/>
        <w:rPr>
          <w:rFonts w:ascii="Verdana" w:hAnsi="Verdana" w:cs="Verdana"/>
          <w:b/>
          <w:bCs/>
          <w:color w:val="262626"/>
          <w:lang w:val="en-GB"/>
        </w:rPr>
      </w:pPr>
      <w:r>
        <w:rPr>
          <w:rFonts w:ascii="Verdana" w:hAnsi="Verdana" w:cs="Verdana"/>
          <w:b/>
          <w:bCs/>
          <w:color w:val="262626"/>
          <w:lang w:val="en-GB"/>
        </w:rPr>
        <w:t>Suggested Citation:</w:t>
      </w:r>
    </w:p>
    <w:p w14:paraId="7B72370D" w14:textId="77777777" w:rsidR="008C2128" w:rsidRDefault="008C2128" w:rsidP="008C2128">
      <w:pPr>
        <w:autoSpaceDE w:val="0"/>
        <w:autoSpaceDN w:val="0"/>
        <w:adjustRightInd w:val="0"/>
        <w:spacing w:after="120"/>
        <w:rPr>
          <w:rFonts w:ascii="Verdana" w:hAnsi="Verdana" w:cs="Verdana"/>
          <w:color w:val="262626"/>
          <w:lang w:val="en-GB"/>
        </w:rPr>
      </w:pPr>
      <w:r>
        <w:rPr>
          <w:rFonts w:ascii="Verdana" w:hAnsi="Verdana" w:cs="Verdana"/>
          <w:color w:val="262626"/>
          <w:lang w:val="en-GB"/>
        </w:rPr>
        <w:t>U.S. Bureau of Economic Analysis, Gross Domestic Product [GDP], retrieved from FRED, Federal Reserve Bank of St. Louis; https://fred.stlouisfed.org/series/GDP, May 16, 2024.</w:t>
      </w:r>
    </w:p>
    <w:p w14:paraId="67B6E395" w14:textId="77777777" w:rsidR="008C2128" w:rsidRDefault="008C2128" w:rsidP="008C2128">
      <w:pPr>
        <w:autoSpaceDE w:val="0"/>
        <w:autoSpaceDN w:val="0"/>
        <w:adjustRightInd w:val="0"/>
        <w:rPr>
          <w:rFonts w:ascii="Verdana" w:hAnsi="Verdana" w:cs="Verdana"/>
          <w:b/>
          <w:bCs/>
          <w:color w:val="262626"/>
          <w:sz w:val="28"/>
          <w:szCs w:val="28"/>
          <w:lang w:val="en-GB"/>
        </w:rPr>
      </w:pPr>
      <w:hyperlink r:id="rId7" w:history="1">
        <w:r>
          <w:rPr>
            <w:rFonts w:ascii="Verdana" w:hAnsi="Verdana" w:cs="Verdana"/>
            <w:b/>
            <w:bCs/>
            <w:color w:val="262626"/>
            <w:sz w:val="28"/>
            <w:szCs w:val="28"/>
            <w:lang w:val="en-GB"/>
          </w:rPr>
          <w:t xml:space="preserve">Consumer Price Index for All Urban Consumers: All Items in U.S. City </w:t>
        </w:r>
        <w:proofErr w:type="gramStart"/>
        <w:r>
          <w:rPr>
            <w:rFonts w:ascii="Verdana" w:hAnsi="Verdana" w:cs="Verdana"/>
            <w:b/>
            <w:bCs/>
            <w:color w:val="262626"/>
            <w:sz w:val="28"/>
            <w:szCs w:val="28"/>
            <w:lang w:val="en-GB"/>
          </w:rPr>
          <w:t>Average </w:t>
        </w:r>
        <w:r>
          <w:rPr>
            <w:rFonts w:ascii="Verdana" w:hAnsi="Verdana" w:cs="Verdana"/>
            <w:b/>
            <w:bCs/>
            <w:color w:val="2C4C88"/>
            <w:sz w:val="28"/>
            <w:szCs w:val="28"/>
            <w:lang w:val="en-GB"/>
          </w:rPr>
          <w:t> (</w:t>
        </w:r>
        <w:proofErr w:type="gramEnd"/>
        <w:r>
          <w:rPr>
            <w:rFonts w:ascii="Verdana" w:hAnsi="Verdana" w:cs="Verdana"/>
            <w:b/>
            <w:bCs/>
            <w:color w:val="2C4C88"/>
            <w:sz w:val="28"/>
            <w:szCs w:val="28"/>
            <w:lang w:val="en-GB"/>
          </w:rPr>
          <w:t>CPIAUCSL)</w:t>
        </w:r>
      </w:hyperlink>
    </w:p>
    <w:p w14:paraId="6E45C0B0" w14:textId="77777777" w:rsidR="008C2128" w:rsidRDefault="008C2128" w:rsidP="008C2128">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Source:</w:t>
      </w:r>
      <w:r>
        <w:rPr>
          <w:rFonts w:ascii="Verdana" w:hAnsi="Verdana" w:cs="Verdana"/>
          <w:color w:val="262626"/>
          <w:lang w:val="en-GB"/>
        </w:rPr>
        <w:t> </w:t>
      </w:r>
      <w:hyperlink r:id="rId8" w:history="1">
        <w:r>
          <w:rPr>
            <w:rFonts w:ascii="Verdana" w:hAnsi="Verdana" w:cs="Verdana"/>
            <w:color w:val="2C4C88"/>
            <w:lang w:val="en-GB"/>
          </w:rPr>
          <w:t xml:space="preserve">U.S. Bureau of </w:t>
        </w:r>
        <w:proofErr w:type="spellStart"/>
        <w:r>
          <w:rPr>
            <w:rFonts w:ascii="Verdana" w:hAnsi="Verdana" w:cs="Verdana"/>
            <w:color w:val="2C4C88"/>
            <w:lang w:val="en-GB"/>
          </w:rPr>
          <w:t>Labor</w:t>
        </w:r>
        <w:proofErr w:type="spellEnd"/>
        <w:r>
          <w:rPr>
            <w:rFonts w:ascii="Verdana" w:hAnsi="Verdana" w:cs="Verdana"/>
            <w:color w:val="2C4C88"/>
            <w:lang w:val="en-GB"/>
          </w:rPr>
          <w:t xml:space="preserve"> Statistics </w:t>
        </w:r>
      </w:hyperlink>
      <w:r>
        <w:rPr>
          <w:rFonts w:ascii="Verdana" w:hAnsi="Verdana" w:cs="Verdana"/>
          <w:color w:val="262626"/>
          <w:lang w:val="en-GB"/>
        </w:rPr>
        <w:t> </w:t>
      </w:r>
    </w:p>
    <w:p w14:paraId="04FE1FEB" w14:textId="77777777" w:rsidR="008C2128" w:rsidRDefault="008C2128" w:rsidP="008C2128">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Release:</w:t>
      </w:r>
      <w:r>
        <w:rPr>
          <w:rFonts w:ascii="Verdana" w:hAnsi="Verdana" w:cs="Verdana"/>
          <w:color w:val="262626"/>
          <w:lang w:val="en-GB"/>
        </w:rPr>
        <w:t> </w:t>
      </w:r>
      <w:hyperlink r:id="rId9" w:history="1">
        <w:r>
          <w:rPr>
            <w:rFonts w:ascii="Verdana" w:hAnsi="Verdana" w:cs="Verdana"/>
            <w:color w:val="2C4C88"/>
            <w:lang w:val="en-GB"/>
          </w:rPr>
          <w:t>Consumer Price Index </w:t>
        </w:r>
      </w:hyperlink>
      <w:r>
        <w:rPr>
          <w:rFonts w:ascii="Verdana" w:hAnsi="Verdana" w:cs="Verdana"/>
          <w:color w:val="262626"/>
          <w:lang w:val="en-GB"/>
        </w:rPr>
        <w:t> </w:t>
      </w:r>
    </w:p>
    <w:p w14:paraId="241B3724" w14:textId="77777777" w:rsidR="008C2128" w:rsidRDefault="008C2128" w:rsidP="008C2128">
      <w:pPr>
        <w:autoSpaceDE w:val="0"/>
        <w:autoSpaceDN w:val="0"/>
        <w:adjustRightInd w:val="0"/>
        <w:rPr>
          <w:rFonts w:ascii="Verdana" w:hAnsi="Verdana" w:cs="Verdana"/>
          <w:color w:val="262626"/>
          <w:lang w:val="en-GB"/>
        </w:rPr>
      </w:pPr>
    </w:p>
    <w:p w14:paraId="431F1F78" w14:textId="77777777" w:rsidR="008C2128" w:rsidRDefault="008C2128" w:rsidP="008C2128">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Units:</w:t>
      </w:r>
      <w:r>
        <w:rPr>
          <w:rFonts w:ascii="Verdana" w:hAnsi="Verdana" w:cs="Verdana"/>
          <w:color w:val="262626"/>
          <w:lang w:val="en-GB"/>
        </w:rPr>
        <w:t>  </w:t>
      </w:r>
      <w:r>
        <w:rPr>
          <w:rFonts w:ascii="Verdana" w:hAnsi="Verdana" w:cs="Verdana"/>
          <w:color w:val="535353"/>
          <w:lang w:val="en-GB"/>
        </w:rPr>
        <w:t>Index 1982-1984=100, Seasonally Adjusted</w:t>
      </w:r>
    </w:p>
    <w:p w14:paraId="1C070BB3" w14:textId="77777777" w:rsidR="008C2128" w:rsidRDefault="008C2128" w:rsidP="008C2128">
      <w:pPr>
        <w:autoSpaceDE w:val="0"/>
        <w:autoSpaceDN w:val="0"/>
        <w:adjustRightInd w:val="0"/>
        <w:spacing w:after="120"/>
        <w:rPr>
          <w:rFonts w:ascii="Verdana" w:hAnsi="Verdana" w:cs="Verdana"/>
          <w:color w:val="262626"/>
          <w:lang w:val="en-GB"/>
        </w:rPr>
      </w:pPr>
      <w:r>
        <w:rPr>
          <w:rFonts w:ascii="Verdana" w:hAnsi="Verdana" w:cs="Verdana"/>
          <w:b/>
          <w:bCs/>
          <w:color w:val="262626"/>
          <w:lang w:val="en-GB"/>
        </w:rPr>
        <w:t>Frequency:</w:t>
      </w:r>
      <w:r>
        <w:rPr>
          <w:rFonts w:ascii="Verdana" w:hAnsi="Verdana" w:cs="Verdana"/>
          <w:color w:val="262626"/>
          <w:lang w:val="en-GB"/>
        </w:rPr>
        <w:t>  </w:t>
      </w:r>
      <w:r>
        <w:rPr>
          <w:rFonts w:ascii="Verdana" w:hAnsi="Verdana" w:cs="Verdana"/>
          <w:color w:val="535353"/>
          <w:lang w:val="en-GB"/>
        </w:rPr>
        <w:t>Monthly</w:t>
      </w:r>
    </w:p>
    <w:p w14:paraId="555881FB" w14:textId="77777777" w:rsidR="008C2128" w:rsidRDefault="008C2128" w:rsidP="008C2128">
      <w:pPr>
        <w:autoSpaceDE w:val="0"/>
        <w:autoSpaceDN w:val="0"/>
        <w:adjustRightInd w:val="0"/>
        <w:spacing w:after="120"/>
        <w:rPr>
          <w:rFonts w:ascii="Verdana" w:hAnsi="Verdana" w:cs="Verdana"/>
          <w:color w:val="262626"/>
          <w:lang w:val="en-GB"/>
        </w:rPr>
      </w:pPr>
      <w:r>
        <w:rPr>
          <w:rFonts w:ascii="Verdana" w:hAnsi="Verdana" w:cs="Verdana"/>
          <w:color w:val="262626"/>
          <w:lang w:val="en-GB"/>
        </w:rPr>
        <w:t xml:space="preserve">The Consumer Price Index for All Urban Consumers: All Items (CPIAUCSL) is a price index of a basket of goods and services paid by urban consumers. Percent changes in the price index measure the inflation rate between any two time periods. The most common inflation metric is the percent change from one year ago. It can also represent the buying habits of urban consumers. This </w:t>
      </w:r>
      <w:proofErr w:type="gramStart"/>
      <w:r>
        <w:rPr>
          <w:rFonts w:ascii="Verdana" w:hAnsi="Verdana" w:cs="Verdana"/>
          <w:color w:val="262626"/>
          <w:lang w:val="en-GB"/>
        </w:rPr>
        <w:t>particular index</w:t>
      </w:r>
      <w:proofErr w:type="gramEnd"/>
      <w:r>
        <w:rPr>
          <w:rFonts w:ascii="Verdana" w:hAnsi="Verdana" w:cs="Verdana"/>
          <w:color w:val="262626"/>
          <w:lang w:val="en-GB"/>
        </w:rPr>
        <w:t xml:space="preserve"> includes roughly 88 percent of the total population, accounting for wage earners, clerical workers, technical workers, self-employed, short-term workers, unemployed, retirees, and those not in the </w:t>
      </w:r>
      <w:proofErr w:type="spellStart"/>
      <w:r>
        <w:rPr>
          <w:rFonts w:ascii="Verdana" w:hAnsi="Verdana" w:cs="Verdana"/>
          <w:color w:val="262626"/>
          <w:lang w:val="en-GB"/>
        </w:rPr>
        <w:t>labor</w:t>
      </w:r>
      <w:proofErr w:type="spellEnd"/>
      <w:r>
        <w:rPr>
          <w:rFonts w:ascii="Verdana" w:hAnsi="Verdana" w:cs="Verdana"/>
          <w:color w:val="262626"/>
          <w:lang w:val="en-GB"/>
        </w:rPr>
        <w:t xml:space="preserve"> force.</w:t>
      </w:r>
      <w:r>
        <w:rPr>
          <w:rFonts w:ascii="MS Gothic" w:eastAsia="MS Gothic" w:hAnsi="MS Gothic" w:cs="MS Gothic" w:hint="eastAsia"/>
          <w:color w:val="262626"/>
          <w:lang w:val="en-GB"/>
        </w:rPr>
        <w:t>  </w:t>
      </w:r>
      <w:r>
        <w:rPr>
          <w:rFonts w:ascii="Verdana" w:hAnsi="Verdana" w:cs="Verdana"/>
          <w:color w:val="262626"/>
          <w:lang w:val="en-GB"/>
        </w:rPr>
        <w:t xml:space="preserve">The CPIs are based on prices for food, clothing, shelter, and fuels; transportation fares; service fees (e.g., water and sewer service); and sales taxes. Prices are collected monthly from about 4,000 housing units and approximately 26,000 retail establishments across 87 urban areas. To calculate the index, price changes are averaged with weights representing their importance in the spending of the </w:t>
      </w:r>
      <w:proofErr w:type="gramStart"/>
      <w:r>
        <w:rPr>
          <w:rFonts w:ascii="Verdana" w:hAnsi="Verdana" w:cs="Verdana"/>
          <w:color w:val="262626"/>
          <w:lang w:val="en-GB"/>
        </w:rPr>
        <w:t>particular group</w:t>
      </w:r>
      <w:proofErr w:type="gramEnd"/>
      <w:r>
        <w:rPr>
          <w:rFonts w:ascii="Verdana" w:hAnsi="Verdana" w:cs="Verdana"/>
          <w:color w:val="262626"/>
          <w:lang w:val="en-GB"/>
        </w:rPr>
        <w:t xml:space="preserve">. The index measures price changes (as a percent change) from a predetermined reference date. In addition to the original unadjusted index distributed, the Bureau of </w:t>
      </w:r>
      <w:proofErr w:type="spellStart"/>
      <w:r>
        <w:rPr>
          <w:rFonts w:ascii="Verdana" w:hAnsi="Verdana" w:cs="Verdana"/>
          <w:color w:val="262626"/>
          <w:lang w:val="en-GB"/>
        </w:rPr>
        <w:t>Labor</w:t>
      </w:r>
      <w:proofErr w:type="spellEnd"/>
      <w:r>
        <w:rPr>
          <w:rFonts w:ascii="Verdana" w:hAnsi="Verdana" w:cs="Verdana"/>
          <w:color w:val="262626"/>
          <w:lang w:val="en-GB"/>
        </w:rPr>
        <w:t xml:space="preserve"> Statistics also releases a seasonally adjusted index. The unadjusted series reflects all factors that may influence a change in prices. However, it can be very useful to look at the seasonally adjusted CPI, which removes the effects of seasonal changes, such as weather, </w:t>
      </w:r>
      <w:r>
        <w:rPr>
          <w:rFonts w:ascii="Verdana" w:hAnsi="Verdana" w:cs="Verdana"/>
          <w:color w:val="262626"/>
          <w:lang w:val="en-GB"/>
        </w:rPr>
        <w:lastRenderedPageBreak/>
        <w:t>school year, production cycles, and holidays.</w:t>
      </w:r>
      <w:r>
        <w:rPr>
          <w:rFonts w:ascii="MS Gothic" w:eastAsia="MS Gothic" w:hAnsi="MS Gothic" w:cs="MS Gothic" w:hint="eastAsia"/>
          <w:color w:val="262626"/>
          <w:lang w:val="en-GB"/>
        </w:rPr>
        <w:t>  </w:t>
      </w:r>
      <w:r>
        <w:rPr>
          <w:rFonts w:ascii="Verdana" w:hAnsi="Verdana" w:cs="Verdana"/>
          <w:color w:val="262626"/>
          <w:lang w:val="en-GB"/>
        </w:rPr>
        <w:t>The CPI can be used to recognize periods of inflation and deflation. Significant increases in the CPI within a short time frame might indicate a period of inflation, and significant decreases in CPI within a short time frame might indicate a period of deflation. However, because the CPI includes volatile food and oil prices, it might not be a reliable measure of inflationary and deflationary periods. For a more accurate detection, the core CPI (</w:t>
      </w:r>
      <w:hyperlink r:id="rId10" w:history="1">
        <w:r>
          <w:rPr>
            <w:rFonts w:ascii="Verdana" w:hAnsi="Verdana" w:cs="Verdana"/>
            <w:color w:val="2C4C88"/>
            <w:lang w:val="en-GB"/>
          </w:rPr>
          <w:t>CPILFESL</w:t>
        </w:r>
      </w:hyperlink>
      <w:r>
        <w:rPr>
          <w:rFonts w:ascii="Verdana" w:hAnsi="Verdana" w:cs="Verdana"/>
          <w:color w:val="262626"/>
          <w:lang w:val="en-GB"/>
        </w:rPr>
        <w:t>) is often used. When using the CPI, please note that it is not applicable to all consumers and should not be used to determine relative living costs. Additionally, the CPI is a statistical measure vulnerable to sampling error since it is based on a sample of prices and not the complete average.</w:t>
      </w:r>
      <w:r>
        <w:rPr>
          <w:rFonts w:ascii="MS Gothic" w:eastAsia="MS Gothic" w:hAnsi="MS Gothic" w:cs="MS Gothic" w:hint="eastAsia"/>
          <w:color w:val="262626"/>
          <w:lang w:val="en-GB"/>
        </w:rPr>
        <w:t>  </w:t>
      </w:r>
      <w:r>
        <w:rPr>
          <w:rFonts w:ascii="Verdana" w:hAnsi="Verdana" w:cs="Verdana"/>
          <w:color w:val="262626"/>
          <w:lang w:val="en-GB"/>
        </w:rPr>
        <w:t>For more information on the consumer price indexes, see:</w:t>
      </w:r>
      <w:r>
        <w:rPr>
          <w:rFonts w:ascii="MS Gothic" w:eastAsia="MS Gothic" w:hAnsi="MS Gothic" w:cs="MS Gothic" w:hint="eastAsia"/>
          <w:color w:val="262626"/>
          <w:lang w:val="en-GB"/>
        </w:rPr>
        <w:t> </w:t>
      </w:r>
      <w:r>
        <w:rPr>
          <w:rFonts w:ascii="Verdana" w:hAnsi="Verdana" w:cs="Verdana"/>
          <w:color w:val="262626"/>
          <w:lang w:val="en-GB"/>
        </w:rPr>
        <w:t>Bureau of Economic Analysis. </w:t>
      </w:r>
      <w:hyperlink r:id="rId11" w:history="1">
        <w:r>
          <w:rPr>
            <w:rFonts w:ascii="Verdana" w:hAnsi="Verdana" w:cs="Verdana"/>
            <w:color w:val="2C4C88"/>
            <w:lang w:val="en-GB"/>
          </w:rPr>
          <w:t>"CPI Detailed Report."</w:t>
        </w:r>
      </w:hyperlink>
      <w:r>
        <w:rPr>
          <w:rFonts w:ascii="Verdana" w:hAnsi="Verdana" w:cs="Verdana"/>
          <w:color w:val="262626"/>
          <w:lang w:val="en-GB"/>
        </w:rPr>
        <w:t> 2013.</w:t>
      </w:r>
      <w:r>
        <w:rPr>
          <w:rFonts w:ascii="MS Gothic" w:eastAsia="MS Gothic" w:hAnsi="MS Gothic" w:cs="MS Gothic" w:hint="eastAsia"/>
          <w:color w:val="262626"/>
          <w:lang w:val="en-GB"/>
        </w:rPr>
        <w:t> </w:t>
      </w:r>
      <w:hyperlink r:id="rId12" w:history="1">
        <w:r>
          <w:rPr>
            <w:rFonts w:ascii="Verdana" w:hAnsi="Verdana" w:cs="Verdana"/>
            <w:color w:val="2C4C88"/>
            <w:lang w:val="en-GB"/>
          </w:rPr>
          <w:t>Handbook of Methods</w:t>
        </w:r>
      </w:hyperlink>
      <w:r>
        <w:rPr>
          <w:rFonts w:ascii="MS Gothic" w:eastAsia="MS Gothic" w:hAnsi="MS Gothic" w:cs="MS Gothic" w:hint="eastAsia"/>
          <w:color w:val="262626"/>
          <w:lang w:val="en-GB"/>
        </w:rPr>
        <w:t> </w:t>
      </w:r>
      <w:hyperlink r:id="rId13" w:history="1">
        <w:r>
          <w:rPr>
            <w:rFonts w:ascii="Verdana" w:hAnsi="Verdana" w:cs="Verdana"/>
            <w:color w:val="2C4C88"/>
            <w:lang w:val="en-GB"/>
          </w:rPr>
          <w:t>Understanding the CPI: Frequently Asked Questions</w:t>
        </w:r>
      </w:hyperlink>
    </w:p>
    <w:p w14:paraId="3F7F5D9D" w14:textId="77777777" w:rsidR="008C2128" w:rsidRDefault="008C2128" w:rsidP="008C2128">
      <w:pPr>
        <w:autoSpaceDE w:val="0"/>
        <w:autoSpaceDN w:val="0"/>
        <w:adjustRightInd w:val="0"/>
        <w:rPr>
          <w:rFonts w:ascii="Verdana" w:hAnsi="Verdana" w:cs="Verdana"/>
          <w:b/>
          <w:bCs/>
          <w:color w:val="262626"/>
          <w:lang w:val="en-GB"/>
        </w:rPr>
      </w:pPr>
      <w:r>
        <w:rPr>
          <w:rFonts w:ascii="Verdana" w:hAnsi="Verdana" w:cs="Verdana"/>
          <w:b/>
          <w:bCs/>
          <w:color w:val="262626"/>
          <w:lang w:val="en-GB"/>
        </w:rPr>
        <w:t>Suggested Citation:</w:t>
      </w:r>
    </w:p>
    <w:p w14:paraId="3EE23B7D" w14:textId="14372B4D" w:rsidR="008C2128" w:rsidRDefault="008C2128" w:rsidP="008C2128">
      <w:r>
        <w:rPr>
          <w:rFonts w:ascii="Verdana" w:hAnsi="Verdana" w:cs="Verdana"/>
          <w:color w:val="262626"/>
          <w:lang w:val="en-GB"/>
        </w:rPr>
        <w:t xml:space="preserve">U.S. Bureau of </w:t>
      </w:r>
      <w:proofErr w:type="spellStart"/>
      <w:r>
        <w:rPr>
          <w:rFonts w:ascii="Verdana" w:hAnsi="Verdana" w:cs="Verdana"/>
          <w:color w:val="262626"/>
          <w:lang w:val="en-GB"/>
        </w:rPr>
        <w:t>Labor</w:t>
      </w:r>
      <w:proofErr w:type="spellEnd"/>
      <w:r>
        <w:rPr>
          <w:rFonts w:ascii="Verdana" w:hAnsi="Verdana" w:cs="Verdana"/>
          <w:color w:val="262626"/>
          <w:lang w:val="en-GB"/>
        </w:rPr>
        <w:t xml:space="preserve"> Statistics, Consumer Price Index for All Urban Consumers: All Items in U.S. City Average [CPIAUCSL], retrieved from FRED, Federal Reserve Bank of St. Louis; https://fred.stlouisfed.org/series/CPIAUCSL, May 16, 2024.</w:t>
      </w:r>
    </w:p>
    <w:sectPr w:rsidR="008C2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28"/>
    <w:rsid w:val="008C2128"/>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0EF6E745"/>
  <w15:chartTrackingRefBased/>
  <w15:docId w15:val="{54413657-56AF-3E4A-B0CF-881E49EA3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 TargetMode="External"/><Relationship Id="rId13" Type="http://schemas.openxmlformats.org/officeDocument/2006/relationships/hyperlink" Target="https://www.bls.gov/cpi/questions-and-answers.htm" TargetMode="External"/><Relationship Id="rId3" Type="http://schemas.openxmlformats.org/officeDocument/2006/relationships/webSettings" Target="webSettings.xml"/><Relationship Id="rId7" Type="http://schemas.openxmlformats.org/officeDocument/2006/relationships/hyperlink" Target="https://fred.stlouisfed.org/series/CPIAUCSL" TargetMode="External"/><Relationship Id="rId12" Type="http://schemas.openxmlformats.org/officeDocument/2006/relationships/hyperlink" Target="https://www.bls.gov/opub/hom/pdf/cpihom.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ea.gov/national/pdf/nipaguid.pdf" TargetMode="External"/><Relationship Id="rId11" Type="http://schemas.openxmlformats.org/officeDocument/2006/relationships/hyperlink" Target="https://www.bls.gov/cpi/" TargetMode="External"/><Relationship Id="rId5" Type="http://schemas.openxmlformats.org/officeDocument/2006/relationships/hyperlink" Target="https://www.bea.gov/data/gdp/gross-domestic-product" TargetMode="External"/><Relationship Id="rId15" Type="http://schemas.openxmlformats.org/officeDocument/2006/relationships/theme" Target="theme/theme1.xml"/><Relationship Id="rId10" Type="http://schemas.openxmlformats.org/officeDocument/2006/relationships/hyperlink" Target="https://fred.stlouisfed.org/series/CPILFESL" TargetMode="External"/><Relationship Id="rId4" Type="http://schemas.openxmlformats.org/officeDocument/2006/relationships/hyperlink" Target="http://www.bea.gov/" TargetMode="External"/><Relationship Id="rId9" Type="http://schemas.openxmlformats.org/officeDocument/2006/relationships/hyperlink" Target="http://www.bls.gov/cp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Bassetti</dc:creator>
  <cp:keywords/>
  <dc:description/>
  <cp:lastModifiedBy>Federico Bassetti</cp:lastModifiedBy>
  <cp:revision>1</cp:revision>
  <dcterms:created xsi:type="dcterms:W3CDTF">2024-05-19T13:52:00Z</dcterms:created>
  <dcterms:modified xsi:type="dcterms:W3CDTF">2024-05-19T13:53:00Z</dcterms:modified>
</cp:coreProperties>
</file>