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3842"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4" w:history="1">
        <w:r>
          <w:rPr>
            <w:rFonts w:ascii="Verdana" w:hAnsi="Verdana" w:cs="Verdana"/>
            <w:color w:val="2C4C88"/>
            <w:lang w:val="en-GB"/>
          </w:rPr>
          <w:t>G.17 Industrial Production and Capacity Utilization </w:t>
        </w:r>
      </w:hyperlink>
      <w:r>
        <w:rPr>
          <w:rFonts w:ascii="Verdana" w:hAnsi="Verdana" w:cs="Verdana"/>
          <w:color w:val="262626"/>
          <w:lang w:val="en-GB"/>
        </w:rPr>
        <w:t> </w:t>
      </w:r>
    </w:p>
    <w:p w14:paraId="14D511EC" w14:textId="77777777" w:rsidR="00417D25" w:rsidRDefault="00417D25" w:rsidP="00417D25">
      <w:pPr>
        <w:autoSpaceDE w:val="0"/>
        <w:autoSpaceDN w:val="0"/>
        <w:adjustRightInd w:val="0"/>
        <w:rPr>
          <w:rFonts w:ascii="Verdana" w:hAnsi="Verdana" w:cs="Verdana"/>
          <w:color w:val="262626"/>
          <w:lang w:val="en-GB"/>
        </w:rPr>
      </w:pPr>
    </w:p>
    <w:p w14:paraId="4D1D4B52"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Index 2017=100, Seasonally Adjusted</w:t>
      </w:r>
    </w:p>
    <w:p w14:paraId="77DF78A7"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5324A623"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The industrial production (IP) index measures the real output of all relevant establishments located in the United States, regardless of their ownership, but not those located in U.S. territories.</w:t>
      </w:r>
      <w:r>
        <w:rPr>
          <w:rFonts w:ascii="MS Gothic" w:eastAsia="MS Gothic" w:hAnsi="MS Gothic" w:cs="MS Gothic" w:hint="eastAsia"/>
          <w:color w:val="262626"/>
          <w:lang w:val="en-GB"/>
        </w:rPr>
        <w:t>  </w:t>
      </w:r>
      <w:r>
        <w:rPr>
          <w:rFonts w:ascii="Verdana" w:hAnsi="Verdana" w:cs="Verdana"/>
          <w:color w:val="262626"/>
          <w:lang w:val="en-GB"/>
        </w:rPr>
        <w:t>For more information, see the </w:t>
      </w:r>
      <w:hyperlink r:id="rId5" w:history="1">
        <w:r>
          <w:rPr>
            <w:rFonts w:ascii="Verdana" w:hAnsi="Verdana" w:cs="Verdana"/>
            <w:color w:val="2C4C88"/>
            <w:lang w:val="en-GB"/>
          </w:rPr>
          <w:t>explanatory notes</w:t>
        </w:r>
      </w:hyperlink>
      <w:r>
        <w:rPr>
          <w:rFonts w:ascii="Verdana" w:hAnsi="Verdana" w:cs="Verdana"/>
          <w:color w:val="262626"/>
          <w:lang w:val="en-GB"/>
        </w:rPr>
        <w:t> issued by the Board of Governors. For recent updates, see the </w:t>
      </w:r>
      <w:hyperlink r:id="rId6" w:history="1">
        <w:r>
          <w:rPr>
            <w:rFonts w:ascii="Verdana" w:hAnsi="Verdana" w:cs="Verdana"/>
            <w:color w:val="2C4C88"/>
            <w:lang w:val="en-GB"/>
          </w:rPr>
          <w:t>announcements</w:t>
        </w:r>
      </w:hyperlink>
      <w:r>
        <w:rPr>
          <w:rFonts w:ascii="Verdana" w:hAnsi="Verdana" w:cs="Verdana"/>
          <w:color w:val="262626"/>
          <w:lang w:val="en-GB"/>
        </w:rPr>
        <w:t> issued by the Board of Governors</w:t>
      </w:r>
      <w:r>
        <w:rPr>
          <w:rFonts w:ascii="MS Gothic" w:eastAsia="MS Gothic" w:hAnsi="MS Gothic" w:cs="MS Gothic" w:hint="eastAsia"/>
          <w:color w:val="262626"/>
          <w:lang w:val="en-GB"/>
        </w:rPr>
        <w:t>  </w:t>
      </w:r>
      <w:r>
        <w:rPr>
          <w:rFonts w:ascii="Verdana" w:hAnsi="Verdana" w:cs="Verdana"/>
          <w:color w:val="262626"/>
          <w:lang w:val="en-GB"/>
        </w:rPr>
        <w:t xml:space="preserve">Source Code: </w:t>
      </w:r>
      <w:proofErr w:type="gramStart"/>
      <w:r>
        <w:rPr>
          <w:rFonts w:ascii="Verdana" w:hAnsi="Verdana" w:cs="Verdana"/>
          <w:color w:val="262626"/>
          <w:lang w:val="en-GB"/>
        </w:rPr>
        <w:t>IP.B50001.S</w:t>
      </w:r>
      <w:proofErr w:type="gramEnd"/>
    </w:p>
    <w:p w14:paraId="40067624"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52EF0C5B"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Board of Governors of the Federal Reserve System (US), Industrial Production: Total Index [INDPRO], retrieved from FRED, Federal Reserve Bank of St. Louis; https://fred.stlouisfed.org/series/INDPRO, May 16, 2024.</w:t>
      </w:r>
    </w:p>
    <w:p w14:paraId="37B9F1A0"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7" w:history="1">
        <w:r>
          <w:rPr>
            <w:rFonts w:ascii="Verdana" w:hAnsi="Verdana" w:cs="Verdana"/>
            <w:b/>
            <w:bCs/>
            <w:color w:val="262626"/>
            <w:sz w:val="28"/>
            <w:szCs w:val="28"/>
            <w:lang w:val="en-GB"/>
          </w:rPr>
          <w:t xml:space="preserve">Wilshire 5000 Price </w:t>
        </w:r>
        <w:proofErr w:type="gramStart"/>
        <w:r>
          <w:rPr>
            <w:rFonts w:ascii="Verdana" w:hAnsi="Verdana" w:cs="Verdana"/>
            <w:b/>
            <w:bCs/>
            <w:color w:val="262626"/>
            <w:sz w:val="28"/>
            <w:szCs w:val="28"/>
            <w:lang w:val="en-GB"/>
          </w:rPr>
          <w:t>Index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WILL5000PR)</w:t>
        </w:r>
      </w:hyperlink>
    </w:p>
    <w:p w14:paraId="7377568C"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8" w:history="1">
        <w:r>
          <w:rPr>
            <w:rFonts w:ascii="Verdana" w:hAnsi="Verdana" w:cs="Verdana"/>
            <w:color w:val="2C4C88"/>
            <w:lang w:val="en-GB"/>
          </w:rPr>
          <w:t>Wilshire Associates </w:t>
        </w:r>
      </w:hyperlink>
      <w:r>
        <w:rPr>
          <w:rFonts w:ascii="Verdana" w:hAnsi="Verdana" w:cs="Verdana"/>
          <w:color w:val="262626"/>
          <w:lang w:val="en-GB"/>
        </w:rPr>
        <w:t> </w:t>
      </w:r>
    </w:p>
    <w:p w14:paraId="44402761"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9" w:history="1">
        <w:r>
          <w:rPr>
            <w:rFonts w:ascii="Verdana" w:hAnsi="Verdana" w:cs="Verdana"/>
            <w:color w:val="2C4C88"/>
            <w:lang w:val="en-GB"/>
          </w:rPr>
          <w:t>Wilshire Indexes </w:t>
        </w:r>
      </w:hyperlink>
      <w:r>
        <w:rPr>
          <w:rFonts w:ascii="Verdana" w:hAnsi="Verdana" w:cs="Verdana"/>
          <w:color w:val="262626"/>
          <w:lang w:val="en-GB"/>
        </w:rPr>
        <w:t> </w:t>
      </w:r>
    </w:p>
    <w:p w14:paraId="6C338B14" w14:textId="77777777" w:rsidR="00417D25" w:rsidRDefault="00417D25" w:rsidP="00417D25">
      <w:pPr>
        <w:autoSpaceDE w:val="0"/>
        <w:autoSpaceDN w:val="0"/>
        <w:adjustRightInd w:val="0"/>
        <w:rPr>
          <w:rFonts w:ascii="Verdana" w:hAnsi="Verdana" w:cs="Verdana"/>
          <w:color w:val="262626"/>
          <w:lang w:val="en-GB"/>
        </w:rPr>
      </w:pPr>
    </w:p>
    <w:p w14:paraId="106B6C1D"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Index, Not Seasonally Adjusted</w:t>
      </w:r>
    </w:p>
    <w:p w14:paraId="041F531B"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Daily, Close</w:t>
      </w:r>
    </w:p>
    <w:p w14:paraId="40C3D99F"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The observations for the Wilshire 5000 Price Index represent the daily index value at market close. The market typically closes at 4 PM ET, except for holidays when it sometimes closes early.</w:t>
      </w:r>
      <w:r>
        <w:rPr>
          <w:rFonts w:ascii="MS Gothic" w:eastAsia="MS Gothic" w:hAnsi="MS Gothic" w:cs="MS Gothic" w:hint="eastAsia"/>
          <w:color w:val="262626"/>
          <w:lang w:val="en-GB"/>
        </w:rPr>
        <w:t>  </w:t>
      </w:r>
      <w:r>
        <w:rPr>
          <w:rFonts w:ascii="Verdana" w:hAnsi="Verdana" w:cs="Verdana"/>
          <w:color w:val="262626"/>
          <w:lang w:val="en-GB"/>
        </w:rPr>
        <w:t>The price indexes are price returns, which do not reinvest dividends. Copyright, 2016, Wilshire Associates Incorporated. Reprinted with permission. For more information about the various indexes, visit </w:t>
      </w:r>
      <w:hyperlink r:id="rId10" w:history="1">
        <w:r>
          <w:rPr>
            <w:rFonts w:ascii="Verdana" w:hAnsi="Verdana" w:cs="Verdana"/>
            <w:color w:val="2C4C88"/>
            <w:lang w:val="en-GB"/>
          </w:rPr>
          <w:t>Wilshire Associates</w:t>
        </w:r>
      </w:hyperlink>
      <w:r>
        <w:rPr>
          <w:rFonts w:ascii="Verdana" w:hAnsi="Verdana" w:cs="Verdana"/>
          <w:color w:val="262626"/>
          <w:lang w:val="en-GB"/>
        </w:rPr>
        <w:t>.</w:t>
      </w:r>
    </w:p>
    <w:p w14:paraId="3480860C"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41A359AB"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Wilshire Associates, Wilshire 5000 Price Index [WILL5000PR], retrieved from FRED, Federal Reserve Bank of St. Louis; https://fred.stlouisfed.org/series/WILL5000PR, May 16, 2024.</w:t>
      </w:r>
    </w:p>
    <w:p w14:paraId="32B3D0C2" w14:textId="77777777" w:rsidR="00417D25" w:rsidRDefault="00417D25" w:rsidP="00417D25">
      <w:pPr>
        <w:autoSpaceDE w:val="0"/>
        <w:autoSpaceDN w:val="0"/>
        <w:adjustRightInd w:val="0"/>
        <w:spacing w:after="120"/>
        <w:rPr>
          <w:rFonts w:ascii="Verdana" w:hAnsi="Verdana" w:cs="Verdana"/>
          <w:color w:val="262626"/>
          <w:lang w:val="en-GB"/>
        </w:rPr>
      </w:pPr>
    </w:p>
    <w:p w14:paraId="375C81F0"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11" w:history="1">
        <w:r>
          <w:rPr>
            <w:rFonts w:ascii="Verdana" w:hAnsi="Verdana" w:cs="Verdana"/>
            <w:b/>
            <w:bCs/>
            <w:color w:val="262626"/>
            <w:sz w:val="28"/>
            <w:szCs w:val="28"/>
            <w:lang w:val="en-GB"/>
          </w:rPr>
          <w:t xml:space="preserve">New One Family Houses Sold: United </w:t>
        </w:r>
        <w:proofErr w:type="gramStart"/>
        <w:r>
          <w:rPr>
            <w:rFonts w:ascii="Verdana" w:hAnsi="Verdana" w:cs="Verdana"/>
            <w:b/>
            <w:bCs/>
            <w:color w:val="262626"/>
            <w:sz w:val="28"/>
            <w:szCs w:val="28"/>
            <w:lang w:val="en-GB"/>
          </w:rPr>
          <w:t>States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HSN1F)</w:t>
        </w:r>
      </w:hyperlink>
    </w:p>
    <w:p w14:paraId="72F19765"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12" w:history="1">
        <w:r>
          <w:rPr>
            <w:rFonts w:ascii="Verdana" w:hAnsi="Verdana" w:cs="Verdana"/>
            <w:color w:val="2C4C88"/>
            <w:lang w:val="en-GB"/>
          </w:rPr>
          <w:t>U.S. Census Bureau </w:t>
        </w:r>
      </w:hyperlink>
      <w:r>
        <w:rPr>
          <w:rFonts w:ascii="Verdana" w:hAnsi="Verdana" w:cs="Verdana"/>
          <w:color w:val="262626"/>
          <w:lang w:val="en-GB"/>
        </w:rPr>
        <w:t> </w:t>
      </w:r>
    </w:p>
    <w:p w14:paraId="3949FB46"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13" w:history="1">
        <w:r>
          <w:rPr>
            <w:rFonts w:ascii="Verdana" w:hAnsi="Verdana" w:cs="Verdana"/>
            <w:color w:val="2C4C88"/>
            <w:lang w:val="en-GB"/>
          </w:rPr>
          <w:t>U.S. Department of Housing and Urban Development </w:t>
        </w:r>
      </w:hyperlink>
      <w:r>
        <w:rPr>
          <w:rFonts w:ascii="Verdana" w:hAnsi="Verdana" w:cs="Verdana"/>
          <w:color w:val="262626"/>
          <w:lang w:val="en-GB"/>
        </w:rPr>
        <w:t> </w:t>
      </w:r>
    </w:p>
    <w:p w14:paraId="66397063"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14" w:history="1">
        <w:r>
          <w:rPr>
            <w:rFonts w:ascii="Verdana" w:hAnsi="Verdana" w:cs="Verdana"/>
            <w:color w:val="2C4C88"/>
            <w:lang w:val="en-GB"/>
          </w:rPr>
          <w:t>New Residential Sales </w:t>
        </w:r>
      </w:hyperlink>
      <w:r>
        <w:rPr>
          <w:rFonts w:ascii="Verdana" w:hAnsi="Verdana" w:cs="Verdana"/>
          <w:color w:val="262626"/>
          <w:lang w:val="en-GB"/>
        </w:rPr>
        <w:t> </w:t>
      </w:r>
    </w:p>
    <w:p w14:paraId="44997C80" w14:textId="77777777" w:rsidR="00417D25" w:rsidRDefault="00417D25" w:rsidP="00417D25">
      <w:pPr>
        <w:autoSpaceDE w:val="0"/>
        <w:autoSpaceDN w:val="0"/>
        <w:adjustRightInd w:val="0"/>
        <w:rPr>
          <w:rFonts w:ascii="Verdana" w:hAnsi="Verdana" w:cs="Verdana"/>
          <w:color w:val="262626"/>
          <w:lang w:val="en-GB"/>
        </w:rPr>
      </w:pPr>
    </w:p>
    <w:p w14:paraId="4F4A21FA"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Thousands, Seasonally Adjusted Annual Rate</w:t>
      </w:r>
    </w:p>
    <w:p w14:paraId="6A0647BD"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lastRenderedPageBreak/>
        <w:t>Frequency:</w:t>
      </w:r>
      <w:r>
        <w:rPr>
          <w:rFonts w:ascii="Verdana" w:hAnsi="Verdana" w:cs="Verdana"/>
          <w:color w:val="262626"/>
          <w:lang w:val="en-GB"/>
        </w:rPr>
        <w:t>  </w:t>
      </w:r>
      <w:r>
        <w:rPr>
          <w:rFonts w:ascii="Verdana" w:hAnsi="Verdana" w:cs="Verdana"/>
          <w:color w:val="535353"/>
          <w:lang w:val="en-GB"/>
        </w:rPr>
        <w:t>Monthly</w:t>
      </w:r>
    </w:p>
    <w:p w14:paraId="0DFB0849"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72799E33"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U.S. Census Bureau and U.S. Department of Housing and Urban Development, New One Family Houses Sold: United States [HSN1F], retrieved from FRED, Federal Reserve Bank of St. Louis; https://fred.stlouisfed.org/series/HSN1F, May 16, 2024.</w:t>
      </w:r>
    </w:p>
    <w:p w14:paraId="3EB707E2"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15" w:history="1">
        <w:r>
          <w:rPr>
            <w:rFonts w:ascii="Verdana" w:hAnsi="Verdana" w:cs="Verdana"/>
            <w:b/>
            <w:bCs/>
            <w:color w:val="262626"/>
            <w:sz w:val="28"/>
            <w:szCs w:val="28"/>
            <w:lang w:val="en-GB"/>
          </w:rPr>
          <w:t xml:space="preserve">Crude Oil Prices: Brent - </w:t>
        </w:r>
        <w:proofErr w:type="gramStart"/>
        <w:r>
          <w:rPr>
            <w:rFonts w:ascii="Verdana" w:hAnsi="Verdana" w:cs="Verdana"/>
            <w:b/>
            <w:bCs/>
            <w:color w:val="262626"/>
            <w:sz w:val="28"/>
            <w:szCs w:val="28"/>
            <w:lang w:val="en-GB"/>
          </w:rPr>
          <w:t>Europe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DCOILBRENTEU)</w:t>
        </w:r>
      </w:hyperlink>
    </w:p>
    <w:p w14:paraId="0EB63E99"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16" w:history="1">
        <w:r>
          <w:rPr>
            <w:rFonts w:ascii="Verdana" w:hAnsi="Verdana" w:cs="Verdana"/>
            <w:color w:val="2C4C88"/>
            <w:lang w:val="en-GB"/>
          </w:rPr>
          <w:t>U.S. Energy Information Administration </w:t>
        </w:r>
      </w:hyperlink>
      <w:r>
        <w:rPr>
          <w:rFonts w:ascii="Verdana" w:hAnsi="Verdana" w:cs="Verdana"/>
          <w:color w:val="262626"/>
          <w:lang w:val="en-GB"/>
        </w:rPr>
        <w:t> </w:t>
      </w:r>
    </w:p>
    <w:p w14:paraId="008C30BA"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17" w:history="1">
        <w:r>
          <w:rPr>
            <w:rFonts w:ascii="Verdana" w:hAnsi="Verdana" w:cs="Verdana"/>
            <w:color w:val="2C4C88"/>
            <w:lang w:val="en-GB"/>
          </w:rPr>
          <w:t>Spot Prices </w:t>
        </w:r>
      </w:hyperlink>
      <w:r>
        <w:rPr>
          <w:rFonts w:ascii="Verdana" w:hAnsi="Verdana" w:cs="Verdana"/>
          <w:color w:val="262626"/>
          <w:lang w:val="en-GB"/>
        </w:rPr>
        <w:t> </w:t>
      </w:r>
    </w:p>
    <w:p w14:paraId="1D360B71" w14:textId="77777777" w:rsidR="00417D25" w:rsidRDefault="00417D25" w:rsidP="00417D25">
      <w:pPr>
        <w:autoSpaceDE w:val="0"/>
        <w:autoSpaceDN w:val="0"/>
        <w:adjustRightInd w:val="0"/>
        <w:rPr>
          <w:rFonts w:ascii="Verdana" w:hAnsi="Verdana" w:cs="Verdana"/>
          <w:color w:val="262626"/>
          <w:lang w:val="en-GB"/>
        </w:rPr>
      </w:pPr>
    </w:p>
    <w:p w14:paraId="3D61A68C"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Dollars per Barrel, Not Seasonally Adjusted</w:t>
      </w:r>
    </w:p>
    <w:p w14:paraId="663F2C8D"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Daily</w:t>
      </w:r>
    </w:p>
    <w:p w14:paraId="209CFDBC" w14:textId="77777777" w:rsidR="00417D25" w:rsidRDefault="00417D25" w:rsidP="00417D25">
      <w:pPr>
        <w:autoSpaceDE w:val="0"/>
        <w:autoSpaceDN w:val="0"/>
        <w:adjustRightInd w:val="0"/>
        <w:spacing w:after="120"/>
        <w:rPr>
          <w:rFonts w:ascii="Verdana" w:hAnsi="Verdana" w:cs="Verdana"/>
          <w:color w:val="262626"/>
          <w:lang w:val="en-GB"/>
        </w:rPr>
      </w:pPr>
      <w:hyperlink r:id="rId18" w:history="1">
        <w:r>
          <w:rPr>
            <w:rFonts w:ascii="Verdana" w:hAnsi="Verdana" w:cs="Verdana"/>
            <w:color w:val="2C4C88"/>
            <w:lang w:val="en-GB"/>
          </w:rPr>
          <w:t>Definitions, Sources and Explanatory Notes</w:t>
        </w:r>
      </w:hyperlink>
    </w:p>
    <w:p w14:paraId="41BEC6F9"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4EE428B4"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U.S. Energy Information Administration, Crude Oil Prices: Brent - Europe [DCOILBRENTEU], retrieved from FRED, Federal Reserve Bank of St. Louis; https://fred.stlouisfed.org/series/DCOILBRENTEU, May 16, 2024.</w:t>
      </w:r>
    </w:p>
    <w:p w14:paraId="21FA70F6"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19" w:history="1">
        <w:r>
          <w:rPr>
            <w:rFonts w:ascii="Verdana" w:hAnsi="Verdana" w:cs="Verdana"/>
            <w:b/>
            <w:bCs/>
            <w:color w:val="262626"/>
            <w:sz w:val="28"/>
            <w:szCs w:val="28"/>
            <w:lang w:val="en-GB"/>
          </w:rPr>
          <w:t xml:space="preserve">Sticky Price Consumer Price Index less Food and </w:t>
        </w:r>
        <w:proofErr w:type="gramStart"/>
        <w:r>
          <w:rPr>
            <w:rFonts w:ascii="Verdana" w:hAnsi="Verdana" w:cs="Verdana"/>
            <w:b/>
            <w:bCs/>
            <w:color w:val="262626"/>
            <w:sz w:val="28"/>
            <w:szCs w:val="28"/>
            <w:lang w:val="en-GB"/>
          </w:rPr>
          <w:t>Energy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CORESTICKM159SFRBATL)</w:t>
        </w:r>
      </w:hyperlink>
    </w:p>
    <w:p w14:paraId="1FCC529A"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20" w:history="1">
        <w:r>
          <w:rPr>
            <w:rFonts w:ascii="Verdana" w:hAnsi="Verdana" w:cs="Verdana"/>
            <w:color w:val="2C4C88"/>
            <w:lang w:val="en-GB"/>
          </w:rPr>
          <w:t>Federal Reserve Bank of Atlanta </w:t>
        </w:r>
      </w:hyperlink>
      <w:r>
        <w:rPr>
          <w:rFonts w:ascii="Verdana" w:hAnsi="Verdana" w:cs="Verdana"/>
          <w:color w:val="262626"/>
          <w:lang w:val="en-GB"/>
        </w:rPr>
        <w:t> </w:t>
      </w:r>
    </w:p>
    <w:p w14:paraId="7C89B17D"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21" w:history="1">
        <w:r>
          <w:rPr>
            <w:rFonts w:ascii="Verdana" w:hAnsi="Verdana" w:cs="Verdana"/>
            <w:color w:val="2C4C88"/>
            <w:lang w:val="en-GB"/>
          </w:rPr>
          <w:t>Sticky Price CPI </w:t>
        </w:r>
      </w:hyperlink>
      <w:r>
        <w:rPr>
          <w:rFonts w:ascii="Verdana" w:hAnsi="Verdana" w:cs="Verdana"/>
          <w:color w:val="262626"/>
          <w:lang w:val="en-GB"/>
        </w:rPr>
        <w:t> </w:t>
      </w:r>
    </w:p>
    <w:p w14:paraId="496AF68E" w14:textId="77777777" w:rsidR="00417D25" w:rsidRDefault="00417D25" w:rsidP="00417D25">
      <w:pPr>
        <w:autoSpaceDE w:val="0"/>
        <w:autoSpaceDN w:val="0"/>
        <w:adjustRightInd w:val="0"/>
        <w:rPr>
          <w:rFonts w:ascii="Verdana" w:hAnsi="Verdana" w:cs="Verdana"/>
          <w:color w:val="262626"/>
          <w:lang w:val="en-GB"/>
        </w:rPr>
      </w:pPr>
    </w:p>
    <w:p w14:paraId="27818007"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Percent Change from Year Ago, Seasonally Adjusted</w:t>
      </w:r>
    </w:p>
    <w:p w14:paraId="2E19493C"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1B1B6195"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The Sticky Price Consumer Price Index (CPI) is calculated from a subset of goods and services included in the CPI that change price relatively infrequently. Because these goods and services change price relatively infrequently, they are thought to incorporate expectations about future inflation to a greater degree than prices that change on a more frequent basis. One possible explanation for sticky prices could be the costs firms incur when changing price.</w:t>
      </w:r>
      <w:r>
        <w:rPr>
          <w:rFonts w:ascii="MS Gothic" w:eastAsia="MS Gothic" w:hAnsi="MS Gothic" w:cs="MS Gothic" w:hint="eastAsia"/>
          <w:color w:val="262626"/>
          <w:lang w:val="en-GB"/>
        </w:rPr>
        <w:t>  </w:t>
      </w:r>
      <w:r>
        <w:rPr>
          <w:rFonts w:ascii="Verdana" w:hAnsi="Verdana" w:cs="Verdana"/>
          <w:color w:val="262626"/>
          <w:lang w:val="en-GB"/>
        </w:rPr>
        <w:t xml:space="preserve">To obtain more information about this release see: Michael F. Bryan, and Brent H. Meyer. “Are Some Prices in the CPI More Forward Looking Than Others? We Think </w:t>
      </w:r>
      <w:proofErr w:type="spellStart"/>
      <w:r>
        <w:rPr>
          <w:rFonts w:ascii="Verdana" w:hAnsi="Verdana" w:cs="Verdana"/>
          <w:color w:val="262626"/>
          <w:lang w:val="en-GB"/>
        </w:rPr>
        <w:t>So.</w:t>
      </w:r>
      <w:proofErr w:type="spellEnd"/>
      <w:r>
        <w:rPr>
          <w:rFonts w:ascii="Verdana" w:hAnsi="Verdana" w:cs="Verdana"/>
          <w:color w:val="262626"/>
          <w:lang w:val="en-GB"/>
        </w:rPr>
        <w:t>” Economic Commentary (Federal Reserve Bank of Cleveland) (May 19, 2010): 1–6. </w:t>
      </w:r>
      <w:hyperlink r:id="rId22" w:history="1">
        <w:r>
          <w:rPr>
            <w:rFonts w:ascii="Verdana" w:hAnsi="Verdana" w:cs="Verdana"/>
            <w:color w:val="2C4C88"/>
            <w:lang w:val="en-GB"/>
          </w:rPr>
          <w:t>https://doi.org/10.26509/frbc-ec-201002</w:t>
        </w:r>
      </w:hyperlink>
      <w:r>
        <w:rPr>
          <w:rFonts w:ascii="Verdana" w:hAnsi="Verdana" w:cs="Verdana"/>
          <w:color w:val="262626"/>
          <w:lang w:val="en-GB"/>
        </w:rPr>
        <w:t>.</w:t>
      </w:r>
    </w:p>
    <w:p w14:paraId="047B625B"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0C78ECA4"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 xml:space="preserve">Federal Reserve Bank of Atlanta, Sticky Price Consumer Price Index </w:t>
      </w:r>
      <w:proofErr w:type="gramStart"/>
      <w:r>
        <w:rPr>
          <w:rFonts w:ascii="Verdana" w:hAnsi="Verdana" w:cs="Verdana"/>
          <w:color w:val="262626"/>
          <w:lang w:val="en-GB"/>
        </w:rPr>
        <w:t>less</w:t>
      </w:r>
      <w:proofErr w:type="gramEnd"/>
      <w:r>
        <w:rPr>
          <w:rFonts w:ascii="Verdana" w:hAnsi="Verdana" w:cs="Verdana"/>
          <w:color w:val="262626"/>
          <w:lang w:val="en-GB"/>
        </w:rPr>
        <w:t xml:space="preserve"> Food and Energy [CORESTICKM159SFRBATL], retrieved from FRED, Federal </w:t>
      </w:r>
      <w:r>
        <w:rPr>
          <w:rFonts w:ascii="Verdana" w:hAnsi="Verdana" w:cs="Verdana"/>
          <w:color w:val="262626"/>
          <w:lang w:val="en-GB"/>
        </w:rPr>
        <w:lastRenderedPageBreak/>
        <w:t>Reserve Bank of St. Louis; https://fred.stlouisfed.org/series/CORESTICKM159SFRBATL, May 16, 2024.</w:t>
      </w:r>
    </w:p>
    <w:p w14:paraId="161B102B"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23" w:history="1">
        <w:r>
          <w:rPr>
            <w:rFonts w:ascii="Verdana" w:hAnsi="Verdana" w:cs="Verdana"/>
            <w:b/>
            <w:bCs/>
            <w:color w:val="262626"/>
            <w:sz w:val="28"/>
            <w:szCs w:val="28"/>
            <w:lang w:val="en-GB"/>
          </w:rPr>
          <w:t xml:space="preserve">Total Vehicle </w:t>
        </w:r>
        <w:proofErr w:type="gramStart"/>
        <w:r>
          <w:rPr>
            <w:rFonts w:ascii="Verdana" w:hAnsi="Verdana" w:cs="Verdana"/>
            <w:b/>
            <w:bCs/>
            <w:color w:val="262626"/>
            <w:sz w:val="28"/>
            <w:szCs w:val="28"/>
            <w:lang w:val="en-GB"/>
          </w:rPr>
          <w:t>Sales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TOTALSA)</w:t>
        </w:r>
      </w:hyperlink>
    </w:p>
    <w:p w14:paraId="27480B21"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24" w:history="1">
        <w:r>
          <w:rPr>
            <w:rFonts w:ascii="Verdana" w:hAnsi="Verdana" w:cs="Verdana"/>
            <w:color w:val="2C4C88"/>
            <w:lang w:val="en-GB"/>
          </w:rPr>
          <w:t>U.S. Bureau of Economic Analysis </w:t>
        </w:r>
      </w:hyperlink>
      <w:r>
        <w:rPr>
          <w:rFonts w:ascii="Verdana" w:hAnsi="Verdana" w:cs="Verdana"/>
          <w:color w:val="262626"/>
          <w:lang w:val="en-GB"/>
        </w:rPr>
        <w:t> </w:t>
      </w:r>
    </w:p>
    <w:p w14:paraId="11DFABBC"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25" w:history="1">
        <w:r>
          <w:rPr>
            <w:rFonts w:ascii="Verdana" w:hAnsi="Verdana" w:cs="Verdana"/>
            <w:color w:val="2C4C88"/>
            <w:lang w:val="en-GB"/>
          </w:rPr>
          <w:t>Supplemental Estimates, Motor Vehicles </w:t>
        </w:r>
      </w:hyperlink>
      <w:r>
        <w:rPr>
          <w:rFonts w:ascii="Verdana" w:hAnsi="Verdana" w:cs="Verdana"/>
          <w:color w:val="262626"/>
          <w:lang w:val="en-GB"/>
        </w:rPr>
        <w:t> </w:t>
      </w:r>
    </w:p>
    <w:p w14:paraId="4CCC0E5B" w14:textId="77777777" w:rsidR="00417D25" w:rsidRDefault="00417D25" w:rsidP="00417D25">
      <w:pPr>
        <w:autoSpaceDE w:val="0"/>
        <w:autoSpaceDN w:val="0"/>
        <w:adjustRightInd w:val="0"/>
        <w:rPr>
          <w:rFonts w:ascii="Verdana" w:hAnsi="Verdana" w:cs="Verdana"/>
          <w:color w:val="262626"/>
          <w:lang w:val="en-GB"/>
        </w:rPr>
      </w:pPr>
    </w:p>
    <w:p w14:paraId="4B4FA8B4"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Millions of Units, Seasonally Adjusted Annual Rate</w:t>
      </w:r>
    </w:p>
    <w:p w14:paraId="4A07CD98"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28670FA5"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14CFF51A"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U.S. Bureau of Economic Analysis, Total Vehicle Sales [TOTALSA], retrieved from FRED, Federal Reserve Bank of St. Louis; https://fred.stlouisfed.org/series/TOTALSA, May 16, 2024.</w:t>
      </w:r>
    </w:p>
    <w:p w14:paraId="08FA96DA"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26" w:history="1">
        <w:r>
          <w:rPr>
            <w:rFonts w:ascii="Verdana" w:hAnsi="Verdana" w:cs="Verdana"/>
            <w:b/>
            <w:bCs/>
            <w:color w:val="262626"/>
            <w:sz w:val="28"/>
            <w:szCs w:val="28"/>
            <w:lang w:val="en-GB"/>
          </w:rPr>
          <w:t xml:space="preserve">Consumer Price Index for All Urban Consumers: Food in U.S. City </w:t>
        </w:r>
        <w:proofErr w:type="gramStart"/>
        <w:r>
          <w:rPr>
            <w:rFonts w:ascii="Verdana" w:hAnsi="Verdana" w:cs="Verdana"/>
            <w:b/>
            <w:bCs/>
            <w:color w:val="262626"/>
            <w:sz w:val="28"/>
            <w:szCs w:val="28"/>
            <w:lang w:val="en-GB"/>
          </w:rPr>
          <w:t>Average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CPIUFDSL)</w:t>
        </w:r>
      </w:hyperlink>
    </w:p>
    <w:p w14:paraId="1079E9B6"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27" w:history="1">
        <w:r>
          <w:rPr>
            <w:rFonts w:ascii="Verdana" w:hAnsi="Verdana" w:cs="Verdana"/>
            <w:color w:val="2C4C88"/>
            <w:lang w:val="en-GB"/>
          </w:rPr>
          <w:t xml:space="preserve">U.S. Bureau of </w:t>
        </w:r>
        <w:proofErr w:type="spellStart"/>
        <w:r>
          <w:rPr>
            <w:rFonts w:ascii="Verdana" w:hAnsi="Verdana" w:cs="Verdana"/>
            <w:color w:val="2C4C88"/>
            <w:lang w:val="en-GB"/>
          </w:rPr>
          <w:t>Labor</w:t>
        </w:r>
        <w:proofErr w:type="spellEnd"/>
        <w:r>
          <w:rPr>
            <w:rFonts w:ascii="Verdana" w:hAnsi="Verdana" w:cs="Verdana"/>
            <w:color w:val="2C4C88"/>
            <w:lang w:val="en-GB"/>
          </w:rPr>
          <w:t xml:space="preserve"> Statistics </w:t>
        </w:r>
      </w:hyperlink>
      <w:r>
        <w:rPr>
          <w:rFonts w:ascii="Verdana" w:hAnsi="Verdana" w:cs="Verdana"/>
          <w:color w:val="262626"/>
          <w:lang w:val="en-GB"/>
        </w:rPr>
        <w:t> </w:t>
      </w:r>
    </w:p>
    <w:p w14:paraId="3007ADA8"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28" w:history="1">
        <w:r>
          <w:rPr>
            <w:rFonts w:ascii="Verdana" w:hAnsi="Verdana" w:cs="Verdana"/>
            <w:color w:val="2C4C88"/>
            <w:lang w:val="en-GB"/>
          </w:rPr>
          <w:t>Consumer Price Index </w:t>
        </w:r>
      </w:hyperlink>
      <w:r>
        <w:rPr>
          <w:rFonts w:ascii="Verdana" w:hAnsi="Verdana" w:cs="Verdana"/>
          <w:color w:val="262626"/>
          <w:lang w:val="en-GB"/>
        </w:rPr>
        <w:t> </w:t>
      </w:r>
    </w:p>
    <w:p w14:paraId="319DC4E6" w14:textId="77777777" w:rsidR="00417D25" w:rsidRDefault="00417D25" w:rsidP="00417D25">
      <w:pPr>
        <w:autoSpaceDE w:val="0"/>
        <w:autoSpaceDN w:val="0"/>
        <w:adjustRightInd w:val="0"/>
        <w:rPr>
          <w:rFonts w:ascii="Verdana" w:hAnsi="Verdana" w:cs="Verdana"/>
          <w:color w:val="262626"/>
          <w:lang w:val="en-GB"/>
        </w:rPr>
      </w:pPr>
    </w:p>
    <w:p w14:paraId="0C976E3F"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Index 1982-1984=100, Seasonally Adjusted</w:t>
      </w:r>
    </w:p>
    <w:p w14:paraId="286D0D54"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7AA509F5"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Handbook of Methods - (</w:t>
      </w:r>
      <w:hyperlink r:id="rId29" w:history="1">
        <w:r>
          <w:rPr>
            <w:rFonts w:ascii="Verdana" w:hAnsi="Verdana" w:cs="Verdana"/>
            <w:color w:val="2C4C88"/>
            <w:lang w:val="en-GB"/>
          </w:rPr>
          <w:t>https://www.bls.gov/opub/hom/pdf/cpihom.pdf</w:t>
        </w:r>
      </w:hyperlink>
      <w:r>
        <w:rPr>
          <w:rFonts w:ascii="Verdana" w:hAnsi="Verdana" w:cs="Verdana"/>
          <w:color w:val="262626"/>
          <w:lang w:val="en-GB"/>
        </w:rPr>
        <w:t>) Understanding the CPI: Frequently Asked Questions - (</w:t>
      </w:r>
      <w:hyperlink r:id="rId30" w:history="1">
        <w:r>
          <w:rPr>
            <w:rFonts w:ascii="Verdana" w:hAnsi="Verdana" w:cs="Verdana"/>
            <w:color w:val="2C4C88"/>
            <w:lang w:val="en-GB"/>
          </w:rPr>
          <w:t>http://stats.bls.gov:80/cpi/cpifaq.htm</w:t>
        </w:r>
      </w:hyperlink>
      <w:r>
        <w:rPr>
          <w:rFonts w:ascii="Verdana" w:hAnsi="Verdana" w:cs="Verdana"/>
          <w:color w:val="262626"/>
          <w:lang w:val="en-GB"/>
        </w:rPr>
        <w:t>)</w:t>
      </w:r>
    </w:p>
    <w:p w14:paraId="287BEFEB"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35AFE436"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 xml:space="preserve">U.S. Bureau of </w:t>
      </w:r>
      <w:proofErr w:type="spellStart"/>
      <w:r>
        <w:rPr>
          <w:rFonts w:ascii="Verdana" w:hAnsi="Verdana" w:cs="Verdana"/>
          <w:color w:val="262626"/>
          <w:lang w:val="en-GB"/>
        </w:rPr>
        <w:t>Labor</w:t>
      </w:r>
      <w:proofErr w:type="spellEnd"/>
      <w:r>
        <w:rPr>
          <w:rFonts w:ascii="Verdana" w:hAnsi="Verdana" w:cs="Verdana"/>
          <w:color w:val="262626"/>
          <w:lang w:val="en-GB"/>
        </w:rPr>
        <w:t xml:space="preserve"> Statistics, Consumer Price Index for All Urban Consumers: Food in U.S. City Average [CPIUFDSL], retrieved from FRED, Federal Reserve Bank of St. Louis; https://fred.stlouisfed.org/series/CPIUFDSL, May 16, 2024.</w:t>
      </w:r>
    </w:p>
    <w:p w14:paraId="37D2BD4A"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31" w:history="1">
        <w:r>
          <w:rPr>
            <w:rFonts w:ascii="Verdana" w:hAnsi="Verdana" w:cs="Verdana"/>
            <w:b/>
            <w:bCs/>
            <w:color w:val="262626"/>
            <w:sz w:val="28"/>
            <w:szCs w:val="28"/>
            <w:lang w:val="en-GB"/>
          </w:rPr>
          <w:t xml:space="preserve">Japanese Yen to U.S. Dollar Spot Exchange </w:t>
        </w:r>
        <w:proofErr w:type="gramStart"/>
        <w:r>
          <w:rPr>
            <w:rFonts w:ascii="Verdana" w:hAnsi="Verdana" w:cs="Verdana"/>
            <w:b/>
            <w:bCs/>
            <w:color w:val="262626"/>
            <w:sz w:val="28"/>
            <w:szCs w:val="28"/>
            <w:lang w:val="en-GB"/>
          </w:rPr>
          <w:t>Rate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DEXJPUS)</w:t>
        </w:r>
      </w:hyperlink>
    </w:p>
    <w:p w14:paraId="2AB49946"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32" w:history="1">
        <w:r>
          <w:rPr>
            <w:rFonts w:ascii="Verdana" w:hAnsi="Verdana" w:cs="Verdana"/>
            <w:color w:val="2C4C88"/>
            <w:lang w:val="en-GB"/>
          </w:rPr>
          <w:t>Board of Governors of the Federal Reserve System (US) </w:t>
        </w:r>
      </w:hyperlink>
      <w:r>
        <w:rPr>
          <w:rFonts w:ascii="Verdana" w:hAnsi="Verdana" w:cs="Verdana"/>
          <w:color w:val="262626"/>
          <w:lang w:val="en-GB"/>
        </w:rPr>
        <w:t> </w:t>
      </w:r>
    </w:p>
    <w:p w14:paraId="6D68E0A7"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33" w:history="1">
        <w:r>
          <w:rPr>
            <w:rFonts w:ascii="Verdana" w:hAnsi="Verdana" w:cs="Verdana"/>
            <w:color w:val="2C4C88"/>
            <w:lang w:val="en-GB"/>
          </w:rPr>
          <w:t>H.10 Foreign Exchange Rates </w:t>
        </w:r>
      </w:hyperlink>
      <w:r>
        <w:rPr>
          <w:rFonts w:ascii="Verdana" w:hAnsi="Verdana" w:cs="Verdana"/>
          <w:color w:val="262626"/>
          <w:lang w:val="en-GB"/>
        </w:rPr>
        <w:t> </w:t>
      </w:r>
    </w:p>
    <w:p w14:paraId="6B7F58C8" w14:textId="77777777" w:rsidR="00417D25" w:rsidRDefault="00417D25" w:rsidP="00417D25">
      <w:pPr>
        <w:autoSpaceDE w:val="0"/>
        <w:autoSpaceDN w:val="0"/>
        <w:adjustRightInd w:val="0"/>
        <w:rPr>
          <w:rFonts w:ascii="Verdana" w:hAnsi="Verdana" w:cs="Verdana"/>
          <w:color w:val="262626"/>
          <w:lang w:val="en-GB"/>
        </w:rPr>
      </w:pPr>
    </w:p>
    <w:p w14:paraId="0F7DE313"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Japanese Yen to One U.S. Dollar, Not Seasonally Adjusted</w:t>
      </w:r>
    </w:p>
    <w:p w14:paraId="6B7D1176"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Daily</w:t>
      </w:r>
    </w:p>
    <w:p w14:paraId="3813D999"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Noon buying rates in New York City for cable transfers payable in foreign currencies.</w:t>
      </w:r>
    </w:p>
    <w:p w14:paraId="6C8F94A0"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lastRenderedPageBreak/>
        <w:t>Suggested Citation:</w:t>
      </w:r>
    </w:p>
    <w:p w14:paraId="5B45BA5B"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Board of Governors of the Federal Reserve System (US), Japanese Yen to U.S. Dollar Spot Exchange Rate [DEXJPUS], retrieved from FRED, Federal Reserve Bank of St. Louis; https://fred.stlouisfed.org/series/DEXJPUS, May 16, 2024.</w:t>
      </w:r>
    </w:p>
    <w:p w14:paraId="1D0B1532"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34" w:history="1">
        <w:r>
          <w:rPr>
            <w:rFonts w:ascii="Verdana" w:hAnsi="Verdana" w:cs="Verdana"/>
            <w:b/>
            <w:bCs/>
            <w:color w:val="262626"/>
            <w:sz w:val="28"/>
            <w:szCs w:val="28"/>
            <w:lang w:val="en-GB"/>
          </w:rPr>
          <w:t xml:space="preserve">University of Michigan: Inflation </w:t>
        </w:r>
        <w:proofErr w:type="gramStart"/>
        <w:r>
          <w:rPr>
            <w:rFonts w:ascii="Verdana" w:hAnsi="Verdana" w:cs="Verdana"/>
            <w:b/>
            <w:bCs/>
            <w:color w:val="262626"/>
            <w:sz w:val="28"/>
            <w:szCs w:val="28"/>
            <w:lang w:val="en-GB"/>
          </w:rPr>
          <w:t>Expectation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MICH)</w:t>
        </w:r>
      </w:hyperlink>
    </w:p>
    <w:p w14:paraId="4D38D45D"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35" w:history="1">
        <w:r>
          <w:rPr>
            <w:rFonts w:ascii="Verdana" w:hAnsi="Verdana" w:cs="Verdana"/>
            <w:color w:val="2C4C88"/>
            <w:lang w:val="en-GB"/>
          </w:rPr>
          <w:t>University of Michigan </w:t>
        </w:r>
      </w:hyperlink>
      <w:r>
        <w:rPr>
          <w:rFonts w:ascii="Verdana" w:hAnsi="Verdana" w:cs="Verdana"/>
          <w:color w:val="262626"/>
          <w:lang w:val="en-GB"/>
        </w:rPr>
        <w:t> </w:t>
      </w:r>
    </w:p>
    <w:p w14:paraId="1837CC47"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36" w:history="1">
        <w:r>
          <w:rPr>
            <w:rFonts w:ascii="Verdana" w:hAnsi="Verdana" w:cs="Verdana"/>
            <w:color w:val="2C4C88"/>
            <w:lang w:val="en-GB"/>
          </w:rPr>
          <w:t>Surveys of Consumers </w:t>
        </w:r>
      </w:hyperlink>
      <w:r>
        <w:rPr>
          <w:rFonts w:ascii="Verdana" w:hAnsi="Verdana" w:cs="Verdana"/>
          <w:color w:val="262626"/>
          <w:lang w:val="en-GB"/>
        </w:rPr>
        <w:t> </w:t>
      </w:r>
    </w:p>
    <w:p w14:paraId="2FA48720" w14:textId="77777777" w:rsidR="00417D25" w:rsidRDefault="00417D25" w:rsidP="00417D25">
      <w:pPr>
        <w:autoSpaceDE w:val="0"/>
        <w:autoSpaceDN w:val="0"/>
        <w:adjustRightInd w:val="0"/>
        <w:rPr>
          <w:rFonts w:ascii="Verdana" w:hAnsi="Verdana" w:cs="Verdana"/>
          <w:color w:val="262626"/>
          <w:lang w:val="en-GB"/>
        </w:rPr>
      </w:pPr>
    </w:p>
    <w:p w14:paraId="55E0AD77"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Percent, Not Seasonally Adjusted</w:t>
      </w:r>
    </w:p>
    <w:p w14:paraId="276B9C14"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664F69AE"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Median expected price change next 12 months, Surveys of Consumers. The most recent value is not shown due to an agreement with the source.</w:t>
      </w:r>
      <w:r>
        <w:rPr>
          <w:rFonts w:ascii="MS Gothic" w:eastAsia="MS Gothic" w:hAnsi="MS Gothic" w:cs="MS Gothic" w:hint="eastAsia"/>
          <w:color w:val="262626"/>
          <w:lang w:val="en-GB"/>
        </w:rPr>
        <w:t>  </w:t>
      </w:r>
      <w:r>
        <w:rPr>
          <w:rFonts w:ascii="Verdana" w:hAnsi="Verdana" w:cs="Verdana"/>
          <w:color w:val="262626"/>
          <w:lang w:val="en-GB"/>
        </w:rPr>
        <w:t>This data should be cited as follows: "Surveys of Consumers, University of Michigan, University of Michigan: Inflation Expectation© [MICH], retrieved from FRED, Federal Reserve Bank of St. Louis </w:t>
      </w:r>
      <w:hyperlink r:id="rId37" w:history="1">
        <w:r>
          <w:rPr>
            <w:rFonts w:ascii="Verdana" w:hAnsi="Verdana" w:cs="Verdana"/>
            <w:color w:val="2C4C88"/>
            <w:lang w:val="en-GB"/>
          </w:rPr>
          <w:t>https://fred.stlouisfed.org/series/MICH/,</w:t>
        </w:r>
      </w:hyperlink>
      <w:r>
        <w:rPr>
          <w:rFonts w:ascii="Verdana" w:hAnsi="Verdana" w:cs="Verdana"/>
          <w:color w:val="262626"/>
          <w:lang w:val="en-GB"/>
        </w:rPr>
        <w:t> (Accessed on date)"</w:t>
      </w:r>
      <w:r>
        <w:rPr>
          <w:rFonts w:ascii="MS Gothic" w:eastAsia="MS Gothic" w:hAnsi="MS Gothic" w:cs="MS Gothic" w:hint="eastAsia"/>
          <w:color w:val="262626"/>
          <w:lang w:val="en-GB"/>
        </w:rPr>
        <w:t>  </w:t>
      </w:r>
      <w:r>
        <w:rPr>
          <w:rFonts w:ascii="Verdana" w:hAnsi="Verdana" w:cs="Verdana"/>
          <w:color w:val="262626"/>
          <w:lang w:val="en-GB"/>
        </w:rPr>
        <w:t>Copyright, 2016, Surveys of Consumers, University of Michigan. Reprinted with permission.</w:t>
      </w:r>
    </w:p>
    <w:p w14:paraId="0F961DD1"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0D029A18"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University of Michigan, University of Michigan: Inflation Expectation [MICH], retrieved from FRED, Federal Reserve Bank of St. Louis; https://fred.stlouisfed.org/series/MICH, May 16, 2024.</w:t>
      </w:r>
    </w:p>
    <w:p w14:paraId="37DE42EA"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38" w:history="1">
        <w:r>
          <w:rPr>
            <w:rFonts w:ascii="Verdana" w:hAnsi="Verdana" w:cs="Verdana"/>
            <w:b/>
            <w:bCs/>
            <w:color w:val="262626"/>
            <w:sz w:val="28"/>
            <w:szCs w:val="28"/>
            <w:lang w:val="en-GB"/>
          </w:rPr>
          <w:t xml:space="preserve">CBOE Volatility Index: </w:t>
        </w:r>
        <w:proofErr w:type="gramStart"/>
        <w:r>
          <w:rPr>
            <w:rFonts w:ascii="Verdana" w:hAnsi="Verdana" w:cs="Verdana"/>
            <w:b/>
            <w:bCs/>
            <w:color w:val="262626"/>
            <w:sz w:val="28"/>
            <w:szCs w:val="28"/>
            <w:lang w:val="en-GB"/>
          </w:rPr>
          <w:t>VIX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VIXCLS)</w:t>
        </w:r>
      </w:hyperlink>
    </w:p>
    <w:p w14:paraId="64B9EDB0"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39" w:history="1">
        <w:r>
          <w:rPr>
            <w:rFonts w:ascii="Verdana" w:hAnsi="Verdana" w:cs="Verdana"/>
            <w:color w:val="2C4C88"/>
            <w:lang w:val="en-GB"/>
          </w:rPr>
          <w:t>Chicago Board Options Exchange </w:t>
        </w:r>
      </w:hyperlink>
      <w:r>
        <w:rPr>
          <w:rFonts w:ascii="Verdana" w:hAnsi="Verdana" w:cs="Verdana"/>
          <w:color w:val="262626"/>
          <w:lang w:val="en-GB"/>
        </w:rPr>
        <w:t> </w:t>
      </w:r>
    </w:p>
    <w:p w14:paraId="4BE05B3E"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40" w:history="1">
        <w:r>
          <w:rPr>
            <w:rFonts w:ascii="Verdana" w:hAnsi="Verdana" w:cs="Verdana"/>
            <w:color w:val="2C4C88"/>
            <w:lang w:val="en-GB"/>
          </w:rPr>
          <w:t>CBOE Market Statistics </w:t>
        </w:r>
      </w:hyperlink>
      <w:r>
        <w:rPr>
          <w:rFonts w:ascii="Verdana" w:hAnsi="Verdana" w:cs="Verdana"/>
          <w:color w:val="262626"/>
          <w:lang w:val="en-GB"/>
        </w:rPr>
        <w:t> </w:t>
      </w:r>
    </w:p>
    <w:p w14:paraId="79193F59" w14:textId="77777777" w:rsidR="00417D25" w:rsidRDefault="00417D25" w:rsidP="00417D25">
      <w:pPr>
        <w:autoSpaceDE w:val="0"/>
        <w:autoSpaceDN w:val="0"/>
        <w:adjustRightInd w:val="0"/>
        <w:rPr>
          <w:rFonts w:ascii="Verdana" w:hAnsi="Verdana" w:cs="Verdana"/>
          <w:color w:val="262626"/>
          <w:lang w:val="en-GB"/>
        </w:rPr>
      </w:pPr>
    </w:p>
    <w:p w14:paraId="58A033C4"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Index, Not Seasonally Adjusted</w:t>
      </w:r>
    </w:p>
    <w:p w14:paraId="14EEB88D"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Daily, Close</w:t>
      </w:r>
    </w:p>
    <w:p w14:paraId="252AC49A"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 xml:space="preserve">VIX measures market expectation of </w:t>
      </w:r>
      <w:proofErr w:type="gramStart"/>
      <w:r>
        <w:rPr>
          <w:rFonts w:ascii="Verdana" w:hAnsi="Verdana" w:cs="Verdana"/>
          <w:color w:val="262626"/>
          <w:lang w:val="en-GB"/>
        </w:rPr>
        <w:t>near term</w:t>
      </w:r>
      <w:proofErr w:type="gramEnd"/>
      <w:r>
        <w:rPr>
          <w:rFonts w:ascii="Verdana" w:hAnsi="Verdana" w:cs="Verdana"/>
          <w:color w:val="262626"/>
          <w:lang w:val="en-GB"/>
        </w:rPr>
        <w:t xml:space="preserve"> volatility conveyed by stock index option prices. Copyright, 2016, Chicago Board Options Exchange, Inc. Reprinted with permission.</w:t>
      </w:r>
    </w:p>
    <w:p w14:paraId="74C51771"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48213F8A"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Chicago Board Options Exchange, CBOE Volatility Index: VIX [VIXCLS], retrieved from FRED, Federal Reserve Bank of St. Louis; https://fred.stlouisfed.org/series/VIXCLS, May 16, 2024.</w:t>
      </w:r>
    </w:p>
    <w:p w14:paraId="3E8F63C7"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41" w:history="1">
        <w:r>
          <w:rPr>
            <w:rFonts w:ascii="Verdana" w:hAnsi="Verdana" w:cs="Verdana"/>
            <w:b/>
            <w:bCs/>
            <w:color w:val="262626"/>
            <w:sz w:val="28"/>
            <w:szCs w:val="28"/>
            <w:lang w:val="en-GB"/>
          </w:rPr>
          <w:t xml:space="preserve">All Employees, Total </w:t>
        </w:r>
        <w:proofErr w:type="gramStart"/>
        <w:r>
          <w:rPr>
            <w:rFonts w:ascii="Verdana" w:hAnsi="Verdana" w:cs="Verdana"/>
            <w:b/>
            <w:bCs/>
            <w:color w:val="262626"/>
            <w:sz w:val="28"/>
            <w:szCs w:val="28"/>
            <w:lang w:val="en-GB"/>
          </w:rPr>
          <w:t>Nonfarm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PAYEMS)</w:t>
        </w:r>
      </w:hyperlink>
    </w:p>
    <w:p w14:paraId="1DF3B08C"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42" w:history="1">
        <w:r>
          <w:rPr>
            <w:rFonts w:ascii="Verdana" w:hAnsi="Verdana" w:cs="Verdana"/>
            <w:color w:val="2C4C88"/>
            <w:lang w:val="en-GB"/>
          </w:rPr>
          <w:t xml:space="preserve">U.S. Bureau of </w:t>
        </w:r>
        <w:proofErr w:type="spellStart"/>
        <w:r>
          <w:rPr>
            <w:rFonts w:ascii="Verdana" w:hAnsi="Verdana" w:cs="Verdana"/>
            <w:color w:val="2C4C88"/>
            <w:lang w:val="en-GB"/>
          </w:rPr>
          <w:t>Labor</w:t>
        </w:r>
        <w:proofErr w:type="spellEnd"/>
        <w:r>
          <w:rPr>
            <w:rFonts w:ascii="Verdana" w:hAnsi="Verdana" w:cs="Verdana"/>
            <w:color w:val="2C4C88"/>
            <w:lang w:val="en-GB"/>
          </w:rPr>
          <w:t xml:space="preserve"> Statistics </w:t>
        </w:r>
      </w:hyperlink>
      <w:r>
        <w:rPr>
          <w:rFonts w:ascii="Verdana" w:hAnsi="Verdana" w:cs="Verdana"/>
          <w:color w:val="262626"/>
          <w:lang w:val="en-GB"/>
        </w:rPr>
        <w:t> </w:t>
      </w:r>
    </w:p>
    <w:p w14:paraId="28C8A9E0"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lastRenderedPageBreak/>
        <w:t>Release:</w:t>
      </w:r>
      <w:r>
        <w:rPr>
          <w:rFonts w:ascii="Verdana" w:hAnsi="Verdana" w:cs="Verdana"/>
          <w:color w:val="262626"/>
          <w:lang w:val="en-GB"/>
        </w:rPr>
        <w:t> </w:t>
      </w:r>
      <w:hyperlink r:id="rId43" w:history="1">
        <w:r>
          <w:rPr>
            <w:rFonts w:ascii="Verdana" w:hAnsi="Verdana" w:cs="Verdana"/>
            <w:color w:val="2C4C88"/>
            <w:lang w:val="en-GB"/>
          </w:rPr>
          <w:t>Employment Situation </w:t>
        </w:r>
      </w:hyperlink>
      <w:r>
        <w:rPr>
          <w:rFonts w:ascii="Verdana" w:hAnsi="Verdana" w:cs="Verdana"/>
          <w:color w:val="262626"/>
          <w:lang w:val="en-GB"/>
        </w:rPr>
        <w:t> </w:t>
      </w:r>
    </w:p>
    <w:p w14:paraId="3529C700" w14:textId="77777777" w:rsidR="00417D25" w:rsidRDefault="00417D25" w:rsidP="00417D25">
      <w:pPr>
        <w:autoSpaceDE w:val="0"/>
        <w:autoSpaceDN w:val="0"/>
        <w:adjustRightInd w:val="0"/>
        <w:rPr>
          <w:rFonts w:ascii="Verdana" w:hAnsi="Verdana" w:cs="Verdana"/>
          <w:color w:val="262626"/>
          <w:lang w:val="en-GB"/>
        </w:rPr>
      </w:pPr>
    </w:p>
    <w:p w14:paraId="1EC40F90"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Thousands of Persons, Seasonally Adjusted</w:t>
      </w:r>
    </w:p>
    <w:p w14:paraId="6295C281"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2653BBBC"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All Employees: Total Nonfarm, commonly known as Total Nonfarm Payroll, is a measure of the number of U.S. workers in the economy that excludes proprietors, private household employees, unpaid volunteers, farm employees, and the unincorporated self-employed. This measure accounts for approximately 80 percent of the workers who contribute to Gross Domestic Product (GDP).</w:t>
      </w:r>
      <w:r>
        <w:rPr>
          <w:rFonts w:ascii="MS Gothic" w:eastAsia="MS Gothic" w:hAnsi="MS Gothic" w:cs="MS Gothic" w:hint="eastAsia"/>
          <w:color w:val="262626"/>
          <w:lang w:val="en-GB"/>
        </w:rPr>
        <w:t>  </w:t>
      </w:r>
      <w:r>
        <w:rPr>
          <w:rFonts w:ascii="Verdana" w:hAnsi="Verdana" w:cs="Verdana"/>
          <w:color w:val="262626"/>
          <w:lang w:val="en-GB"/>
        </w:rPr>
        <w:t>This measure provides useful insights into the current economic situation because it can represent the number of jobs added or lost in an economy. Increases in employment might indicate that businesses are hiring which might also suggest that businesses are growing. Additionally, those who are newly employed have increased their personal incomes, which means (all else constant) their disposable incomes have also increased, thus fostering further economic expansion.</w:t>
      </w:r>
      <w:r>
        <w:rPr>
          <w:rFonts w:ascii="MS Gothic" w:eastAsia="MS Gothic" w:hAnsi="MS Gothic" w:cs="MS Gothic" w:hint="eastAsia"/>
          <w:color w:val="262626"/>
          <w:lang w:val="en-GB"/>
        </w:rPr>
        <w:t>  </w:t>
      </w:r>
      <w:r>
        <w:rPr>
          <w:rFonts w:ascii="Verdana" w:hAnsi="Verdana" w:cs="Verdana"/>
          <w:color w:val="262626"/>
          <w:lang w:val="en-GB"/>
        </w:rPr>
        <w:t xml:space="preserve">Generally, the U.S. </w:t>
      </w:r>
      <w:proofErr w:type="spellStart"/>
      <w:r>
        <w:rPr>
          <w:rFonts w:ascii="Verdana" w:hAnsi="Verdana" w:cs="Verdana"/>
          <w:color w:val="262626"/>
          <w:lang w:val="en-GB"/>
        </w:rPr>
        <w:t>labor</w:t>
      </w:r>
      <w:proofErr w:type="spellEnd"/>
      <w:r>
        <w:rPr>
          <w:rFonts w:ascii="Verdana" w:hAnsi="Verdana" w:cs="Verdana"/>
          <w:color w:val="262626"/>
          <w:lang w:val="en-GB"/>
        </w:rPr>
        <w:t xml:space="preserve"> force and levels of employment and unemployment are subject to fluctuations due to seasonal changes in weather, major holidays, and the opening and closing of schools. The Bureau of </w:t>
      </w:r>
      <w:proofErr w:type="spellStart"/>
      <w:r>
        <w:rPr>
          <w:rFonts w:ascii="Verdana" w:hAnsi="Verdana" w:cs="Verdana"/>
          <w:color w:val="262626"/>
          <w:lang w:val="en-GB"/>
        </w:rPr>
        <w:t>Labor</w:t>
      </w:r>
      <w:proofErr w:type="spellEnd"/>
      <w:r>
        <w:rPr>
          <w:rFonts w:ascii="Verdana" w:hAnsi="Verdana" w:cs="Verdana"/>
          <w:color w:val="262626"/>
          <w:lang w:val="en-GB"/>
        </w:rPr>
        <w:t xml:space="preserve"> Statistics (BLS) adjusts the data to offset the seasonal effects to show non-seasonal changes: for example, women's participation in the </w:t>
      </w:r>
      <w:proofErr w:type="spellStart"/>
      <w:r>
        <w:rPr>
          <w:rFonts w:ascii="Verdana" w:hAnsi="Verdana" w:cs="Verdana"/>
          <w:color w:val="262626"/>
          <w:lang w:val="en-GB"/>
        </w:rPr>
        <w:t>labor</w:t>
      </w:r>
      <w:proofErr w:type="spellEnd"/>
      <w:r>
        <w:rPr>
          <w:rFonts w:ascii="Verdana" w:hAnsi="Verdana" w:cs="Verdana"/>
          <w:color w:val="262626"/>
          <w:lang w:val="en-GB"/>
        </w:rPr>
        <w:t xml:space="preserve"> force; or a general decline in the number of employees, a possible indication of a downturn in the economy. To closely examine seasonal and non-seasonal changes, the BLS releases two monthly statistical measures: the seasonally adjusted All Employees: Total Nonfarm (PAYEMS) and All Employees: Total Nonfarm (PAYNSA), which is not seasonally adjusted.</w:t>
      </w:r>
      <w:r>
        <w:rPr>
          <w:rFonts w:ascii="MS Gothic" w:eastAsia="MS Gothic" w:hAnsi="MS Gothic" w:cs="MS Gothic" w:hint="eastAsia"/>
          <w:color w:val="262626"/>
          <w:lang w:val="en-GB"/>
        </w:rPr>
        <w:t>  </w:t>
      </w:r>
      <w:r>
        <w:rPr>
          <w:rFonts w:ascii="Verdana" w:hAnsi="Verdana" w:cs="Verdana"/>
          <w:color w:val="262626"/>
          <w:lang w:val="en-GB"/>
        </w:rPr>
        <w:t>The series comes from the 'Current Employment Statistics (Establishment Survey).'</w:t>
      </w:r>
      <w:r>
        <w:rPr>
          <w:rFonts w:ascii="MS Gothic" w:eastAsia="MS Gothic" w:hAnsi="MS Gothic" w:cs="MS Gothic" w:hint="eastAsia"/>
          <w:color w:val="262626"/>
          <w:lang w:val="en-GB"/>
        </w:rPr>
        <w:t>  </w:t>
      </w:r>
      <w:r>
        <w:rPr>
          <w:rFonts w:ascii="Verdana" w:hAnsi="Verdana" w:cs="Verdana"/>
          <w:color w:val="262626"/>
          <w:lang w:val="en-GB"/>
        </w:rPr>
        <w:t>The source code is: CES0000000001</w:t>
      </w:r>
    </w:p>
    <w:p w14:paraId="7555F236"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7D39F66D"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t xml:space="preserve">U.S. Bureau of </w:t>
      </w:r>
      <w:proofErr w:type="spellStart"/>
      <w:r>
        <w:rPr>
          <w:rFonts w:ascii="Verdana" w:hAnsi="Verdana" w:cs="Verdana"/>
          <w:color w:val="262626"/>
          <w:lang w:val="en-GB"/>
        </w:rPr>
        <w:t>Labor</w:t>
      </w:r>
      <w:proofErr w:type="spellEnd"/>
      <w:r>
        <w:rPr>
          <w:rFonts w:ascii="Verdana" w:hAnsi="Verdana" w:cs="Verdana"/>
          <w:color w:val="262626"/>
          <w:lang w:val="en-GB"/>
        </w:rPr>
        <w:t xml:space="preserve"> Statistics, All Employees, Total Nonfarm [PAYEMS], retrieved from FRED, Federal Reserve Bank of St. Louis; https://fred.stlouisfed.org/series/PAYEMS, May 16, 2024.</w:t>
      </w:r>
    </w:p>
    <w:p w14:paraId="33AFBAB2" w14:textId="77777777" w:rsidR="00417D25" w:rsidRDefault="00417D25" w:rsidP="00417D25">
      <w:pPr>
        <w:autoSpaceDE w:val="0"/>
        <w:autoSpaceDN w:val="0"/>
        <w:adjustRightInd w:val="0"/>
        <w:rPr>
          <w:rFonts w:ascii="Verdana" w:hAnsi="Verdana" w:cs="Verdana"/>
          <w:b/>
          <w:bCs/>
          <w:color w:val="262626"/>
          <w:sz w:val="28"/>
          <w:szCs w:val="28"/>
          <w:lang w:val="en-GB"/>
        </w:rPr>
      </w:pPr>
      <w:hyperlink r:id="rId44" w:history="1">
        <w:r>
          <w:rPr>
            <w:rFonts w:ascii="Verdana" w:hAnsi="Verdana" w:cs="Verdana"/>
            <w:b/>
            <w:bCs/>
            <w:color w:val="262626"/>
            <w:sz w:val="28"/>
            <w:szCs w:val="28"/>
            <w:lang w:val="en-GB"/>
          </w:rPr>
          <w:t xml:space="preserve">Producer Price Index by Commodity: All </w:t>
        </w:r>
        <w:proofErr w:type="gramStart"/>
        <w:r>
          <w:rPr>
            <w:rFonts w:ascii="Verdana" w:hAnsi="Verdana" w:cs="Verdana"/>
            <w:b/>
            <w:bCs/>
            <w:color w:val="262626"/>
            <w:sz w:val="28"/>
            <w:szCs w:val="28"/>
            <w:lang w:val="en-GB"/>
          </w:rPr>
          <w:t>Commodities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PPIACO)</w:t>
        </w:r>
      </w:hyperlink>
    </w:p>
    <w:p w14:paraId="779A0552"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45" w:history="1">
        <w:r>
          <w:rPr>
            <w:rFonts w:ascii="Verdana" w:hAnsi="Verdana" w:cs="Verdana"/>
            <w:color w:val="2C4C88"/>
            <w:lang w:val="en-GB"/>
          </w:rPr>
          <w:t xml:space="preserve">U.S. Bureau of </w:t>
        </w:r>
        <w:proofErr w:type="spellStart"/>
        <w:r>
          <w:rPr>
            <w:rFonts w:ascii="Verdana" w:hAnsi="Verdana" w:cs="Verdana"/>
            <w:color w:val="2C4C88"/>
            <w:lang w:val="en-GB"/>
          </w:rPr>
          <w:t>Labor</w:t>
        </w:r>
        <w:proofErr w:type="spellEnd"/>
        <w:r>
          <w:rPr>
            <w:rFonts w:ascii="Verdana" w:hAnsi="Verdana" w:cs="Verdana"/>
            <w:color w:val="2C4C88"/>
            <w:lang w:val="en-GB"/>
          </w:rPr>
          <w:t xml:space="preserve"> Statistics </w:t>
        </w:r>
      </w:hyperlink>
      <w:r>
        <w:rPr>
          <w:rFonts w:ascii="Verdana" w:hAnsi="Verdana" w:cs="Verdana"/>
          <w:color w:val="262626"/>
          <w:lang w:val="en-GB"/>
        </w:rPr>
        <w:t> </w:t>
      </w:r>
    </w:p>
    <w:p w14:paraId="6ACAFFA4"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46" w:history="1">
        <w:r>
          <w:rPr>
            <w:rFonts w:ascii="Verdana" w:hAnsi="Verdana" w:cs="Verdana"/>
            <w:color w:val="2C4C88"/>
            <w:lang w:val="en-GB"/>
          </w:rPr>
          <w:t>Producer Price Index </w:t>
        </w:r>
      </w:hyperlink>
      <w:r>
        <w:rPr>
          <w:rFonts w:ascii="Verdana" w:hAnsi="Verdana" w:cs="Verdana"/>
          <w:color w:val="262626"/>
          <w:lang w:val="en-GB"/>
        </w:rPr>
        <w:t> </w:t>
      </w:r>
    </w:p>
    <w:p w14:paraId="08BE234E" w14:textId="77777777" w:rsidR="00417D25" w:rsidRDefault="00417D25" w:rsidP="00417D25">
      <w:pPr>
        <w:autoSpaceDE w:val="0"/>
        <w:autoSpaceDN w:val="0"/>
        <w:adjustRightInd w:val="0"/>
        <w:rPr>
          <w:rFonts w:ascii="Verdana" w:hAnsi="Verdana" w:cs="Verdana"/>
          <w:color w:val="262626"/>
          <w:lang w:val="en-GB"/>
        </w:rPr>
      </w:pPr>
    </w:p>
    <w:p w14:paraId="015D0A08"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Index 1982=100, Not Seasonally Adjusted</w:t>
      </w:r>
    </w:p>
    <w:p w14:paraId="69568C33"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384D82AE" w14:textId="77777777" w:rsidR="00417D25" w:rsidRDefault="00417D25" w:rsidP="00417D25">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109B1FB6" w14:textId="77777777" w:rsidR="00417D25" w:rsidRDefault="00417D25" w:rsidP="00417D25">
      <w:pPr>
        <w:autoSpaceDE w:val="0"/>
        <w:autoSpaceDN w:val="0"/>
        <w:adjustRightInd w:val="0"/>
        <w:spacing w:after="120"/>
        <w:rPr>
          <w:rFonts w:ascii="Verdana" w:hAnsi="Verdana" w:cs="Verdana"/>
          <w:color w:val="262626"/>
          <w:lang w:val="en-GB"/>
        </w:rPr>
      </w:pPr>
      <w:r>
        <w:rPr>
          <w:rFonts w:ascii="Verdana" w:hAnsi="Verdana" w:cs="Verdana"/>
          <w:color w:val="262626"/>
          <w:lang w:val="en-GB"/>
        </w:rPr>
        <w:lastRenderedPageBreak/>
        <w:t xml:space="preserve">U.S. Bureau of </w:t>
      </w:r>
      <w:proofErr w:type="spellStart"/>
      <w:r>
        <w:rPr>
          <w:rFonts w:ascii="Verdana" w:hAnsi="Verdana" w:cs="Verdana"/>
          <w:color w:val="262626"/>
          <w:lang w:val="en-GB"/>
        </w:rPr>
        <w:t>Labor</w:t>
      </w:r>
      <w:proofErr w:type="spellEnd"/>
      <w:r>
        <w:rPr>
          <w:rFonts w:ascii="Verdana" w:hAnsi="Verdana" w:cs="Verdana"/>
          <w:color w:val="262626"/>
          <w:lang w:val="en-GB"/>
        </w:rPr>
        <w:t xml:space="preserve"> Statistics, Producer Price Index by Commodity: All Commodities [PPIACO], retrieved from FRED, Federal Reserve Bank of St. Louis; https://fred.stlouisfed.org/series/PPIACO, May 16, 2024.</w:t>
      </w:r>
    </w:p>
    <w:p w14:paraId="4D05309A" w14:textId="77777777" w:rsidR="00417D25" w:rsidRPr="00417D25" w:rsidRDefault="00417D25">
      <w:pPr>
        <w:rPr>
          <w:lang w:val="en-GB"/>
        </w:rPr>
      </w:pPr>
    </w:p>
    <w:sectPr w:rsidR="00417D25" w:rsidRPr="00417D25" w:rsidSect="001242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25"/>
    <w:rsid w:val="00417D2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A8F7230"/>
  <w15:chartTrackingRefBased/>
  <w15:docId w15:val="{B368C3F8-3DCB-8045-8770-305F60B4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ud.gov/" TargetMode="External"/><Relationship Id="rId18" Type="http://schemas.openxmlformats.org/officeDocument/2006/relationships/hyperlink" Target="http://www.eia.doe.gov/dnav/pet/TblDefs/pet_pri_spt_tbldef2.asp" TargetMode="External"/><Relationship Id="rId26" Type="http://schemas.openxmlformats.org/officeDocument/2006/relationships/hyperlink" Target="https://fred.stlouisfed.org/series/CPIUFDSL" TargetMode="External"/><Relationship Id="rId39" Type="http://schemas.openxmlformats.org/officeDocument/2006/relationships/hyperlink" Target="http://www.cboe.com/" TargetMode="External"/><Relationship Id="rId21" Type="http://schemas.openxmlformats.org/officeDocument/2006/relationships/hyperlink" Target="https://www.frbatlanta.org/research/inflationproject/stickyprice/" TargetMode="External"/><Relationship Id="rId34" Type="http://schemas.openxmlformats.org/officeDocument/2006/relationships/hyperlink" Target="https://fred.stlouisfed.org/series/MICH" TargetMode="External"/><Relationship Id="rId42" Type="http://schemas.openxmlformats.org/officeDocument/2006/relationships/hyperlink" Target="https://www.bls.gov/" TargetMode="External"/><Relationship Id="rId47" Type="http://schemas.openxmlformats.org/officeDocument/2006/relationships/fontTable" Target="fontTable.xml"/><Relationship Id="rId7" Type="http://schemas.openxmlformats.org/officeDocument/2006/relationships/hyperlink" Target="https://fred.stlouisfed.org/series/WILL5000PR" TargetMode="External"/><Relationship Id="rId2" Type="http://schemas.openxmlformats.org/officeDocument/2006/relationships/settings" Target="settings.xml"/><Relationship Id="rId16" Type="http://schemas.openxmlformats.org/officeDocument/2006/relationships/hyperlink" Target="http://www.eia.gov/" TargetMode="External"/><Relationship Id="rId29" Type="http://schemas.openxmlformats.org/officeDocument/2006/relationships/hyperlink" Target="https://www.bls.gov/opub/hom/pdf/cpihom.pdf" TargetMode="External"/><Relationship Id="rId1" Type="http://schemas.openxmlformats.org/officeDocument/2006/relationships/styles" Target="styles.xml"/><Relationship Id="rId6" Type="http://schemas.openxmlformats.org/officeDocument/2006/relationships/hyperlink" Target="https://www.federalreserve.gov/feeds/g17.html" TargetMode="External"/><Relationship Id="rId11" Type="http://schemas.openxmlformats.org/officeDocument/2006/relationships/hyperlink" Target="https://fred.stlouisfed.org/series/HSN1F" TargetMode="External"/><Relationship Id="rId24" Type="http://schemas.openxmlformats.org/officeDocument/2006/relationships/hyperlink" Target="http://www.bea.gov/" TargetMode="External"/><Relationship Id="rId32" Type="http://schemas.openxmlformats.org/officeDocument/2006/relationships/hyperlink" Target="http://www.federalreserve.gov/" TargetMode="External"/><Relationship Id="rId37" Type="http://schemas.openxmlformats.org/officeDocument/2006/relationships/hyperlink" Target="https://fred.stlouisfed.org/series/MICH/," TargetMode="External"/><Relationship Id="rId40" Type="http://schemas.openxmlformats.org/officeDocument/2006/relationships/hyperlink" Target="http://www.cboe.com/data/mktstat.aspx" TargetMode="External"/><Relationship Id="rId45" Type="http://schemas.openxmlformats.org/officeDocument/2006/relationships/hyperlink" Target="https://www.bls.gov/" TargetMode="External"/><Relationship Id="rId5" Type="http://schemas.openxmlformats.org/officeDocument/2006/relationships/hyperlink" Target="https://www.federalreserve.gov/releases/g17/About.htm" TargetMode="External"/><Relationship Id="rId15" Type="http://schemas.openxmlformats.org/officeDocument/2006/relationships/hyperlink" Target="https://fred.stlouisfed.org/series/DCOILBRENTEU" TargetMode="External"/><Relationship Id="rId23" Type="http://schemas.openxmlformats.org/officeDocument/2006/relationships/hyperlink" Target="https://fred.stlouisfed.org/series/TOTALSA" TargetMode="External"/><Relationship Id="rId28" Type="http://schemas.openxmlformats.org/officeDocument/2006/relationships/hyperlink" Target="http://www.bls.gov/cpi/" TargetMode="External"/><Relationship Id="rId36" Type="http://schemas.openxmlformats.org/officeDocument/2006/relationships/hyperlink" Target="http://www.sca.isr.umich.edu/" TargetMode="External"/><Relationship Id="rId10" Type="http://schemas.openxmlformats.org/officeDocument/2006/relationships/hyperlink" Target="http://www.wilshire.com/Indexes" TargetMode="External"/><Relationship Id="rId19" Type="http://schemas.openxmlformats.org/officeDocument/2006/relationships/hyperlink" Target="https://fred.stlouisfed.org/series/CORESTICKM159SFRBATL" TargetMode="External"/><Relationship Id="rId31" Type="http://schemas.openxmlformats.org/officeDocument/2006/relationships/hyperlink" Target="https://fred.stlouisfed.org/series/DEXJPUS" TargetMode="External"/><Relationship Id="rId44" Type="http://schemas.openxmlformats.org/officeDocument/2006/relationships/hyperlink" Target="https://fred.stlouisfed.org/series/PPIACO" TargetMode="External"/><Relationship Id="rId4" Type="http://schemas.openxmlformats.org/officeDocument/2006/relationships/hyperlink" Target="http://www.federalreserve.gov/releases/g17/" TargetMode="External"/><Relationship Id="rId9" Type="http://schemas.openxmlformats.org/officeDocument/2006/relationships/hyperlink" Target="http://www.wilshire.com/Indexes/" TargetMode="External"/><Relationship Id="rId14" Type="http://schemas.openxmlformats.org/officeDocument/2006/relationships/hyperlink" Target="http://www.census.gov/construction/nrs/" TargetMode="External"/><Relationship Id="rId22" Type="http://schemas.openxmlformats.org/officeDocument/2006/relationships/hyperlink" Target="https://doi.org/10.26509/frbc-ec-201002" TargetMode="External"/><Relationship Id="rId27" Type="http://schemas.openxmlformats.org/officeDocument/2006/relationships/hyperlink" Target="https://www.bls.gov/" TargetMode="External"/><Relationship Id="rId30" Type="http://schemas.openxmlformats.org/officeDocument/2006/relationships/hyperlink" Target="http://stats.bls.gov/cpi/cpifaq.htm" TargetMode="External"/><Relationship Id="rId35" Type="http://schemas.openxmlformats.org/officeDocument/2006/relationships/hyperlink" Target="https://www.umich.edu/" TargetMode="External"/><Relationship Id="rId43" Type="http://schemas.openxmlformats.org/officeDocument/2006/relationships/hyperlink" Target="http://www.bls.gov/ces/" TargetMode="External"/><Relationship Id="rId48" Type="http://schemas.openxmlformats.org/officeDocument/2006/relationships/theme" Target="theme/theme1.xml"/><Relationship Id="rId8" Type="http://schemas.openxmlformats.org/officeDocument/2006/relationships/hyperlink" Target="http://www.wilshire.com/" TargetMode="External"/><Relationship Id="rId3" Type="http://schemas.openxmlformats.org/officeDocument/2006/relationships/webSettings" Target="webSettings.xml"/><Relationship Id="rId12" Type="http://schemas.openxmlformats.org/officeDocument/2006/relationships/hyperlink" Target="http://www.census.gov/" TargetMode="External"/><Relationship Id="rId17" Type="http://schemas.openxmlformats.org/officeDocument/2006/relationships/hyperlink" Target="http://www.eia.doe.gov/dnav/pet/pet_pri_spt_s1_d.htm" TargetMode="External"/><Relationship Id="rId25" Type="http://schemas.openxmlformats.org/officeDocument/2006/relationships/hyperlink" Target="https://www.bea.gov/data/gdp/gross-domestic-product#collapse86" TargetMode="External"/><Relationship Id="rId33" Type="http://schemas.openxmlformats.org/officeDocument/2006/relationships/hyperlink" Target="http://www.federalreserve.gov/releases/h10/" TargetMode="External"/><Relationship Id="rId38" Type="http://schemas.openxmlformats.org/officeDocument/2006/relationships/hyperlink" Target="https://fred.stlouisfed.org/series/VIXCLS" TargetMode="External"/><Relationship Id="rId46" Type="http://schemas.openxmlformats.org/officeDocument/2006/relationships/hyperlink" Target="http://www.bls.gov/ppi/" TargetMode="External"/><Relationship Id="rId20" Type="http://schemas.openxmlformats.org/officeDocument/2006/relationships/hyperlink" Target="http://www.frbatlanta.org/" TargetMode="External"/><Relationship Id="rId41" Type="http://schemas.openxmlformats.org/officeDocument/2006/relationships/hyperlink" Target="https://fred.stlouisfed.org/series/PAY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1717</Words>
  <Characters>9791</Characters>
  <Application>Microsoft Office Word</Application>
  <DocSecurity>0</DocSecurity>
  <Lines>81</Lines>
  <Paragraphs>22</Paragraphs>
  <ScaleCrop>false</ScaleCrop>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Bassetti</dc:creator>
  <cp:keywords/>
  <dc:description/>
  <cp:lastModifiedBy>Federico Bassetti</cp:lastModifiedBy>
  <cp:revision>1</cp:revision>
  <dcterms:created xsi:type="dcterms:W3CDTF">2024-05-19T13:53:00Z</dcterms:created>
  <dcterms:modified xsi:type="dcterms:W3CDTF">2024-05-19T13:54:00Z</dcterms:modified>
</cp:coreProperties>
</file>