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Общие требования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Система должна быть автоматической и не требовать ручного включения.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Отсутствует возможность отключения регистратора исторических данных.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Отсутствует возможность ручного удаления/изменения исторических данных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параметров работы крана не менее 30 дней и не менее 10 циклов.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рабочих циклов крана не менее 3 лет.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Возможность быстрого и удобного просмотра, фильтрации и поиска по историческим данным.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Возможность экспорта исторических данных в простой открытый стандартный формат типа CSV, XML, PDF.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Каждое регистрируемое значения хранится: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 меткой времени в формате UTC с точностью до миллисекунды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 идентификатором крановщика</w:t>
      </w:r>
    </w:p>
    <w:p>
      <w:pPr>
        <w:pStyle w:val="Heading4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Регистрируемые параметры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Общие параметры крана: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Тип и индекс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Нименование предприятия изготовителя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Заводской номер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Год изготовления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Грузоподъемность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группа классификации (режима) для крана и (при необходимости) механизмов (с указанием нор</w:t>
        <w:softHyphen/>
        <w:br/>
        <w:t>мативного характеристического числа)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 ввода крана в эксплуатацию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Нормативный срок службы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Тип и модификация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Наименование предприятия — изготовителя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Заводской номер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Год изготовления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 установки регистратора на кран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Наименование организации, установившей РП на кран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Регистрация текущих параметров работы: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хранение не менее 30 дней и не менее 10 циклов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срабатывание сигнализации,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активные блокировки,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байпасы или подтвержденные сигналы,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регистрация движений крана,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регистрация нагрузок,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номинальная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фактическая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вылет и угол наклона/поворота стрелы,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пиковая динамическая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грузовысотная диаграмма,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Частота регистрации параметров режима работы крана:</w:t>
        <w:br/>
        <w:t>По величине ключевых параметров:</w:t>
      </w:r>
    </w:p>
    <w:tbl>
      <w:tblPr>
        <w:tblW w:w="4360" w:type="dxa"/>
        <w:jc w:val="start"/>
        <w:tblInd w:w="0" w:type="dxa"/>
        <w:tblLayout w:type="fixed"/>
        <w:tblCellMar>
          <w:top w:w="90" w:type="dxa"/>
          <w:start w:w="195" w:type="dxa"/>
          <w:bottom w:w="90" w:type="dxa"/>
          <w:end w:w="195" w:type="dxa"/>
        </w:tblCellMar>
      </w:tblPr>
      <w:tblGrid>
        <w:gridCol w:w="2391"/>
        <w:gridCol w:w="1968"/>
      </w:tblGrid>
      <w:tr>
        <w:trPr>
          <w:tblHeader w:val="true"/>
        </w:trPr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>
                <w:b/>
                <w:b/>
              </w:rPr>
            </w:pPr>
            <w:r>
              <w:rPr>
                <w:b/>
              </w:rPr>
              <w:t>Степень затрузки, %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>
                <w:b/>
                <w:b/>
              </w:rPr>
            </w:pPr>
            <w:r>
              <w:rPr>
                <w:b/>
              </w:rPr>
              <w:t>Период записи, с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До 40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Св. 40 ДО 55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Се. 55 Д О 90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Се. 90 до 100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Св. 100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 сигналов сигнализации: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 ОГП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срабатыванию...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Регистрация рабочих циклов: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хранение не менее 3 лет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максимальная нагрузка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средняя нагрузка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сработавшие концевики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сработавшие аварийные сигналы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Данные за весь срок службы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часах работы;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общей наработке крана и (при необходимости) его механизмов в моточасах;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суммарном числе рабочих циклов;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распределении циклов по диапазонам нагрузки;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суммарной массе поднятых грузов;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количестве срабатываний ограничителя грузоподъемности;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текущем характеристическом числе для крана;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коэффициенте распределения нагрузок для крана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датах внесения новой информации в РП (проверках РП, изменениях параметров крана, перенастройках устройств безопасности и др.);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наименовании организации, внесшей новую информацию в РП и пр.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Для авторизованого инженера: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Регистратор позволяет просматривать и изменять: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Степень нагрузки и соответствующий интервал записи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Перечень параметров работы крана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Перечень параметров, вычисляемых за цикл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текщих параметров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рабочих циклов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3</Pages>
  <Words>449</Words>
  <Characters>2689</Characters>
  <CharactersWithSpaces>3002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2022-10-03T12:14:56Z</dcterms:created>
  <dc:creator/>
  <dc:description/>
  <dc:language>en-US</dc:language>
  <cp:lastModifiedBy/>
  <dcterms:modified xsi:type="dcterms:W3CDTF">2022-10-06T11:12:58Z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werty">
    <vt:lpwstr>777.777.777</vt:lpwstr>
  </property>
</Properties>
</file>