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left"/>
      </w:pPr>
      <w:r>
        <w:rPr>
          <w:rFonts w:ascii="Noto Sans CJK SC" w:hAnsi="Noto Sans CJK SC" w:eastAsia="Noto Sans CJK SC"/>
          <w:b/>
          <w:color w:val="163A5F"/>
          <w:sz w:val="50"/>
        </w:rPr>
        <w:t>将 PaperWritingBench 与</w:t>
        <w:br/>
        <w:t>PaperWrite-Bench 转换为 Harbor 格式</w:t>
      </w:r>
    </w:p>
    <w:p>
      <w:pPr>
        <w:spacing w:before="200" w:after="360"/>
      </w:pPr>
      <w:r>
        <w:rPr>
          <w:rFonts w:ascii="Noto Sans CJK SC" w:hAnsi="Noto Sans CJK SC" w:eastAsia="Noto Sans CJK SC"/>
          <w:b/>
          <w:color w:val="245D8C"/>
          <w:sz w:val="30"/>
        </w:rPr>
        <w:t>实施方案与技术设计文档</w:t>
      </w:r>
    </w:p>
    <w:p>
      <w:pPr>
        <w:pBdr>
          <w:bottom w:val="single" w:sz="28" w:space="1" w:color="245D8C"/>
        </w:pBdr>
      </w:pPr>
    </w:p>
    <w:p>
      <w:pPr>
        <w:spacing w:before="360" w:line="324" w:lineRule="auto"/>
      </w:pPr>
      <w:r>
        <w:rPr>
          <w:rFonts w:ascii="Noto Sans CJK SC" w:hAnsi="Noto Sans CJK SC" w:eastAsia="Noto Sans CJK SC"/>
          <w:b/>
          <w:color w:val="163A5F"/>
          <w:sz w:val="21"/>
        </w:rPr>
        <w:t>文档定位：</w:t>
      </w:r>
      <w:r>
        <w:rPr>
          <w:rFonts w:ascii="Noto Sans CJK SC" w:hAnsi="Noto Sans CJK SC" w:eastAsia="Noto Sans CJK SC"/>
          <w:color w:val="22313F"/>
          <w:sz w:val="21"/>
        </w:rPr>
        <w:t>Harbor 化阶段的架构、数据切分、任务生成与验收方案</w:t>
        <w:br/>
      </w:r>
      <w:r>
        <w:rPr>
          <w:rFonts w:ascii="Noto Sans CJK SC" w:hAnsi="Noto Sans CJK SC" w:eastAsia="Noto Sans CJK SC"/>
          <w:b/>
          <w:color w:val="163A5F"/>
          <w:sz w:val="21"/>
        </w:rPr>
        <w:t>第一版协议：</w:t>
      </w:r>
      <w:r>
        <w:rPr>
          <w:rFonts w:ascii="Noto Sans CJK SC" w:hAnsi="Noto Sans CJK SC" w:eastAsia="Noto Sans CJK SC"/>
          <w:color w:val="22313F"/>
          <w:sz w:val="21"/>
        </w:rPr>
        <w:t>PaperWritingBench：Sparse + PlotOff；PaperWrite-Bench：Short Overview</w:t>
        <w:br/>
      </w:r>
      <w:r>
        <w:rPr>
          <w:rFonts w:ascii="Noto Sans CJK SC" w:hAnsi="Noto Sans CJK SC" w:eastAsia="Noto Sans CJK SC"/>
          <w:b/>
          <w:color w:val="163A5F"/>
          <w:sz w:val="21"/>
        </w:rPr>
        <w:t>范围边界：</w:t>
      </w:r>
      <w:r>
        <w:rPr>
          <w:rFonts w:ascii="Noto Sans CJK SC" w:hAnsi="Noto Sans CJK SC" w:eastAsia="Noto Sans CJK SC"/>
          <w:color w:val="22313F"/>
          <w:sz w:val="21"/>
        </w:rPr>
        <w:t>本阶段先生成可运行的 Harbor 数据集；正式科学评测在后续阶段接入</w:t>
        <w:br/>
      </w:r>
      <w:r>
        <w:rPr>
          <w:rFonts w:ascii="Noto Sans CJK SC" w:hAnsi="Noto Sans CJK SC" w:eastAsia="Noto Sans CJK SC"/>
          <w:b/>
          <w:color w:val="163A5F"/>
          <w:sz w:val="21"/>
        </w:rPr>
        <w:t>版本：</w:t>
      </w:r>
      <w:r>
        <w:rPr>
          <w:rFonts w:ascii="Noto Sans CJK SC" w:hAnsi="Noto Sans CJK SC" w:eastAsia="Noto Sans CJK SC"/>
          <w:color w:val="22313F"/>
          <w:sz w:val="21"/>
        </w:rPr>
        <w:t>v1.0</w:t>
        <w:br/>
      </w:r>
      <w:r>
        <w:rPr>
          <w:rFonts w:ascii="Noto Sans CJK SC" w:hAnsi="Noto Sans CJK SC" w:eastAsia="Noto Sans CJK SC"/>
          <w:b/>
          <w:color w:val="163A5F"/>
          <w:sz w:val="21"/>
        </w:rPr>
        <w:t>日期：</w:t>
      </w:r>
      <w:r>
        <w:rPr>
          <w:rFonts w:ascii="Noto Sans CJK SC" w:hAnsi="Noto Sans CJK SC" w:eastAsia="Noto Sans CJK SC"/>
          <w:color w:val="22313F"/>
          <w:sz w:val="21"/>
        </w:rPr>
        <w:t>2026 年 8 月 28 日</w:t>
        <w:br/>
      </w:r>
    </w:p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245D8C"/>
          <w:sz w:val="21"/>
        </w:rPr>
        <w:t>上游 benchmark  →  Harbor adapter  →  Harbor tasks  →  Oracle / Smoke  →  正式评测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5D6D7E"/>
          <w:sz w:val="19"/>
        </w:rPr>
        <w:t>内部实施文档</w:t>
      </w:r>
    </w:p>
    <w:p>
      <w:r>
        <w:br w:type="page"/>
      </w: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7EE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val="nil"/>
              <w:left w:val="single" w:sz="8" w:color="1E8449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8449"/>
                <w:sz w:val="21"/>
              </w:rPr>
              <w:t>核心决策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2313F"/>
                <w:sz w:val="20"/>
              </w:rPr>
              <w:t>先把两个上游 benchmark 转换为两个相互独立的 Harbor dataset；每篇论文对应一个单步 Harbor task。第一阶段只做结构、隔离、编译与 Oracle 验证，不提前把复杂的 LLM judge 和官方科学评分耦合进转换工作。</w:t>
            </w:r>
          </w:p>
        </w:tc>
      </w:tr>
    </w:tbl>
    <w:p>
      <w:pPr>
        <w:spacing w:after="20"/>
      </w:pP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第一版预计形成 251 个任务：PaperWritingBench 的 200 个 `sparse-plotoff` 任务，以及 PaperWrite-Bench 的 51 个 `short` 任务。上游数据规模和样本数分别由官方数据页给出。[5][6]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57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368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PaperWritingBench</w:t>
            </w:r>
          </w:p>
        </w:tc>
        <w:tc>
          <w:tcPr>
            <w:tcW w:type="dxa" w:w="368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PaperWrite-Bench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第一版协议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Sparse Idea + PlotOff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Short Research Overview</w:t>
            </w:r>
          </w:p>
        </w:tc>
      </w:tr>
      <w:tr>
        <w:trPr>
          <w:cantSplit/>
        </w:trPr>
        <w:tc>
          <w:tcPr>
            <w:tcW w:type="dxa" w:w="1757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任务数量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200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网络策略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受控 allowlist；只开放必要的模型端点与学术检索端点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Agent 阶段 no-network</w:t>
            </w:r>
          </w:p>
        </w:tc>
      </w:tr>
      <w:tr>
        <w:trPr>
          <w:cantSplit/>
        </w:trPr>
        <w:tc>
          <w:tcPr>
            <w:tcW w:type="dxa" w:w="1757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公开输入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idea、实验日志、模板、规范、已有图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overview、模板、固定 bibliography、图表、可选代码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私有输入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原论文、GT 引用缓存、评价提示与结果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GT LaTeX/PDF、eval_points、另一版本 overview、评价结果</w:t>
            </w:r>
          </w:p>
        </w:tc>
      </w:tr>
      <w:tr>
        <w:trPr>
          <w:cantSplit/>
        </w:trPr>
        <w:tc>
          <w:tcPr>
            <w:tcW w:type="dxa" w:w="1757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第一阶段 verifier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Artifact 合同 + 安全编译 + PDF 基础检查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Artifact 合同 + 安全编译 + PDF 基础检查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第二阶段 verifier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AgentReview、文献综述、Citation F1；SxS 后处理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Rubric、Hallucination、Citation、图表评价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两个 adapter 共用统一输出合同：Agent 必须把完整投稿产物写入 `/workspace/submission/`，Harbor 通过 task-level artifacts 将该目录按原绝对路径复制到独立 verifier 环境。Harbor 当前文档明确支持 `schema_version = "1.4"`、独立 verifier environment，以及按原路径传递声明的 artifacts。[1]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文档目录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1. </w:t>
      </w:r>
      <w:r>
        <w:rPr>
          <w:rFonts w:ascii="Noto Sans CJK SC" w:hAnsi="Noto Sans CJK SC" w:eastAsia="Noto Sans CJK SC"/>
          <w:color w:val="22313F"/>
          <w:sz w:val="20"/>
        </w:rPr>
        <w:t>目标、范围与非目标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2. </w:t>
      </w:r>
      <w:r>
        <w:rPr>
          <w:rFonts w:ascii="Noto Sans CJK SC" w:hAnsi="Noto Sans CJK SC" w:eastAsia="Noto Sans CJK SC"/>
          <w:color w:val="22313F"/>
          <w:sz w:val="20"/>
        </w:rPr>
        <w:t>总体架构与仓库组织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3. </w:t>
      </w:r>
      <w:r>
        <w:rPr>
          <w:rFonts w:ascii="Noto Sans CJK SC" w:hAnsi="Noto Sans CJK SC" w:eastAsia="Noto Sans CJK SC"/>
          <w:color w:val="22313F"/>
          <w:sz w:val="20"/>
        </w:rPr>
        <w:t>通用 Harbor task 设计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4. </w:t>
      </w:r>
      <w:r>
        <w:rPr>
          <w:rFonts w:ascii="Noto Sans CJK SC" w:hAnsi="Noto Sans CJK SC" w:eastAsia="Noto Sans CJK SC"/>
          <w:color w:val="22313F"/>
          <w:sz w:val="20"/>
        </w:rPr>
        <w:t>PaperWritingBench 转换方案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5. </w:t>
      </w:r>
      <w:r>
        <w:rPr>
          <w:rFonts w:ascii="Noto Sans CJK SC" w:hAnsi="Noto Sans CJK SC" w:eastAsia="Noto Sans CJK SC"/>
          <w:color w:val="22313F"/>
          <w:sz w:val="20"/>
        </w:rPr>
        <w:t>PaperWrite-Bench 转换方案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6. </w:t>
      </w:r>
      <w:r>
        <w:rPr>
          <w:rFonts w:ascii="Noto Sans CJK SC" w:hAnsi="Noto Sans CJK SC" w:eastAsia="Noto Sans CJK SC"/>
          <w:color w:val="22313F"/>
          <w:sz w:val="20"/>
        </w:rPr>
        <w:t>Adapter 实现规范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7. </w:t>
      </w:r>
      <w:r>
        <w:rPr>
          <w:rFonts w:ascii="Noto Sans CJK SC" w:hAnsi="Noto Sans CJK SC" w:eastAsia="Noto Sans CJK SC"/>
          <w:color w:val="22313F"/>
          <w:sz w:val="20"/>
        </w:rPr>
        <w:t>Verifier、Oracle 与安全边界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8. </w:t>
      </w:r>
      <w:r>
        <w:rPr>
          <w:rFonts w:ascii="Noto Sans CJK SC" w:hAnsi="Noto Sans CJK SC" w:eastAsia="Noto Sans CJK SC"/>
          <w:color w:val="22313F"/>
          <w:sz w:val="20"/>
        </w:rPr>
        <w:t>分阶段实施与正式评测接入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9. </w:t>
      </w:r>
      <w:r>
        <w:rPr>
          <w:rFonts w:ascii="Noto Sans CJK SC" w:hAnsi="Noto Sans CJK SC" w:eastAsia="Noto Sans CJK SC"/>
          <w:color w:val="22313F"/>
          <w:sz w:val="20"/>
        </w:rPr>
        <w:t>验收标准、风险与决策记录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10. </w:t>
      </w:r>
      <w:r>
        <w:rPr>
          <w:rFonts w:ascii="Noto Sans CJK SC" w:hAnsi="Noto Sans CJK SC" w:eastAsia="Noto Sans CJK SC"/>
          <w:color w:val="22313F"/>
          <w:sz w:val="20"/>
        </w:rPr>
        <w:t>附录：配置示例、伪代码与参考资料</w:t>
      </w: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1. 目标、范围与非目标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1.1 目标</w:t>
      </w: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将两个上游论文写作 benchmark 转换为可由 Harbor 直接加载、运行、验证和发布的数据集。转换后的任务应忠实保留原 benchmark 的输入权限、输出要求和协议差异，同时为后续接入自定义写作 Agent 和官方 evaluator 提供稳定接口。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每个上游论文样本生成一个独立、可复现、可审计的 Harbor task。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公开材料、私有 ground truth、oracle solution 和 verifier 代码严格分层。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使用确定性 task ID、固定 upstream revision 和文件哈希，确保重复转换结果一致。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统一 Agent 输出路径和 LaTeX 编译约束，避免为两个 benchmark 分别适配 Agent。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先通过 Oracle、NOP、泄漏审计和安全编译，再接入正式科学评分。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1.2 本阶段包含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268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6917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Adapter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上游数据读取、样本筛选、协议选择、任务目录生成、manifest 与哈希</w:t>
            </w:r>
          </w:p>
        </w:tc>
      </w:tr>
      <w:tr>
        <w:trPr>
          <w:cantSplit/>
        </w:trPr>
        <w:tc>
          <w:tcPr>
            <w:tcW w:type="dxa" w:w="2268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Agent environment</w:t>
            </w:r>
          </w:p>
        </w:tc>
        <w:tc>
          <w:tcPr>
            <w:tcW w:type="dxa" w:w="6917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统一 TeX 基础镜像、公开材料 staging、只读资源区、可写 submission 区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Harbor metadata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task.toml、instruction.md、dataset.toml、metric.py 的第一版</w:t>
            </w:r>
          </w:p>
        </w:tc>
      </w:tr>
      <w:tr>
        <w:trPr>
          <w:cantSplit/>
        </w:trPr>
        <w:tc>
          <w:tcPr>
            <w:tcW w:type="dxa" w:w="2268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Smoke verifier</w:t>
            </w:r>
          </w:p>
        </w:tc>
        <w:tc>
          <w:tcPr>
            <w:tcW w:type="dxa" w:w="6917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文件合同、路径安全、LaTeX 编译、PDF 非空、引用/图片基础错误检查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Oracle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生成符合输出合同的参考产物，用于 100% smoke pass</w:t>
            </w:r>
          </w:p>
        </w:tc>
      </w:tr>
      <w:tr>
        <w:trPr>
          <w:cantSplit/>
        </w:trPr>
        <w:tc>
          <w:tcPr>
            <w:tcW w:type="dxa" w:w="2268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QA</w:t>
            </w:r>
          </w:p>
        </w:tc>
        <w:tc>
          <w:tcPr>
            <w:tcW w:type="dxa" w:w="6917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任务数量、唯一性、构建、泄漏、Oracle/NOP、安全攻击样例与人工抽查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1.3 本阶段不包含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不运行用户自己的写作 Agent，不产出最终 benchmark 排名。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不在第一版 task 中强制运行昂贵的 LLM-as-a-Judge。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不把 PaperWritingBench 的跨系统 SxS 比较塞进单个 task verifier。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不混合 sparse/dense、PlotOn/PlotOff、short/long 等不同协议的结果。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不通过查看 test-set GT 或 eval_points 来调优 Agent prompt。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val="nil"/>
              <w:left w:val="single" w:sz="8" w:color="245D8C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45D8C"/>
                <w:sz w:val="21"/>
              </w:rPr>
              <w:t>阶段边界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2313F"/>
                <w:sz w:val="20"/>
              </w:rPr>
              <w:t>Harbor 化完成的定义是：数据集可加载、任务可构建、Oracle 全通过、NOP 失败、私有信息零泄漏、产物可在独立 verifier 中安全复编译。正式质量分数属于下一阶段。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2. 总体架构与仓库组织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2.1 数据流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Upstream dataset / repository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│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▼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Protocol-specific adapter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│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├── public whitelist  ─────► environment/public/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├── private whitelist ─────► tests/private/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├── oracle materials  ─────► solution/oracle/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└── source manifest   ─────► adapter metadata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│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▼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Harbor task directories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│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├── Oracle / NOP / smoke validation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└── later: official evaluator integration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│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    ▼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harbor run -p &lt;dataset&gt;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2.2 推荐仓库结构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paperbench-harbor/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pyproject.toml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README.md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adapters/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├── paperbench_common/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│   ├── rendering.py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│   ├── task_schema.py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│   ├── hashing.py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│   ├── leakage_audit.py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│   └── templates/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├── paperwritingbench_harbor/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│   ├── main.py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│   ├── loader.py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│   └── protocol.py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└── paperwrite_bench_harbor/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    ├── main.py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    ├── loader.py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    └── protocol.py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datasets/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├── paperwritingbench-sparse-plotoff/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└── paperwrite-bench-short/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scripts/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├── validate_all_tasks.py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├── audit_private_leakage.py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└── summarize_conversion.py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└── tests/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├── test_common.py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├── test_paperwritingbench_adapter.py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└── test_paperwrite_adapter.py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2.3 两个 dataset，而不是一个混合 dataset</w:t>
      </w: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两个 benchmark 的检索权限和评测语义不同。PaperWritingBench 测试开放式论文写作和文献发现；PaperWrite-Bench 测试基于给定 bibliography、图表和代码的忠实重建。因此应当注册为两个独立 dataset，分别拥有自己的 metadata、network policy、metric 和 README。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Dataset A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paperwritingbench-sparse-plotoff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Dataset B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paperwrite-bench-short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后续扩展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paperwritingbench-sparse-ploton、paperwritingbench-dense-plotoff、paperwrite-bench-long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第一版总任务数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251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3. 通用 Harbor task 设计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3.1 每篇论文对应一个单步 task</w:t>
      </w: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第一版采用单步 task，而非 multi-step。Agent 在一个连续工作区内读取材料、编辑 LaTeX、生成 bibliography 和 PDF；验证在 Agent 结束后一次性执行。只有在未来需要分别测量“初稿—反思—修订”能力时，才考虑 Harbor multi-step。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3.2 任务目录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&lt;task-id&gt;/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task.toml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instruction.md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environment/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├── Dockerfile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└── public/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    └── ... agent-visible materials ...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solution/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├── solve.sh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└── oracle/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    └── ... oracle-only materials ...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└── tests/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├── Dockerfile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├── test.sh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├── smoke_grader.py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├── official_grader.py          # 第二阶段启用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└── private/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└── ... GT and evaluator-only materials ...</w:t>
            </w:r>
          </w:p>
        </w:tc>
      </w:tr>
    </w:tbl>
    <w:p>
      <w:pPr>
        <w:spacing w:after="20"/>
      </w:pP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Harbor adapter 官方规范要求每个生成任务至少包含 `task.toml`、`instruction.md`、`environment/Dockerfile`、`solution/solve.sh` 和 `tests/test.sh`，并要求 task name 唯一且 registry-safe。[2]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3.3 统一输出合同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/workspace/submission/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main.tex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references.bib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├── figures/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│   └── ... used or generated assets ...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└── final.pdf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51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969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Verifier 处理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main.tex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必须存在；完整主文档；不得依赖工作区外文件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在无 GT、无密钥的安全编译沙箱中重新编译</w:t>
            </w:r>
          </w:p>
        </w:tc>
      </w:tr>
      <w:tr>
        <w:trPr>
          <w:cantSplit/>
        </w:trPr>
        <w:tc>
          <w:tcPr>
            <w:tcW w:type="dxa" w:w="170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references.bib</w:t>
            </w:r>
          </w:p>
        </w:tc>
        <w:tc>
          <w:tcPr>
            <w:tcW w:type="dxa" w:w="351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必须存在；PaperWrite-Bench 保留原 key</w:t>
            </w:r>
          </w:p>
        </w:tc>
        <w:tc>
          <w:tcPr>
            <w:tcW w:type="dxa" w:w="396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检查引用 key、无效 key 和未解析引用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figures/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只能包含论文实际使用的资产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检查符号链接、路径越界和缺失图片</w:t>
            </w:r>
          </w:p>
        </w:tc>
      </w:tr>
      <w:tr>
        <w:trPr>
          <w:cantSplit/>
        </w:trPr>
        <w:tc>
          <w:tcPr>
            <w:tcW w:type="dxa" w:w="170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final.pdf</w:t>
            </w:r>
          </w:p>
        </w:tc>
        <w:tc>
          <w:tcPr>
            <w:tcW w:type="dxa" w:w="351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Agent 可自行生成，但不作为唯一可信源</w:t>
            </w:r>
          </w:p>
        </w:tc>
        <w:tc>
          <w:tcPr>
            <w:tcW w:type="dxa" w:w="396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与 verifier 复编译结果对照；正式评分使用标准化产物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3.4 Artifact 传递与独立 verifier</w:t>
      </w: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在 `task.toml` 中声明 `artifacts = ["/workspace/submission"]`。Harbor 的 separate verifier 会把声明的 artifact 按相同绝对路径重新物化到 verifier 容器，因此 verifier 仍从 `/workspace/submission` 读取生成结果，不需要路径翻译。[1]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9EBE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val="nil"/>
              <w:left w:val="single" w:sz="8" w:color="922B21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22B21"/>
                <w:sz w:val="21"/>
              </w:rPr>
              <w:t>强制使用 separate verifier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2313F"/>
                <w:sz w:val="20"/>
              </w:rPr>
              <w:t>论文写作任务包含私有 GT、LLM judge 密钥和不可信 LaTeX。共享 verifier 会让 Agent 环境、工具和状态影响评分；独立 verifier 是默认安全选择。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3.5 当前 Harbor 配置基线</w:t>
      </w: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以当前 Harbor 官方文档为准，使用 `schema_version = "1.4"`；网络模式可配置为 `public`、`no-network` 或 `allowlist`，并可在 environment、agent、verifier 和独立 verifier environment 层分别指定。[1][3]</w:t>
      </w: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4. PaperWritingBench 转换方案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4.1 第一版协议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协议名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sparse-plotoff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Idea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idea_sparse.md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图表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使用上游提供的 figures，不要求 Agent 自行绘图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文献检索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允许受控检索，但禁止寻找或识别目标原论文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预计任务数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200：CVPR 2025 与 ICLR 2025 各 100 篇 [5][7]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4.2 Public / Private / Oracle 切分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814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分区</w:t>
            </w:r>
          </w:p>
        </w:tc>
        <w:tc>
          <w:tcPr>
            <w:tcW w:type="dxa" w:w="368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允许包含</w:t>
            </w:r>
          </w:p>
        </w:tc>
        <w:tc>
          <w:tcPr>
            <w:tcW w:type="dxa" w:w="368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不得包含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environment/public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idea_sparse.md；experimental_log.md；会议 template；guidelines；PlotOff figures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原论文 PDF/LaTeX；作者与标题映射；GT 引用缓存；P0/P1 标签；grader prompt</w:t>
            </w:r>
          </w:p>
        </w:tc>
      </w:tr>
      <w:tr>
        <w:trPr>
          <w:cantSplit/>
        </w:trPr>
        <w:tc>
          <w:tcPr>
            <w:tcW w:type="dxa" w:w="1814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tests/private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原论文或 evaluator 所需 GT；引用优先级缓存；私有 grader metadata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任何需要 Agent 读取的写作材料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solution/oracle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可用的原论文 LaTeX/PDF 与必要资产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不应被普通 Agent image COPY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4.3 任务 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paperwritingbench/&lt;venue&gt;-&lt;upstream-id&gt;-sparse-plotoff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示例：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paperwritingbench/cvpr2025-3fbb803c80-sparse-plotoff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paperwritingbench/iclr2025-a2c8e1d401-sparse-plotoff</w:t>
            </w:r>
          </w:p>
        </w:tc>
      </w:tr>
    </w:tbl>
    <w:p>
      <w:pPr>
        <w:spacing w:after="20"/>
      </w:pP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task ID 必须由 adapter 确定性生成：小写、仅使用 registry-safe 字符，并把协议写入 ID，防止同一论文的 sparse/dense 或 PlotOn/PlotOff 互相覆盖。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4.4 网络策略</w:t>
      </w: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PaperWritingBench 的文献发现属于任务能力，因此不能简单地永久断网。建议为 Agent 阶段采用 allowlist：开放所选 Harbor Agent/模型运行所需端点，以及 `api.semanticscholar.org` 等统一学术检索端点；禁止通用网页浏览、arXiv 全文和会议原论文页面。Harbor 当前支持 phase-specific network policy，但本地 Docker allowlist 依赖 Linux 与 nftables 能力，必须在目标执行环境中提前验证。[3]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所有 Agent 使用同一 scholar-search CLI 或 MCP，保证工具能力一致。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Adapter metadata 中记录检索截止日期和允许的 host 列表。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阻断目标论文的精确标题、论文 ID 和已知 URL；阻断逻辑只存在于 sidecar/verifier，不向 Agent泄露。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记录检索日志作为可选 artifact，但不得把私有 blocklist 作为 artifact 传回 Agent 环境。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4.5 Oracle</w:t>
      </w: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若上游提供原始 LaTeX，则 oracle 直接复制并编译。若只提供原论文 PDF，可用一个最小 `pdfpages` wrapper 生成 `main.tex` 和 `final.pdf`，使 Oracle 满足统一输出合同。第一阶段 Oracle 只用于验证 task plumbing 与 smoke verifier；它不是可公开的写作策略。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4.6 后续正式评分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268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评分模块</w:t>
            </w:r>
          </w:p>
        </w:tc>
        <w:tc>
          <w:tcPr>
            <w:tcW w:type="dxa" w:w="2381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接入位置</w:t>
            </w:r>
          </w:p>
        </w:tc>
        <w:tc>
          <w:tcPr>
            <w:tcW w:type="dxa" w:w="453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AgentReview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单 task verifier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对标准化 PDF 评分，输出 overall 和审稿维度</w:t>
            </w:r>
          </w:p>
        </w:tc>
      </w:tr>
      <w:tr>
        <w:trPr>
          <w:cantSplit/>
        </w:trPr>
        <w:tc>
          <w:tcPr>
            <w:tcW w:type="dxa" w:w="2268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Literature Review Quality</w:t>
            </w:r>
          </w:p>
        </w:tc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单 task verifier</w:t>
            </w:r>
          </w:p>
        </w:tc>
        <w:tc>
          <w:tcPr>
            <w:tcW w:type="dxa" w:w="453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评价 Introduction / Related Work 等质量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Citation F1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单 task verifier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对生成引用与 GT 必要/可选引用做匹配</w:t>
            </w:r>
          </w:p>
        </w:tc>
      </w:tr>
      <w:tr>
        <w:trPr>
          <w:cantSplit/>
        </w:trPr>
        <w:tc>
          <w:tcPr>
            <w:tcW w:type="dxa" w:w="2268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SxS Paper Quality</w:t>
            </w:r>
          </w:p>
        </w:tc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跨实验 post-processing</w:t>
            </w:r>
          </w:p>
        </w:tc>
        <w:tc>
          <w:tcPr>
            <w:tcW w:type="dxa" w:w="453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需要同时访问两个系统在同一 paper 上的 PDF，不放进单 task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5. PaperWrite-Bench 转换方案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5.1 第一版协议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协议名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short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Overview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research_overview_short.md → research_overview.md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Bibliography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使用上游 references.bib，禁止新增外部文献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图表与代码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公开 figures、tables、summary 和可选 code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网络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Agent 阶段 no-network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预计任务数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313F"/>
                <w:sz w:val="19"/>
              </w:rPr>
              <w:t>51 [6][8]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5.2 Public / Private / Oracle 切分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814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分区</w:t>
            </w:r>
          </w:p>
        </w:tc>
        <w:tc>
          <w:tcPr>
            <w:tcW w:type="dxa" w:w="368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允许包含</w:t>
            </w:r>
          </w:p>
        </w:tc>
        <w:tc>
          <w:tcPr>
            <w:tcW w:type="dxa" w:w="368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不得包含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environment/public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research_overview.md；template.tex；references.bib；figures；tables；summaries；可选 code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gt_tex；gt_pdf；eval_points；long overview；评价日志</w:t>
            </w:r>
          </w:p>
        </w:tc>
      </w:tr>
      <w:tr>
        <w:trPr>
          <w:cantSplit/>
        </w:trPr>
        <w:tc>
          <w:tcPr>
            <w:tcW w:type="dxa" w:w="1814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tests/private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gt_main.tex/PDF；eval_points.json；grader metadata；必要的 GT 资产</w:t>
            </w:r>
          </w:p>
        </w:tc>
        <w:tc>
          <w:tcPr>
            <w:tcW w:type="dxa" w:w="368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Agent 需要编辑的模板副本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solution/oracle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GT LaTeX、bibliography、图表资产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任何会改变公开输入语义的额外说明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5.3 任务 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paperwrite-bench/&lt;upstream-id&gt;-short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示例：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paperwrite-bench/paper-001-short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paperwrite-bench/locoop-short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5.4 关键兼容约束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将选定 overview 复制为统一名称 `research_overview.md`，不要同时公开 short 和 long。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保持上游 BibTeX key 不变；官方 citation evaluator 直接比较 citation key，重命名会被视为 missing/extra。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尽量让最终正文收敛到单一 `main.tex`；如允许 `\input{}`，adapter/verifier 应递归展开并生成标准化单文件。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保留模板章节骨架，但禁止把 eval_points 复制到 Agent environment。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Agent 只能依据 overview、图表、代码和固定 bibliography 写作，不使用外部检索。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5.5 Oracle</w:t>
      </w: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Oracle 使用 GT LaTeX、references 和资产生成 `/workspace/submission`。因为 PaperWrite-Bench 官方 evaluator 需要 predicted LaTeX 与 GT 对照，Oracle 应输出真实可解析的 LaTeX，而不是只有 PDF。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5.6 后续正式评分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268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17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Rubric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逐 section 的关键内容覆盖分；图表缺失会影响相关 rubric 项</w:t>
            </w:r>
          </w:p>
        </w:tc>
      </w:tr>
      <w:tr>
        <w:trPr>
          <w:cantSplit/>
        </w:trPr>
        <w:tc>
          <w:tcPr>
            <w:tcW w:type="dxa" w:w="2268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Hallucination</w:t>
            </w:r>
          </w:p>
        </w:tc>
        <w:tc>
          <w:tcPr>
            <w:tcW w:type="dxa" w:w="6917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supported、neutral、major contradiction、minor contradiction；含二次 GT/代码复核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Citation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precision、recall、F1、missing、extra、hallucinated citation keys</w:t>
            </w:r>
          </w:p>
        </w:tc>
      </w:tr>
      <w:tr>
        <w:trPr>
          <w:cantSplit/>
        </w:trPr>
        <w:tc>
          <w:tcPr>
            <w:tcW w:type="dxa" w:w="2268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Figure / Table</w:t>
            </w:r>
          </w:p>
        </w:tc>
        <w:tc>
          <w:tcPr>
            <w:tcW w:type="dxa" w:w="6917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图覆盖与上下文分；表格数值、结构与内容匹配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6. Adapter 实现规范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6.1 统一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# PaperWritingBench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uv run python -m paperwritingbench_harbor.main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--source /data/PaperWritingBench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--output-dir datasets/paperwritingbench-sparse-plotoff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--protocol sparse-plotoff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--dataset-revision &lt;pinned-revision&gt;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--limit 5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# PaperWrite-Bench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uv run python -m paperwrite_bench_harbor.main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--source /data/PaperWrite-Bench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--output-dir datasets/paperwrite-bench-short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--overview short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--dataset-revision &lt;pinned-revision&gt; \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--limit 5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381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803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--source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上游本地目录或已下载数据缓存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--output-dir</w:t>
            </w:r>
          </w:p>
        </w:tc>
        <w:tc>
          <w:tcPr>
            <w:tcW w:type="dxa" w:w="6803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生成 Harbor dataset 的目标目录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--limit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只转换前 N 个样本，用于 smoke 开发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--task-ids</w:t>
            </w:r>
          </w:p>
        </w:tc>
        <w:tc>
          <w:tcPr>
            <w:tcW w:type="dxa" w:w="6803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只转换指定 upstream IDs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--overwrite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允许覆盖已存在 task；默认拒绝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--dataset-revision</w:t>
            </w:r>
          </w:p>
        </w:tc>
        <w:tc>
          <w:tcPr>
            <w:tcW w:type="dxa" w:w="6803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固定 Hugging Face/Git revision，并写入 manifest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--protocol / --overview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明确选择协议，禁止隐式混合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6.2 转换职责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1. </w:t>
      </w:r>
      <w:r>
        <w:rPr>
          <w:rFonts w:ascii="Noto Sans CJK SC" w:hAnsi="Noto Sans CJK SC" w:eastAsia="Noto Sans CJK SC"/>
          <w:color w:val="22313F"/>
          <w:sz w:val="20"/>
        </w:rPr>
        <w:t>读取并校验上游 schema；拒绝缺失关键字段的样本。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2. </w:t>
      </w:r>
      <w:r>
        <w:rPr>
          <w:rFonts w:ascii="Noto Sans CJK SC" w:hAnsi="Noto Sans CJK SC" w:eastAsia="Noto Sans CJK SC"/>
          <w:color w:val="22313F"/>
          <w:sz w:val="20"/>
        </w:rPr>
        <w:t>生成稳定 task ID，并验证 dataset 内 name 唯一。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3. </w:t>
      </w:r>
      <w:r>
        <w:rPr>
          <w:rFonts w:ascii="Noto Sans CJK SC" w:hAnsi="Noto Sans CJK SC" w:eastAsia="Noto Sans CJK SC"/>
          <w:color w:val="22313F"/>
          <w:sz w:val="20"/>
        </w:rPr>
        <w:t>按白名单复制 public、private 和 oracle 文件；禁止整目录 COPY。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4. </w:t>
      </w:r>
      <w:r>
        <w:rPr>
          <w:rFonts w:ascii="Noto Sans CJK SC" w:hAnsi="Noto Sans CJK SC" w:eastAsia="Noto Sans CJK SC"/>
          <w:color w:val="22313F"/>
          <w:sz w:val="20"/>
        </w:rPr>
        <w:t>渲染 task.toml、instruction.md、Dockerfile、solve.sh 和 test.sh。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5. </w:t>
      </w:r>
      <w:r>
        <w:rPr>
          <w:rFonts w:ascii="Noto Sans CJK SC" w:hAnsi="Noto Sans CJK SC" w:eastAsia="Noto Sans CJK SC"/>
          <w:color w:val="22313F"/>
          <w:sz w:val="20"/>
        </w:rPr>
        <w:t>写入 source_manifest.json：upstream ID、revision、协议、文件哈希与许可信息。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6. </w:t>
      </w:r>
      <w:r>
        <w:rPr>
          <w:rFonts w:ascii="Noto Sans CJK SC" w:hAnsi="Noto Sans CJK SC" w:eastAsia="Noto Sans CJK SC"/>
          <w:color w:val="22313F"/>
          <w:sz w:val="20"/>
        </w:rPr>
        <w:t>执行泄漏扫描：路径、内容哈希、关键文件名和符号链接检查。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7. </w:t>
      </w:r>
      <w:r>
        <w:rPr>
          <w:rFonts w:ascii="Noto Sans CJK SC" w:hAnsi="Noto Sans CJK SC" w:eastAsia="Noto Sans CJK SC"/>
          <w:color w:val="22313F"/>
          <w:sz w:val="20"/>
        </w:rPr>
        <w:t>生成 dataset.toml 和第一版 metric.py。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6.3 转换伪代码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def convert_sample(sample, output_root, protocol):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task_id = build_registry_safe_id(sample, protocol)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task_dir = output_root / task_id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public = select_public_files(sample, protocol)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private = select_private_files(sample, protocol)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oracle = select_oracle_files(sample, protocol)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render_instruction(task_dir, sample, protocol)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render_task_toml(task_dir, sample, protocol)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materialize_agent_environment(task_dir, public)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materialize_verifier_environment(task_dir, private)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materialize_oracle(task_dir, oracle)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manifest = build_source_manifest(sample, protocol, public, private)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write_json(task_dir / "source_manifest.json", manifest)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audit_no_private_leakage(task_dir, manifest)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validate_required_harbor_files(task_dir)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6.4 source manifest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"benchmark": "PaperWrite-Bench",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"upstream_id": "paper_001",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"upstream_revision": "&lt;commit-or-dataset-revision&gt;",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"protocol": "short",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"task_name": "paperwrite-bench/paper-001-short",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"public_file_hashes": {"research_overview.md": "sha256:..."},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"private_file_hashes": {"gt_main.tex": "sha256:..."},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"oracle_file_hashes": {"main.tex": "sha256:..."},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"license_notes": "Preserve upstream paper/code licenses"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CF3E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val="nil"/>
              <w:left w:val="single" w:sz="8" w:color="AF601A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AF601A"/>
                <w:sz w:val="21"/>
              </w:rPr>
              <w:t>许可与发布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2313F"/>
                <w:sz w:val="20"/>
              </w:rPr>
              <w:t>PaperWrite-Bench 数据卡明确说明论文、LaTeX 和代码仍受各自原始许可证约束。[6] Adapter 应保留 per-paper license 信息；在不确定可再分发时，优先发布 adapter 与下载/转换脚本，而不是把所有原始资产直接提交到公共 Harbor registry。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7. Verifier、Oracle 与安全边界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7.1 第一阶段 Smoke Verifier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381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6803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Artifact 合同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`/workspace/submission/main.tex` 与 `references.bib` 存在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路径安全</w:t>
            </w:r>
          </w:p>
        </w:tc>
        <w:tc>
          <w:tcPr>
            <w:tcW w:type="dxa" w:w="6803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无越界 symlink；引用文件均位于 submission 或显式公开资源中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LaTeX 安全编译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无 shell escape、无网络、限制资源、不能挂载 tests/private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编译成功</w:t>
            </w:r>
          </w:p>
        </w:tc>
        <w:tc>
          <w:tcPr>
            <w:tcW w:type="dxa" w:w="6803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复编译生成非空 PDF；页数大于 0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基础完整性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无明显 `??`、`[?]`、缺图和致命 BibTeX 错误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产物大小</w:t>
            </w:r>
          </w:p>
        </w:tc>
        <w:tc>
          <w:tcPr>
            <w:tcW w:type="dxa" w:w="6803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单文件和总目录大小在合理上限内，防止压缩炸弹与磁盘滥用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"artifact_contract": 1.0,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"latex_compiles": 1.0,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"pdf_nonempty": 1.0,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"path_safety": 1.0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7.2 不可信 LaTeX 的两阶段评分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Agent-generated LaTeX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│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▼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Compiler sandbox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 no GT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 no API keys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 no network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 no shell escape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 resource limits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│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▼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Normalized PDF + extracted text + normalized LaTeX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│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      ▼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Private grader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 GT / eval_points / code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 judge credentials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 xml:space="preserve">  - official evaluators</w:t>
            </w:r>
          </w:p>
        </w:tc>
      </w:tr>
    </w:tbl>
    <w:p>
      <w:pPr>
        <w:spacing w:after="20"/>
      </w:pP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仅仅把 verifier 设为 separate 并不足以完全解决问题：不可信 TeX 若与 GT 和密钥在同一 grader 容器中编译，仍可能通过 `\input`、特殊驱动或外部工具读取私有文件。因此编译器与私有 grader 还应在 verifier 内部进一步隔离。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7.3 Oracle 与 NOP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Oracle：所有任务的 smoke reward 必须为 1.0；正式 grader 接入后应达到合理上界。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NOP：不做任何修改的 Agent 应失败，防止模板本身或预置 PDF 直接通过。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Cheat tests：加入尝试读取 `/tests/private`、符号链接越界、shell escape 和伪造 final.pdf 的样例。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Oracle 与普通 Agent 使用同一输出合同，但 `/solution` 只在 Oracle agent 运行时注入。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7.4 task.toml 关键字段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schema_version = "1.4"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artifacts = ["/workspace/submission"]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[task]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name = "paperwrite-bench/paper-001-short"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version = "1.0.0"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description = "Reconstruct a complete research paper from provided materials."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keywords = ["scientific-writing", "latex", "paper-reconstruction"]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[metadata]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benchmark = "PaperWrite-Bench"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upstream_id = "paper_001"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protocol = "short"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upstream_revision = "&lt;pinned-revision&gt;"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[agent]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timeout_sec = 7200.0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network_mode = "no-network"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user = "agent"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[verifier]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timeout_sec = 3600.0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environment_mode = "separate"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[environment]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network_mode = "no-network"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build_timeout_sec = 1800.0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cpus = 4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memory_mb = 8192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storage_mb = 20480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[verifier.environment]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network_mode = "allowlist"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allowed_hosts = ["&lt;judge-api-host&gt;"]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cpus = 4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memory_mb = 8192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storage_mb = 20480</w:t>
            </w:r>
          </w:p>
        </w:tc>
      </w:tr>
    </w:tbl>
    <w:p>
      <w:pPr>
        <w:spacing w:after="20"/>
      </w:pP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上例是设计基线；实际允许的模型 API host、资源和 timeout 应在选定 Harbor environment 与 Agent 上验证。Harbor 对 network policy 的支持能力因环境 provider 而异。[3]</w:t>
      </w: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8. 分阶段实施与正式评测接入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8.1 阶段 A：公共骨架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1. </w:t>
      </w:r>
      <w:r>
        <w:rPr>
          <w:rFonts w:ascii="Noto Sans CJK SC" w:hAnsi="Noto Sans CJK SC" w:eastAsia="Noto Sans CJK SC"/>
          <w:color w:val="22313F"/>
          <w:sz w:val="20"/>
        </w:rPr>
        <w:t>冻结 Harbor 版本、基础 TeX 镜像、上游 dataset/repository revision。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2. </w:t>
      </w:r>
      <w:r>
        <w:rPr>
          <w:rFonts w:ascii="Noto Sans CJK SC" w:hAnsi="Noto Sans CJK SC" w:eastAsia="Noto Sans CJK SC"/>
          <w:color w:val="22313F"/>
          <w:sz w:val="20"/>
        </w:rPr>
        <w:t>实现统一输出合同、task 模板、manifest、哈希和泄漏审计。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3. </w:t>
      </w:r>
      <w:r>
        <w:rPr>
          <w:rFonts w:ascii="Noto Sans CJK SC" w:hAnsi="Noto Sans CJK SC" w:eastAsia="Noto Sans CJK SC"/>
          <w:color w:val="22313F"/>
          <w:sz w:val="20"/>
        </w:rPr>
        <w:t>实现安全 compiler sandbox 与 smoke reward。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4. </w:t>
      </w:r>
      <w:r>
        <w:rPr>
          <w:rFonts w:ascii="Noto Sans CJK SC" w:hAnsi="Noto Sans CJK SC" w:eastAsia="Noto Sans CJK SC"/>
          <w:color w:val="22313F"/>
          <w:sz w:val="20"/>
        </w:rPr>
        <w:t>建立本地 CI：task parse、Docker build、Oracle、NOP、cheat tests。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8.2 阶段 B：PaperWrite-Bench short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1. </w:t>
      </w:r>
      <w:r>
        <w:rPr>
          <w:rFonts w:ascii="Noto Sans CJK SC" w:hAnsi="Noto Sans CJK SC" w:eastAsia="Noto Sans CJK SC"/>
          <w:color w:val="22313F"/>
          <w:sz w:val="20"/>
        </w:rPr>
        <w:t>先转换 3 个结构差异明显的样本：method、benchmark、both。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2. </w:t>
      </w:r>
      <w:r>
        <w:rPr>
          <w:rFonts w:ascii="Noto Sans CJK SC" w:hAnsi="Noto Sans CJK SC" w:eastAsia="Noto Sans CJK SC"/>
          <w:color w:val="22313F"/>
          <w:sz w:val="20"/>
        </w:rPr>
        <w:t>完成 public/private/oracle 切分和 Oracle 通过。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3. </w:t>
      </w:r>
      <w:r>
        <w:rPr>
          <w:rFonts w:ascii="Noto Sans CJK SC" w:hAnsi="Noto Sans CJK SC" w:eastAsia="Noto Sans CJK SC"/>
          <w:color w:val="22313F"/>
          <w:sz w:val="20"/>
        </w:rPr>
        <w:t>扩展到全部 51 个样本，并生成转换汇总报告。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4. </w:t>
      </w:r>
      <w:r>
        <w:rPr>
          <w:rFonts w:ascii="Noto Sans CJK SC" w:hAnsi="Noto Sans CJK SC" w:eastAsia="Noto Sans CJK SC"/>
          <w:color w:val="22313F"/>
          <w:sz w:val="20"/>
        </w:rPr>
        <w:t>人工抽查 overview、表、图、代码和 GT 是否进入正确分区。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8.3 阶段 C：PaperWritingBench sparse-plotoff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1. </w:t>
      </w:r>
      <w:r>
        <w:rPr>
          <w:rFonts w:ascii="Noto Sans CJK SC" w:hAnsi="Noto Sans CJK SC" w:eastAsia="Noto Sans CJK SC"/>
          <w:color w:val="22313F"/>
          <w:sz w:val="20"/>
        </w:rPr>
        <w:t>先转换 4 个样本：CVPR/ICLR 各 2 个，覆盖不同图表规模。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2. </w:t>
      </w:r>
      <w:r>
        <w:rPr>
          <w:rFonts w:ascii="Noto Sans CJK SC" w:hAnsi="Noto Sans CJK SC" w:eastAsia="Noto Sans CJK SC"/>
          <w:color w:val="22313F"/>
          <w:sz w:val="20"/>
        </w:rPr>
        <w:t>接入受控 scholarly-search 环境和检索审计。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3. </w:t>
      </w:r>
      <w:r>
        <w:rPr>
          <w:rFonts w:ascii="Noto Sans CJK SC" w:hAnsi="Noto Sans CJK SC" w:eastAsia="Noto Sans CJK SC"/>
          <w:color w:val="22313F"/>
          <w:sz w:val="20"/>
        </w:rPr>
        <w:t>验证目标论文阻断与 agent network allowlist。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4. </w:t>
      </w:r>
      <w:r>
        <w:rPr>
          <w:rFonts w:ascii="Noto Sans CJK SC" w:hAnsi="Noto Sans CJK SC" w:eastAsia="Noto Sans CJK SC"/>
          <w:color w:val="22313F"/>
          <w:sz w:val="20"/>
        </w:rPr>
        <w:t>扩展到全部 200 个样本。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8.4 阶段 D：正式 evaluator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381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351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单 task verifier</w:t>
            </w:r>
          </w:p>
        </w:tc>
        <w:tc>
          <w:tcPr>
            <w:tcW w:type="dxa" w:w="3288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Dataset / Post-processing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PaperWrite-Bench short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rubric、hallucination、citation、figure/table</w:t>
            </w:r>
          </w:p>
        </w:tc>
        <w:tc>
          <w:tcPr>
            <w:tcW w:type="dxa" w:w="32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metric.py 聚合 macro average、build rate 与 hallucination rate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PaperWritingBench sparse-plotoff</w:t>
            </w:r>
          </w:p>
        </w:tc>
        <w:tc>
          <w:tcPr>
            <w:tcW w:type="dxa" w:w="351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AgentReview、lit-review、Citation F1</w:t>
            </w:r>
          </w:p>
        </w:tc>
        <w:tc>
          <w:tcPr>
            <w:tcW w:type="dxa" w:w="3288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SxS 跨实验比较；metric.py 聚合非 SxS 指标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  <w:ind w:firstLine="420"/>
      </w:pPr>
      <w:r>
        <w:rPr>
          <w:rFonts w:ascii="Noto Sans CJK SC" w:hAnsi="Noto Sans CJK SC" w:eastAsia="Noto Sans CJK SC"/>
          <w:color w:val="22313F"/>
          <w:sz w:val="21"/>
        </w:rPr>
        <w:t>Harbor dataset 可以携带 `metric.py`，读取逐 task reward JSONL 并输出一个或多个 dataset-level 指标。[4] 适合聚合 build rate、rubric average、citation F1 和 hallucination rate；需要同时读取两组实验产物的 SxS 应作为独立 post-processing。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8.5 阶段 E：Parity 与自定义 Agent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用相同 Agent、模型、prompt、工具权限和随机设置分别运行上游 benchmark 与 Harbor adapter。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多次运行并报告 mean ± sample SEM，验证 adapter 不显著改变原 benchmark 结果。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Parity 通过后，再正式运行用户自己的写作 Agent。</w:t>
      </w:r>
    </w:p>
    <w:p>
      <w:pPr>
        <w:pStyle w:val="ListBullet"/>
        <w:spacing w:after="60" w:line="283" w:lineRule="auto"/>
        <w:ind w:left="369" w:hanging="170"/>
      </w:pPr>
      <w:r>
        <w:rPr>
          <w:rFonts w:ascii="Noto Sans CJK SC" w:hAnsi="Noto Sans CJK SC" w:eastAsia="Noto Sans CJK SC"/>
          <w:color w:val="22313F"/>
          <w:sz w:val="20"/>
        </w:rPr>
        <w:t>所有系统统一使用同一 evaluator commit 和 judge model；不能直接拼接论文中旧分数。</w:t>
      </w: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9. 验收标准、风险与决策记录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9.1 Harbor 化验收矩阵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5102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082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PaperWritingBench 任务数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510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PaperWrite-Bench 任务数</w:t>
            </w:r>
          </w:p>
        </w:tc>
        <w:tc>
          <w:tcPr>
            <w:tcW w:type="dxa" w:w="408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51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task.name 唯一且 registry-safe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10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task.toml / instruction / Dockerfile / solve / test 齐全</w:t>
            </w:r>
          </w:p>
        </w:tc>
        <w:tc>
          <w:tcPr>
            <w:tcW w:type="dxa" w:w="408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Agent environment 构建成功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10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Oracle smoke pass</w:t>
            </w:r>
          </w:p>
        </w:tc>
        <w:tc>
          <w:tcPr>
            <w:tcW w:type="dxa" w:w="408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NOP pass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0%</w:t>
            </w:r>
          </w:p>
        </w:tc>
      </w:tr>
      <w:tr>
        <w:trPr>
          <w:cantSplit/>
        </w:trPr>
        <w:tc>
          <w:tcPr>
            <w:tcW w:type="dxa" w:w="510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私有文件泄漏</w:t>
            </w:r>
          </w:p>
        </w:tc>
        <w:tc>
          <w:tcPr>
            <w:tcW w:type="dxa" w:w="408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安全编译越权读取测试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全部阻断</w:t>
            </w:r>
          </w:p>
        </w:tc>
      </w:tr>
      <w:tr>
        <w:trPr>
          <w:cantSplit/>
        </w:trPr>
        <w:tc>
          <w:tcPr>
            <w:tcW w:type="dxa" w:w="510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重复转换文件哈希一致</w:t>
            </w:r>
          </w:p>
        </w:tc>
        <w:tc>
          <w:tcPr>
            <w:tcW w:type="dxa" w:w="408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上游 revision 和许可记录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9.2 主要风险与应对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381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35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969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GT 泄漏到 Agent image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benchmark 失效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严格 public whitelist；内容哈希审计；禁止整目录 COPY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不可信 LaTeX 读取 grader 私有文件</w:t>
            </w:r>
          </w:p>
        </w:tc>
        <w:tc>
          <w:tcPr>
            <w:tcW w:type="dxa" w:w="283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分数作弊、密钥泄漏</w:t>
            </w:r>
          </w:p>
        </w:tc>
        <w:tc>
          <w:tcPr>
            <w:tcW w:type="dxa" w:w="396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编译与私有 grader 分离；no-network；no-shell-escape；只挂载 submission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协议混合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分数不可解释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一个 dataset 对应一个协议；协议写入 task ID 和 metadata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环境差异导致 parity 偏移</w:t>
            </w:r>
          </w:p>
        </w:tc>
        <w:tc>
          <w:tcPr>
            <w:tcW w:type="dxa" w:w="283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Harbor 分数与上游不等价</w:t>
            </w:r>
          </w:p>
        </w:tc>
        <w:tc>
          <w:tcPr>
            <w:tcW w:type="dxa" w:w="396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固定 TeX 镜像、Agent、模型和 evaluator；运行 parity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PaperWritingBench 检索命中目标原论文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数据污染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受控搜索、时间截止、目标论文 blocklist 与检索日志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BibTeX key 被重命名</w:t>
            </w:r>
          </w:p>
        </w:tc>
        <w:tc>
          <w:tcPr>
            <w:tcW w:type="dxa" w:w="283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PaperWrite citation F1 异常降低</w:t>
            </w:r>
          </w:p>
        </w:tc>
        <w:tc>
          <w:tcPr>
            <w:tcW w:type="dxa" w:w="396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instruction 明示保留 key；verifier 提前检查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许可证不允许再发布某些资产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无法公开 registry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保存 per-paper license；必要时只发布 adapter/download script</w:t>
            </w:r>
          </w:p>
        </w:tc>
      </w:tr>
      <w:tr>
        <w:trPr>
          <w:cantSplit/>
        </w:trPr>
        <w:tc>
          <w:tcPr>
            <w:tcW w:type="dxa" w:w="2381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LLM judge 漂移</w:t>
            </w:r>
          </w:p>
        </w:tc>
        <w:tc>
          <w:tcPr>
            <w:tcW w:type="dxa" w:w="2835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长期分数不可比</w:t>
            </w:r>
          </w:p>
        </w:tc>
        <w:tc>
          <w:tcPr>
            <w:tcW w:type="dxa" w:w="396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固定 evaluator commit、模型精确版本和参数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9.3 决策记录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134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4649"/>
            <w:shd w:fill="163A5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D-01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两个独立 adapter / dataset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输入权限和科学评测目标不同</w:t>
            </w:r>
          </w:p>
        </w:tc>
      </w:tr>
      <w:tr>
        <w:trPr>
          <w:cantSplit/>
        </w:trPr>
        <w:tc>
          <w:tcPr>
            <w:tcW w:type="dxa" w:w="1134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D-02</w:t>
            </w:r>
          </w:p>
        </w:tc>
        <w:tc>
          <w:tcPr>
            <w:tcW w:type="dxa" w:w="340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第一版固定 sparse-plotoff 与 short</w:t>
            </w:r>
          </w:p>
        </w:tc>
        <w:tc>
          <w:tcPr>
            <w:tcW w:type="dxa" w:w="464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最接近各自主要协议，减少变量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D-03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单篇论文对应单 task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便于并发、审计、失败定位和逐论文指标</w:t>
            </w:r>
          </w:p>
        </w:tc>
      </w:tr>
      <w:tr>
        <w:trPr>
          <w:cantSplit/>
        </w:trPr>
        <w:tc>
          <w:tcPr>
            <w:tcW w:type="dxa" w:w="1134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D-04</w:t>
            </w:r>
          </w:p>
        </w:tc>
        <w:tc>
          <w:tcPr>
            <w:tcW w:type="dxa" w:w="340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统一 `/workspace/submission` 输出合同</w:t>
            </w:r>
          </w:p>
        </w:tc>
        <w:tc>
          <w:tcPr>
            <w:tcW w:type="dxa" w:w="464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一个 Agent adapter 可同时运行两个 dataset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D-05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第一阶段仅 smoke grader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先隔离转换缺陷，避免被昂贵 evaluator 干扰</w:t>
            </w:r>
          </w:p>
        </w:tc>
      </w:tr>
      <w:tr>
        <w:trPr>
          <w:cantSplit/>
        </w:trPr>
        <w:tc>
          <w:tcPr>
            <w:tcW w:type="dxa" w:w="1134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D-06</w:t>
            </w:r>
          </w:p>
        </w:tc>
        <w:tc>
          <w:tcPr>
            <w:tcW w:type="dxa" w:w="3402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强制 separate verifier + 内部分层编译</w:t>
            </w:r>
          </w:p>
        </w:tc>
        <w:tc>
          <w:tcPr>
            <w:tcW w:type="dxa" w:w="4649"/>
            <w:shd w:fill="F4F8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保护 GT、密钥并降低 reward hacking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D-07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PaperWritingBench SxS 作为后处理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2313F"/>
                <w:sz w:val="17"/>
              </w:rPr>
              <w:t>单 task verifier 无法访问另一实验的配对 PDF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9.4 推荐的下一步工作项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1. </w:t>
      </w:r>
      <w:r>
        <w:rPr>
          <w:rFonts w:ascii="Noto Sans CJK SC" w:hAnsi="Noto Sans CJK SC" w:eastAsia="Noto Sans CJK SC"/>
          <w:color w:val="22313F"/>
          <w:sz w:val="20"/>
        </w:rPr>
        <w:t>用 `harbor adapter init` 创建 adapter 骨架，并锁定 Harbor CLI 版本。[2]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2. </w:t>
      </w:r>
      <w:r>
        <w:rPr>
          <w:rFonts w:ascii="Noto Sans CJK SC" w:hAnsi="Noto Sans CJK SC" w:eastAsia="Noto Sans CJK SC"/>
          <w:color w:val="22313F"/>
          <w:sz w:val="20"/>
        </w:rPr>
        <w:t>先实现 `paperbench_common`：输出合同、基础镜像、smoke grader、manifest 和泄漏审计。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3. </w:t>
      </w:r>
      <w:r>
        <w:rPr>
          <w:rFonts w:ascii="Noto Sans CJK SC" w:hAnsi="Noto Sans CJK SC" w:eastAsia="Noto Sans CJK SC"/>
          <w:color w:val="22313F"/>
          <w:sz w:val="20"/>
        </w:rPr>
        <w:t>完成 PaperWrite-Bench 3-task vertical slice，运行 Oracle/NOP。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4. </w:t>
      </w:r>
      <w:r>
        <w:rPr>
          <w:rFonts w:ascii="Noto Sans CJK SC" w:hAnsi="Noto Sans CJK SC" w:eastAsia="Noto Sans CJK SC"/>
          <w:color w:val="22313F"/>
          <w:sz w:val="20"/>
        </w:rPr>
        <w:t>扩展到 51 tasks 后，再实现 PaperWritingBench 4-task vertical slice。</w:t>
      </w:r>
    </w:p>
    <w:p>
      <w:pPr>
        <w:spacing w:after="60" w:line="283" w:lineRule="auto"/>
        <w:ind w:left="454" w:hanging="238"/>
      </w:pPr>
      <w:r>
        <w:rPr>
          <w:rFonts w:ascii="Noto Sans CJK SC" w:hAnsi="Noto Sans CJK SC" w:eastAsia="Noto Sans CJK SC"/>
          <w:color w:val="22313F"/>
          <w:sz w:val="20"/>
        </w:rPr>
        <w:t xml:space="preserve">5. </w:t>
      </w:r>
      <w:r>
        <w:rPr>
          <w:rFonts w:ascii="Noto Sans CJK SC" w:hAnsi="Noto Sans CJK SC" w:eastAsia="Noto Sans CJK SC"/>
          <w:color w:val="22313F"/>
          <w:sz w:val="20"/>
        </w:rPr>
        <w:t>在两个完整 dataset 上跑完 100% Oracle smoke，再开始正式 evaluator 集成。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7EE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val="nil"/>
              <w:left w:val="single" w:sz="8" w:color="1E8449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8449"/>
                <w:sz w:val="21"/>
              </w:rPr>
              <w:t>完成标志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2313F"/>
                <w:sz w:val="20"/>
              </w:rPr>
              <w:t>当 251 个任务全部通过结构校验、构建、Oracle、泄漏和安全编译测试时，即可认为 Harbor 化阶段完成；之后再接入写作 Agent 和正式评分。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附录 A：两个 instruction.md 的建议文本</w:t>
      </w: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A.1 PaperWritingBench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# Task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Write a complete submission-ready research paper using the files under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`/workspace/resources`.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Available materials include the sparse research idea, experimental log,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conference template and guidelines, and provided figures.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Produce a self-contained submission under `/workspace/submission`: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`main.tex`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`references.bib`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`figures/`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`final.pdf`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Requirements: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Ground every experimental value and claim in the provided materials.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Do not identify or retrieve the original benchmark paper.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Use only the provided scholarly-search interface for literature retrieval.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Follow the conference format and page constraints.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Ensure `main.tex` compiles without shell escape.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Noto Sans CJK SC" w:hAnsi="Noto Sans CJK SC" w:eastAsia="Noto Sans CJK SC"/>
          <w:b/>
          <w:color w:val="245D8C"/>
          <w:sz w:val="26"/>
        </w:rPr>
        <w:t>A.2 PaperWrite-Bench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3F4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2313F"/>
                <w:sz w:val="16"/>
              </w:rPr>
              <w:t># Task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Reconstruct a complete research paper from the materials under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`/workspace/resources`.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Available materials include `research_overview.md`, `template.tex`,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`references.bib`, figures, tables, summaries, and optional code.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Produce a self-contained submission under `/workspace/submission`.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Requirements: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Do not use the internet or external knowledge sources.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Do not add references absent from `references.bib`.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Preserve all existing BibTeX citation keys.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Ground methods, settings, numerical results, and conclusions in the resources.</w:t>
            </w:r>
            <w:r>
              <w:br/>
            </w:r>
            <w:r>
              <w:rPr>
                <w:rFonts w:ascii="Liberation Mono" w:hAnsi="Liberation Mono" w:eastAsia="Liberation Mono"/>
                <w:color w:val="22313F"/>
                <w:sz w:val="16"/>
              </w:rPr>
              <w:t>- Ensure `main.tex` compiles without shell escape.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80" w:after="100"/>
      </w:pPr>
      <w:r>
        <w:rPr>
          <w:rFonts w:ascii="Noto Sans CJK SC" w:hAnsi="Noto Sans CJK SC" w:eastAsia="Noto Sans CJK SC"/>
          <w:b/>
          <w:color w:val="163A5F"/>
          <w:sz w:val="32"/>
        </w:rPr>
        <w:t>附录 B：参考资料</w:t>
      </w:r>
    </w:p>
    <w:p>
      <w:pPr>
        <w:spacing w:after="80"/>
      </w:pPr>
      <w:hyperlink r:id="rId11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[1] Harbor Task Structure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https://www.harborframework.com/docs/tasks</w:t>
      </w:r>
    </w:p>
    <w:p>
      <w:pPr>
        <w:spacing w:after="80"/>
      </w:pPr>
      <w:hyperlink r:id="rId12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[2] Harbor Adapters — Agent Guide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https://harborframework.com/docs/adapters</w:t>
      </w:r>
    </w:p>
    <w:p>
      <w:pPr>
        <w:spacing w:after="80"/>
      </w:pPr>
      <w:hyperlink r:id="rId13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[3] Harbor Network Policy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https://www.harborframework.com/docs/tasks/network-policy</w:t>
      </w:r>
    </w:p>
    <w:p>
      <w:pPr>
        <w:spacing w:after="80"/>
      </w:pPr>
      <w:hyperlink r:id="rId14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[4] Harbor Dataset Metrics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https://www.harborframework.com/docs/datasets/metrics</w:t>
      </w:r>
    </w:p>
    <w:p>
      <w:pPr>
        <w:spacing w:after="80"/>
      </w:pPr>
      <w:hyperlink r:id="rId15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[5] PaperWritingBench Dataset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https://huggingface.co/datasets/yiwen-song/PaperWritingBench</w:t>
      </w:r>
    </w:p>
    <w:p>
      <w:pPr>
        <w:spacing w:after="80"/>
      </w:pPr>
      <w:hyperlink r:id="rId16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[6] PaperWrite-Bench Dataset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https://huggingface.co/datasets/hal-utokyo/PaperWrite-Bench</w:t>
      </w:r>
    </w:p>
    <w:p>
      <w:pPr>
        <w:spacing w:after="80"/>
      </w:pPr>
      <w:hyperlink r:id="rId17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[7] PaperOrchestra Official Repository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https://github.com/google-research/paper-orchestra</w:t>
      </w:r>
    </w:p>
    <w:p>
      <w:pPr>
        <w:spacing w:after="80"/>
      </w:pPr>
      <w:hyperlink r:id="rId18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[8] PaperRecon Official Repository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https://github.com/Agent4Science-UTokyo/PaperRecon</w:t>
      </w:r>
    </w:p>
    <w:p>
      <w:pPr>
        <w:spacing w:after="80"/>
      </w:pPr>
      <w:hyperlink r:id="rId19">
        <w:r>
          <w:rPr>
            <w:rFonts w:ascii="Noto Sans CJK SC" w:hAnsi="Noto Sans CJK SC" w:eastAsia="Noto Sans CJK SC"/>
            <w:color w:val="245D8C"/>
            <w:u w:val="single"/>
            <w:sz w:val="19"/>
          </w:rPr>
          <w:t>[9] PaperOrchestra Project Page</w:t>
        </w:r>
      </w:hyperlink>
      <w:r>
        <w:rPr>
          <w:rFonts w:ascii="Noto Sans CJK SC" w:hAnsi="Noto Sans CJK SC" w:eastAsia="Noto Sans CJK SC"/>
          <w:color w:val="5D6D7E"/>
          <w:sz w:val="18"/>
        </w:rPr>
        <w:t xml:space="preserve">  https://yiwen-song.github.io/paper_orchestra/</w:t>
      </w:r>
    </w:p>
    <w:p>
      <w:pPr>
        <w:spacing w:before="40" w:after="120"/>
        <w:pBdr>
          <w:bottom w:val="single" w:sz="6" w:space="1" w:color="D5D8DC"/>
        </w:pBdr>
      </w:pPr>
    </w:p>
    <w:p>
      <w:pPr>
        <w:jc w:val="center"/>
      </w:pPr>
      <w:r>
        <w:rPr>
          <w:rFonts w:ascii="Noto Sans CJK SC" w:hAnsi="Noto Sans CJK SC" w:eastAsia="Noto Sans CJK SC"/>
          <w:color w:val="5D6D7E"/>
          <w:sz w:val="19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D6D7E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D6D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D5D8DC"/>
      </w:pBdr>
    </w:pPr>
    <w:r>
      <w:rPr>
        <w:rFonts w:ascii="Noto Sans CJK SC" w:hAnsi="Noto Sans CJK SC" w:eastAsia="Noto Sans CJK SC"/>
        <w:color w:val="5D6D7E"/>
        <w:sz w:val="17"/>
      </w:rPr>
      <w:t>Harbor Adapter 设计方案  |  PaperWritingBench &amp; PaperWrite-Bench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D6D7E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harborframework.com/docs/tasks" TargetMode="External"/><Relationship Id="rId12" Type="http://schemas.openxmlformats.org/officeDocument/2006/relationships/hyperlink" Target="https://harborframework.com/docs/adapters" TargetMode="External"/><Relationship Id="rId13" Type="http://schemas.openxmlformats.org/officeDocument/2006/relationships/hyperlink" Target="https://www.harborframework.com/docs/tasks/network-policy" TargetMode="External"/><Relationship Id="rId14" Type="http://schemas.openxmlformats.org/officeDocument/2006/relationships/hyperlink" Target="https://www.harborframework.com/docs/datasets/metrics" TargetMode="External"/><Relationship Id="rId15" Type="http://schemas.openxmlformats.org/officeDocument/2006/relationships/hyperlink" Target="https://huggingface.co/datasets/yiwen-song/PaperWritingBench" TargetMode="External"/><Relationship Id="rId16" Type="http://schemas.openxmlformats.org/officeDocument/2006/relationships/hyperlink" Target="https://huggingface.co/datasets/hal-utokyo/PaperWrite-Bench" TargetMode="External"/><Relationship Id="rId17" Type="http://schemas.openxmlformats.org/officeDocument/2006/relationships/hyperlink" Target="https://github.com/google-research/paper-orchestra" TargetMode="External"/><Relationship Id="rId18" Type="http://schemas.openxmlformats.org/officeDocument/2006/relationships/hyperlink" Target="https://github.com/Agent4Science-UTokyo/PaperRecon" TargetMode="External"/><Relationship Id="rId19" Type="http://schemas.openxmlformats.org/officeDocument/2006/relationships/hyperlink" Target="https://yiwen-song.github.io/paper_orchest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将 PaperWritingBench 与 PaperWrite-Bench 转换为 Harbor 格式：实施方案与技术设计</dc:title>
  <dc:subject>Harbor benchmark adapter design</dc:subject>
  <dc:creator>OpenAI</dc:creator>
  <cp:keywords>Harbor, PaperWritingBench, PaperWrite-Bench, benchmark adapter, scientific writing agent</cp:keywords>
  <dc:description>Generated as an implementation design summary.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