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9.png" ContentType="image/png"/>
  <Override PartName="/word/media/rId82.png" ContentType="image/png"/>
  <Override PartName="/word/media/rId26.png" ContentType="image/png"/>
  <Override PartName="/word/media/rId8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Ицков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Станиславович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8" w:name="релази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Релазиация подпрограмм в NASM</w:t>
      </w:r>
    </w:p>
    <w:p>
      <w:pPr>
        <w:pStyle w:val="FirstParagraph"/>
      </w:pPr>
      <w:r>
        <w:t xml:space="preserve">Создаю новый каталог и файл (рис. 1).</w:t>
      </w:r>
    </w:p>
    <w:p>
      <w:pPr>
        <w:pStyle w:val="CaptionedFigure"/>
      </w:pPr>
      <w:r>
        <w:drawing>
          <wp:inline>
            <wp:extent cx="3733800" cy="608526"/>
            <wp:effectExtent b="0" l="0" r="0" t="0"/>
            <wp:docPr descr="Создание рабоч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рабочего каталога</w:t>
      </w:r>
    </w:p>
    <w:p>
      <w:pPr>
        <w:pStyle w:val="BodyText"/>
      </w:pPr>
      <w:r>
        <w:t xml:space="preserve">Копирую в файл код из листинга (рис. 2).</w:t>
      </w:r>
    </w:p>
    <w:p>
      <w:pPr>
        <w:pStyle w:val="CaptionedFigure"/>
      </w:pPr>
      <w:r>
        <w:drawing>
          <wp:inline>
            <wp:extent cx="3733800" cy="2625207"/>
            <wp:effectExtent b="0" l="0" r="0" t="0"/>
            <wp:docPr descr="Текст программ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</w:t>
      </w:r>
    </w:p>
    <w:p>
      <w:pPr>
        <w:pStyle w:val="BodyText"/>
      </w:pPr>
      <w:r>
        <w:t xml:space="preserve">Компилирую и запускаю программу (рис. 3).</w:t>
      </w:r>
    </w:p>
    <w:p>
      <w:pPr>
        <w:pStyle w:val="CaptionedFigure"/>
      </w:pPr>
      <w:r>
        <w:drawing>
          <wp:inline>
            <wp:extent cx="3733800" cy="906995"/>
            <wp:effectExtent b="0" l="0" r="0" t="0"/>
            <wp:docPr descr="Запуск программ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6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</w:t>
      </w:r>
    </w:p>
    <w:p>
      <w:pPr>
        <w:pStyle w:val="BodyText"/>
      </w:pPr>
      <w:r>
        <w:t xml:space="preserve">Добавляю в текст программы подпрограмму чтобы она вычисляла</w:t>
      </w:r>
      <w:r>
        <w:t xml:space="preserve"> </w:t>
      </w:r>
      <w:r>
        <w:t xml:space="preserve">значение функции для выражения f(g(x)) (рис. 4).</w:t>
      </w:r>
    </w:p>
    <w:p>
      <w:pPr>
        <w:pStyle w:val="CaptionedFigure"/>
      </w:pPr>
      <w:r>
        <w:drawing>
          <wp:inline>
            <wp:extent cx="3733800" cy="2771598"/>
            <wp:effectExtent b="0" l="0" r="0" t="0"/>
            <wp:docPr descr="Текст программ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Текст программы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t xml:space="preserve">Комипилирую и запускаю программу (рис. 5).</w:t>
      </w:r>
    </w:p>
    <w:p>
      <w:pPr>
        <w:pStyle w:val="CaptionedFigure"/>
      </w:pPr>
      <w:r>
        <w:drawing>
          <wp:inline>
            <wp:extent cx="3733800" cy="690024"/>
            <wp:effectExtent b="0" l="0" r="0" t="0"/>
            <wp:docPr descr="Запуск программ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0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программы</w:t>
      </w:r>
    </w:p>
    <w:bookmarkStart w:id="53" w:name="отладка-программ-с-помощью-gdb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Создаю новый пустой файл и ввожу туда текст программы из листинга (рис. 6).</w:t>
      </w:r>
    </w:p>
    <w:p>
      <w:pPr>
        <w:pStyle w:val="CaptionedFigure"/>
      </w:pPr>
      <w:r>
        <w:drawing>
          <wp:inline>
            <wp:extent cx="3733800" cy="1642872"/>
            <wp:effectExtent b="0" l="0" r="0" t="0"/>
            <wp:docPr descr="Текст программы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2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Текст программы</w:t>
      </w:r>
    </w:p>
    <w:p>
      <w:pPr>
        <w:pStyle w:val="BodyText"/>
      </w:pPr>
      <w:r>
        <w:t xml:space="preserve">Компилирую и запускаю программу с помощью gdb (рис. 7).</w:t>
      </w:r>
    </w:p>
    <w:p>
      <w:pPr>
        <w:pStyle w:val="CaptionedFigure"/>
      </w:pPr>
      <w:r>
        <w:drawing>
          <wp:inline>
            <wp:extent cx="3733800" cy="3469561"/>
            <wp:effectExtent b="0" l="0" r="0" t="0"/>
            <wp:docPr descr="Запуск программ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9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программы</w:t>
      </w:r>
    </w:p>
    <w:p>
      <w:pPr>
        <w:pStyle w:val="BodyText"/>
      </w:pPr>
      <w:r>
        <w:t xml:space="preserve">Добавляю брейкпоинт на метку _start и снова запускаю отладку (рис. 8).</w:t>
      </w:r>
    </w:p>
    <w:p>
      <w:pPr>
        <w:pStyle w:val="CaptionedFigure"/>
      </w:pPr>
      <w:r>
        <w:drawing>
          <wp:inline>
            <wp:extent cx="3733800" cy="731236"/>
            <wp:effectExtent b="0" l="0" r="0" t="0"/>
            <wp:docPr descr="Добавление брейкпоинт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1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брейкпоинта</w:t>
      </w:r>
    </w:p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 (рис. 9).</w:t>
      </w:r>
      <w:r>
        <w:t xml:space="preserve"> </w:t>
      </w:r>
      <w:r>
        <w:t xml:space="preserve">Различия между синтаксисом ATT и Intel заключаются в порядке операндов</w:t>
      </w:r>
      <w:r>
        <w:t xml:space="preserve"> </w:t>
      </w:r>
      <w:r>
        <w:t xml:space="preserve">(ATT - Операнд источника указан первым. Intel - Операнд назначения указан</w:t>
      </w:r>
      <w:r>
        <w:t xml:space="preserve"> </w:t>
      </w:r>
      <w:r>
        <w:t xml:space="preserve">первым), их размере (ATT - pазмер операндов указывается явно с помощью суф-</w:t>
      </w:r>
      <w:r>
        <w:t xml:space="preserve"> </w:t>
      </w:r>
      <w:r>
        <w:t xml:space="preserve">фиксов, непосредственные операнды предваряются символом $; Intel - Размер</w:t>
      </w:r>
      <w:r>
        <w:t xml:space="preserve"> </w:t>
      </w:r>
      <w:r>
        <w:t xml:space="preserve">операндов неявно определяется контекстом, как ax, eax, непосредственные опе-</w:t>
      </w:r>
      <w:r>
        <w:t xml:space="preserve"> </w:t>
      </w:r>
      <w:r>
        <w:t xml:space="preserve">ранды пишутся напрямую), именах регистров(ATT - имена регистров предваря-</w:t>
      </w:r>
      <w:r>
        <w:t xml:space="preserve"> </w:t>
      </w:r>
      <w:r>
        <w:t xml:space="preserve">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3733800" cy="3500948"/>
            <wp:effectExtent b="0" l="0" r="0" t="0"/>
            <wp:docPr descr="Дисассимилирование программы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0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Дисассимилирование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10).</w:t>
      </w:r>
    </w:p>
    <w:p>
      <w:pPr>
        <w:pStyle w:val="CaptionedFigure"/>
      </w:pPr>
      <w:r>
        <w:drawing>
          <wp:inline>
            <wp:extent cx="3733800" cy="2585881"/>
            <wp:effectExtent b="0" l="0" r="0" t="0"/>
            <wp:docPr descr="Режим псевдографи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Режим псевдографики</w:t>
      </w:r>
    </w:p>
    <w:bookmarkEnd w:id="53"/>
    <w:bookmarkStart w:id="57" w:name="добавление-точек-останова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Устаналиваю еще одну точку останова и проверяю в режиме псевдографики, что брейкпоинт сохранился (рис. 11).</w:t>
      </w:r>
    </w:p>
    <w:p>
      <w:pPr>
        <w:pStyle w:val="CaptionedFigure"/>
      </w:pPr>
      <w:r>
        <w:drawing>
          <wp:inline>
            <wp:extent cx="3733800" cy="3705204"/>
            <wp:effectExtent b="0" l="0" r="0" t="0"/>
            <wp:docPr descr="Список брейкпоинтов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Список брейкпоинтов</w:t>
      </w:r>
    </w:p>
    <w:bookmarkEnd w:id="57"/>
    <w:bookmarkStart w:id="70" w:name="работа-с-данными-программы-в-gdb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 (рис. 12).</w:t>
      </w:r>
    </w:p>
    <w:p>
      <w:pPr>
        <w:pStyle w:val="CaptionedFigure"/>
      </w:pPr>
      <w:r>
        <w:drawing>
          <wp:inline>
            <wp:extent cx="3733800" cy="3705204"/>
            <wp:effectExtent b="0" l="0" r="0" t="0"/>
            <wp:docPr descr="Просмотр содержимого регистров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содержимого регистров</w:t>
      </w:r>
    </w:p>
    <w:p>
      <w:pPr>
        <w:pStyle w:val="BodyText"/>
      </w:pPr>
      <w:r>
        <w:t xml:space="preserve">Смотрю содержимое переменных по имени и по адресу (рис. 13).</w:t>
      </w:r>
    </w:p>
    <w:p>
      <w:pPr>
        <w:pStyle w:val="CaptionedFigure"/>
      </w:pPr>
      <w:r>
        <w:drawing>
          <wp:inline>
            <wp:extent cx="3733800" cy="3705204"/>
            <wp:effectExtent b="0" l="0" r="0" t="0"/>
            <wp:docPr descr="Просмотр содержимого переменных двумя способами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содержимого переменных двумя способами</w:t>
      </w:r>
    </w:p>
    <w:p>
      <w:pPr>
        <w:pStyle w:val="BodyText"/>
      </w:pPr>
      <w:r>
        <w:t xml:space="preserve">Меняю содержимое переменных по имени и по адресу (рис. 14).</w:t>
      </w:r>
    </w:p>
    <w:p>
      <w:pPr>
        <w:pStyle w:val="CaptionedFigure"/>
      </w:pPr>
      <w:r>
        <w:drawing>
          <wp:inline>
            <wp:extent cx="3733800" cy="3555815"/>
            <wp:effectExtent b="0" l="0" r="0" t="0"/>
            <wp:docPr descr="Изменение содержимого переменных двумя способами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5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содержимого переменных двумя способами</w:t>
      </w:r>
    </w:p>
    <w:p>
      <w:pPr>
        <w:pStyle w:val="BodyText"/>
      </w:pPr>
      <w:r>
        <w:t xml:space="preserve">С помощью команды set меняю содержимое регистра ebx (рис. 15).</w:t>
      </w:r>
    </w:p>
    <w:p>
      <w:pPr>
        <w:pStyle w:val="CaptionedFigure"/>
      </w:pPr>
      <w:r>
        <w:drawing>
          <wp:inline>
            <wp:extent cx="3733800" cy="3555815"/>
            <wp:effectExtent b="0" l="0" r="0" t="0"/>
            <wp:docPr descr="Примеры использования команды set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5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Примеры использования команды set</w:t>
      </w:r>
    </w:p>
    <w:bookmarkEnd w:id="70"/>
    <w:bookmarkStart w:id="77" w:name="X34484a9d02dddcc072527afae661c9b27116987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и запускаю ее (рис. 16).</w:t>
      </w:r>
    </w:p>
    <w:p>
      <w:pPr>
        <w:pStyle w:val="CaptionedFigure"/>
      </w:pPr>
      <w:r>
        <w:drawing>
          <wp:inline>
            <wp:extent cx="3733800" cy="2286710"/>
            <wp:effectExtent b="0" l="0" r="0" t="0"/>
            <wp:docPr descr="Подготовка новой программы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Подготовка новой программы</w:t>
      </w:r>
    </w:p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 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 (рис. 17).</w:t>
      </w:r>
    </w:p>
    <w:p>
      <w:pPr>
        <w:pStyle w:val="CaptionedFigure"/>
      </w:pPr>
      <w:r>
        <w:drawing>
          <wp:inline>
            <wp:extent cx="3733800" cy="3551946"/>
            <wp:effectExtent b="0" l="0" r="0" t="0"/>
            <wp:docPr descr="Проверка работы стека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работы стека</w:t>
      </w:r>
    </w:p>
    <w:bookmarkEnd w:id="77"/>
    <w:bookmarkEnd w:id="78"/>
    <w:bookmarkStart w:id="88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Меняю программу самостоятельной части предыдущей лабораторной работы с использованием подпрограммы (рис. 18).</w:t>
      </w:r>
    </w:p>
    <w:p>
      <w:pPr>
        <w:pStyle w:val="CaptionedFigure"/>
      </w:pPr>
      <w:r>
        <w:drawing>
          <wp:inline>
            <wp:extent cx="3733800" cy="2801317"/>
            <wp:effectExtent b="0" l="0" r="0" t="0"/>
            <wp:docPr descr="Текст программы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Текст программы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10x - 4"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_calculate_fx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_calculate_fx: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p>
      <w:pPr>
        <w:numPr>
          <w:ilvl w:val="0"/>
          <w:numId w:val="1003"/>
        </w:numPr>
        <w:pStyle w:val="Compact"/>
      </w:pPr>
      <w:r>
        <w:t xml:space="preserve">Запускаю программу в режиме отладки и пошагово анализирую выполнение через команду si, отслеживая изменения значений регистров с помощью команды i r. При выполнении инструкции mul ecx видно, что результат умножения записывается в регистр eax, но при этом также изменяется значение регистра edx. Регистр ebx при этом остается неизменным, из-за чего программа неправильно вычисляет значение функции (рис. 19).</w:t>
      </w:r>
    </w:p>
    <w:p>
      <w:pPr>
        <w:pStyle w:val="CaptionedFigure"/>
      </w:pPr>
      <w:r>
        <w:drawing>
          <wp:inline>
            <wp:extent cx="3733800" cy="2530471"/>
            <wp:effectExtent b="0" l="0" r="0" t="0"/>
            <wp:docPr descr="Поиск ошибки в программе через пошаговую отладку" title="" id="83" name="Picture"/>
            <a:graphic>
              <a:graphicData uri="http://schemas.openxmlformats.org/drawingml/2006/picture">
                <pic:pic>
                  <pic:nvPicPr>
                    <pic:cNvPr descr="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0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Поиск ошибки в программе через пошаговую отладку</w:t>
      </w:r>
    </w:p>
    <w:p>
      <w:pPr>
        <w:pStyle w:val="BodyText"/>
      </w:pPr>
      <w:r>
        <w:t xml:space="preserve">Исправляю найденную ошибку, теперь программа верно считает значение функции (рис. 20).</w:t>
      </w:r>
    </w:p>
    <w:p>
      <w:pPr>
        <w:pStyle w:val="CaptionedFigure"/>
      </w:pPr>
      <w:r>
        <w:drawing>
          <wp:inline>
            <wp:extent cx="3733800" cy="538205"/>
            <wp:effectExtent b="0" l="0" r="0" t="0"/>
            <wp:docPr descr="Проверка корректировок в программме" title="" id="86" name="Picture"/>
            <a:graphic>
              <a:graphicData uri="http://schemas.openxmlformats.org/drawingml/2006/picture">
                <pic:pic>
                  <pic:nvPicPr>
                    <pic:cNvPr descr="image/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корректировок в программме</w:t>
      </w:r>
    </w:p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</w:t>
      </w:r>
      <w:r>
        <w:t xml:space="preserve"> </w:t>
      </w:r>
      <w:r>
        <w:t xml:space="preserve">при поомщи GDB и его основными возможностями.</w:t>
      </w:r>
    </w:p>
    <w:bookmarkEnd w:id="90"/>
    <w:bookmarkStart w:id="94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91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4"/>
        </w:numPr>
        <w:pStyle w:val="Compact"/>
      </w:pPr>
      <w:hyperlink r:id="rId92">
        <w:r>
          <w:rPr>
            <w:rStyle w:val="Hyperlink"/>
          </w:rPr>
          <w:t xml:space="preserve">Лабораторная работа №9</w:t>
        </w:r>
      </w:hyperlink>
    </w:p>
    <w:p>
      <w:pPr>
        <w:numPr>
          <w:ilvl w:val="0"/>
          <w:numId w:val="1004"/>
        </w:numPr>
        <w:pStyle w:val="Compact"/>
      </w:pPr>
      <w:hyperlink r:id="rId93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85" Target="media/rId8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91" Target="https://esystem.rudn.ru/course/view.php?id=112" TargetMode="External" /><Relationship Type="http://schemas.openxmlformats.org/officeDocument/2006/relationships/hyperlink" Id="rId93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92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1" Target="https://esystem.rudn.ru/course/view.php?id=112" TargetMode="External" /><Relationship Type="http://schemas.openxmlformats.org/officeDocument/2006/relationships/hyperlink" Id="rId93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92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Ицков Андрей Станиславович</dc:creator>
  <dc:language>ru-RU</dc:language>
  <cp:keywords/>
  <dcterms:created xsi:type="dcterms:W3CDTF">2024-12-08T12:47:24Z</dcterms:created>
  <dcterms:modified xsi:type="dcterms:W3CDTF">2024-12-08T12:47:24Z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