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8.png" ContentType="image/png"/>
  <Override PartName="/word/media/rId28.png" ContentType="image/png"/>
  <Override PartName="/word/media/rId31.png" ContentType="image/png"/>
  <Override PartName="/word/media/rId36.png" ContentType="image/png"/>
  <Override PartName="/word/media/rId39.png" ContentType="image/png"/>
  <Override PartName="/word/media/rId42.png" ContentType="image/png"/>
  <Override PartName="/word/media/rId46.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Специальность:</w:t>
      </w:r>
      <w:r>
        <w:t xml:space="preserve"> </w:t>
      </w:r>
      <w:r>
        <w:t xml:space="preserve">архитектура</w:t>
      </w:r>
      <w:r>
        <w:t xml:space="preserve"> </w:t>
      </w:r>
      <w:r>
        <w:t xml:space="preserve">компьютеров</w:t>
      </w:r>
    </w:p>
    <w:p>
      <w:pPr>
        <w:pStyle w:val="Author"/>
      </w:pPr>
      <w:r>
        <w:t xml:space="preserve">Ицков</w:t>
      </w:r>
      <w:r>
        <w:t xml:space="preserve"> </w:t>
      </w:r>
      <w:r>
        <w:t xml:space="preserve">Андрей</w:t>
      </w:r>
      <w:r>
        <w:t xml:space="preserve"> </w:t>
      </w:r>
      <w:r>
        <w:t xml:space="preserve">Станиславович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изучение идеологии и применения средств контроля версий и освоение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62"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3" w:name="установка-git-и-gh"/>
    <w:p>
      <w:pPr>
        <w:pStyle w:val="Heading2"/>
      </w:pPr>
      <w:r>
        <w:rPr>
          <w:rStyle w:val="SectionNumber"/>
        </w:rPr>
        <w:t xml:space="preserve">4.1</w:t>
      </w:r>
      <w:r>
        <w:tab/>
      </w:r>
      <w:r>
        <w:t xml:space="preserve">Установка git и gh</w:t>
      </w:r>
    </w:p>
    <w:p>
      <w:pPr>
        <w:pStyle w:val="FirstParagraph"/>
      </w:pPr>
      <w:r>
        <w:t xml:space="preserve">Установим гит командой dnf install git, установим gh командой dnf install gh</w:t>
      </w:r>
    </w:p>
    <w:bookmarkEnd w:id="23"/>
    <w:bookmarkStart w:id="27"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Открываем терминал. При помощи команд git config –global user.name и git config –global user.email зададим имя пользователя и адрес электронной почты. При помощи команды git config –global core.quotepath false настроим utf-8 в выводе сообщений git. При помощи команды git config –global init.defaultBranch master зададим начальной ветке имя master. (рис. 1)</w:t>
      </w:r>
    </w:p>
    <w:p>
      <w:pPr>
        <w:pStyle w:val="CaptionedFigure"/>
      </w:pPr>
      <w:r>
        <w:drawing>
          <wp:inline>
            <wp:extent cx="3733800" cy="517302"/>
            <wp:effectExtent b="0" l="0" r="0" t="0"/>
            <wp:docPr descr="Ввод команд в терминал" title="" id="25" name="Picture"/>
            <a:graphic>
              <a:graphicData uri="http://schemas.openxmlformats.org/drawingml/2006/picture">
                <pic:pic>
                  <pic:nvPicPr>
                    <pic:cNvPr descr="image/report1.png" id="26" name="Picture"/>
                    <pic:cNvPicPr>
                      <a:picLocks noChangeArrowheads="1" noChangeAspect="1"/>
                    </pic:cNvPicPr>
                  </pic:nvPicPr>
                  <pic:blipFill>
                    <a:blip r:embed="rId24"/>
                    <a:stretch>
                      <a:fillRect/>
                    </a:stretch>
                  </pic:blipFill>
                  <pic:spPr bwMode="auto">
                    <a:xfrm>
                      <a:off x="0" y="0"/>
                      <a:ext cx="3733800" cy="517302"/>
                    </a:xfrm>
                    <a:prstGeom prst="rect">
                      <a:avLst/>
                    </a:prstGeom>
                    <a:noFill/>
                    <a:ln w="9525">
                      <a:noFill/>
                      <a:headEnd/>
                      <a:tailEnd/>
                    </a:ln>
                  </pic:spPr>
                </pic:pic>
              </a:graphicData>
            </a:graphic>
          </wp:inline>
        </w:drawing>
      </w:r>
    </w:p>
    <w:p>
      <w:pPr>
        <w:pStyle w:val="ImageCaption"/>
      </w:pPr>
      <w:r>
        <w:t xml:space="preserve">Рис. 1: Ввод команд в терминал</w:t>
      </w:r>
    </w:p>
    <w:bookmarkEnd w:id="27"/>
    <w:bookmarkStart w:id="35" w:name="создание-ssh-ключа."/>
    <w:p>
      <w:pPr>
        <w:pStyle w:val="Heading2"/>
      </w:pPr>
      <w:r>
        <w:rPr>
          <w:rStyle w:val="SectionNumber"/>
        </w:rPr>
        <w:t xml:space="preserve">4.3</w:t>
      </w:r>
      <w:r>
        <w:tab/>
      </w:r>
      <w:r>
        <w:t xml:space="preserve">Создание ssh ключа.</w:t>
      </w:r>
    </w:p>
    <w:p>
      <w:pPr>
        <w:pStyle w:val="FirstParagraph"/>
      </w:pPr>
      <w:r>
        <w:t xml:space="preserve">Для создания ключа используем команду ssh-keygen -t в терминале. (рис. 2) Зададим ключу размер 4096 бит. Сменим пароль при помощи команды ssh-keygen -p.</w:t>
      </w:r>
    </w:p>
    <w:p>
      <w:pPr>
        <w:pStyle w:val="CaptionedFigure"/>
      </w:pPr>
      <w:r>
        <w:drawing>
          <wp:inline>
            <wp:extent cx="3733800" cy="1142886"/>
            <wp:effectExtent b="0" l="0" r="0" t="0"/>
            <wp:docPr descr="Создание ключа" title="" id="29" name="Picture"/>
            <a:graphic>
              <a:graphicData uri="http://schemas.openxmlformats.org/drawingml/2006/picture">
                <pic:pic>
                  <pic:nvPicPr>
                    <pic:cNvPr descr="image/report2.png" id="30" name="Picture"/>
                    <pic:cNvPicPr>
                      <a:picLocks noChangeArrowheads="1" noChangeAspect="1"/>
                    </pic:cNvPicPr>
                  </pic:nvPicPr>
                  <pic:blipFill>
                    <a:blip r:embed="rId28"/>
                    <a:stretch>
                      <a:fillRect/>
                    </a:stretch>
                  </pic:blipFill>
                  <pic:spPr bwMode="auto">
                    <a:xfrm>
                      <a:off x="0" y="0"/>
                      <a:ext cx="3733800" cy="1142886"/>
                    </a:xfrm>
                    <a:prstGeom prst="rect">
                      <a:avLst/>
                    </a:prstGeom>
                    <a:noFill/>
                    <a:ln w="9525">
                      <a:noFill/>
                      <a:headEnd/>
                      <a:tailEnd/>
                    </a:ln>
                  </pic:spPr>
                </pic:pic>
              </a:graphicData>
            </a:graphic>
          </wp:inline>
        </w:drawing>
      </w:r>
    </w:p>
    <w:p>
      <w:pPr>
        <w:pStyle w:val="ImageCaption"/>
      </w:pPr>
      <w:r>
        <w:t xml:space="preserve">Рис. 2: Создание ключа</w:t>
      </w:r>
    </w:p>
    <w:bookmarkStart w:id="34" w:name="X5b2cd68106b7c99cc8115ed048200012b20dd00"/>
    <w:p>
      <w:pPr>
        <w:pStyle w:val="Heading3"/>
      </w:pPr>
      <w:r>
        <w:rPr>
          <w:rStyle w:val="SectionNumber"/>
        </w:rPr>
        <w:t xml:space="preserve">4.3.1</w:t>
      </w:r>
      <w:r>
        <w:tab/>
      </w:r>
      <w:r>
        <w:t xml:space="preserve">Добавление ssh-ключа в учетную запись ГитХаб.</w:t>
      </w:r>
    </w:p>
    <w:p>
      <w:pPr>
        <w:pStyle w:val="FirstParagraph"/>
      </w:pPr>
      <w:r>
        <w:t xml:space="preserve">Копируем созданный ключ и переносим его на сайт гитхаб в раздел ssh и gpg keys.</w:t>
      </w:r>
    </w:p>
    <w:p>
      <w:pPr>
        <w:pStyle w:val="BodyText"/>
      </w:pPr>
      <w:r>
        <w:t xml:space="preserve">Создаем новый ключ, задаем ему название и переносим ключ в поле key, добавляем ключ на сайт. (рис. 3)</w:t>
      </w:r>
    </w:p>
    <w:p>
      <w:pPr>
        <w:pStyle w:val="CaptionedFigure"/>
      </w:pPr>
      <w:r>
        <w:drawing>
          <wp:inline>
            <wp:extent cx="3733800" cy="601457"/>
            <wp:effectExtent b="0" l="0" r="0" t="0"/>
            <wp:docPr descr="Новый ключ ssh" title="" id="32" name="Picture"/>
            <a:graphic>
              <a:graphicData uri="http://schemas.openxmlformats.org/drawingml/2006/picture">
                <pic:pic>
                  <pic:nvPicPr>
                    <pic:cNvPr descr="image/report3.png" id="33" name="Picture"/>
                    <pic:cNvPicPr>
                      <a:picLocks noChangeArrowheads="1" noChangeAspect="1"/>
                    </pic:cNvPicPr>
                  </pic:nvPicPr>
                  <pic:blipFill>
                    <a:blip r:embed="rId31"/>
                    <a:stretch>
                      <a:fillRect/>
                    </a:stretch>
                  </pic:blipFill>
                  <pic:spPr bwMode="auto">
                    <a:xfrm>
                      <a:off x="0" y="0"/>
                      <a:ext cx="3733800" cy="601457"/>
                    </a:xfrm>
                    <a:prstGeom prst="rect">
                      <a:avLst/>
                    </a:prstGeom>
                    <a:noFill/>
                    <a:ln w="9525">
                      <a:noFill/>
                      <a:headEnd/>
                      <a:tailEnd/>
                    </a:ln>
                  </pic:spPr>
                </pic:pic>
              </a:graphicData>
            </a:graphic>
          </wp:inline>
        </w:drawing>
      </w:r>
    </w:p>
    <w:p>
      <w:pPr>
        <w:pStyle w:val="ImageCaption"/>
      </w:pPr>
      <w:r>
        <w:t xml:space="preserve">Рис. 3: Новый ключ ssh</w:t>
      </w:r>
    </w:p>
    <w:bookmarkEnd w:id="34"/>
    <w:bookmarkEnd w:id="35"/>
    <w:bookmarkStart w:id="50" w:name="создание-pgp-ключа."/>
    <w:p>
      <w:pPr>
        <w:pStyle w:val="Heading2"/>
      </w:pPr>
      <w:r>
        <w:rPr>
          <w:rStyle w:val="SectionNumber"/>
        </w:rPr>
        <w:t xml:space="preserve">4.4</w:t>
      </w:r>
      <w:r>
        <w:tab/>
      </w:r>
      <w:r>
        <w:t xml:space="preserve">Создание PGP ключа.</w:t>
      </w:r>
    </w:p>
    <w:p>
      <w:pPr>
        <w:pStyle w:val="FirstParagraph"/>
      </w:pPr>
      <w:r>
        <w:t xml:space="preserve">Генерируем ключ командой gpg –full-generate-key, настраиваем его по заданным требованиям. (рис. 4)</w:t>
      </w:r>
    </w:p>
    <w:p>
      <w:pPr>
        <w:pStyle w:val="CaptionedFigure"/>
      </w:pPr>
      <w:r>
        <w:drawing>
          <wp:inline>
            <wp:extent cx="3733800" cy="2604863"/>
            <wp:effectExtent b="0" l="0" r="0" t="0"/>
            <wp:docPr descr="Создание нового pg ключа" title="" id="37" name="Picture"/>
            <a:graphic>
              <a:graphicData uri="http://schemas.openxmlformats.org/drawingml/2006/picture">
                <pic:pic>
                  <pic:nvPicPr>
                    <pic:cNvPr descr="image/report4.png" id="38" name="Picture"/>
                    <pic:cNvPicPr>
                      <a:picLocks noChangeArrowheads="1" noChangeAspect="1"/>
                    </pic:cNvPicPr>
                  </pic:nvPicPr>
                  <pic:blipFill>
                    <a:blip r:embed="rId36"/>
                    <a:stretch>
                      <a:fillRect/>
                    </a:stretch>
                  </pic:blipFill>
                  <pic:spPr bwMode="auto">
                    <a:xfrm>
                      <a:off x="0" y="0"/>
                      <a:ext cx="3733800" cy="2604863"/>
                    </a:xfrm>
                    <a:prstGeom prst="rect">
                      <a:avLst/>
                    </a:prstGeom>
                    <a:noFill/>
                    <a:ln w="9525">
                      <a:noFill/>
                      <a:headEnd/>
                      <a:tailEnd/>
                    </a:ln>
                  </pic:spPr>
                </pic:pic>
              </a:graphicData>
            </a:graphic>
          </wp:inline>
        </w:drawing>
      </w:r>
    </w:p>
    <w:p>
      <w:pPr>
        <w:pStyle w:val="ImageCaption"/>
      </w:pPr>
      <w:r>
        <w:t xml:space="preserve">Рис. 4: Создание нового pg ключа</w:t>
      </w:r>
    </w:p>
    <w:p>
      <w:pPr>
        <w:pStyle w:val="BodyText"/>
      </w:pPr>
      <w:r>
        <w:t xml:space="preserve">Выводим ключ в терминал командой gpg –list-secret-keys –keyid-format LONG. После этого экспортируем его командой gpg –armor –export. (рис. 5)</w:t>
      </w:r>
    </w:p>
    <w:p>
      <w:pPr>
        <w:pStyle w:val="CaptionedFigure"/>
      </w:pPr>
      <w:r>
        <w:drawing>
          <wp:inline>
            <wp:extent cx="3733800" cy="2604863"/>
            <wp:effectExtent b="0" l="0" r="0" t="0"/>
            <wp:docPr descr="Вывод ключа в терминал" title="" id="40" name="Picture"/>
            <a:graphic>
              <a:graphicData uri="http://schemas.openxmlformats.org/drawingml/2006/picture">
                <pic:pic>
                  <pic:nvPicPr>
                    <pic:cNvPr descr="image/report5.png" id="41" name="Picture"/>
                    <pic:cNvPicPr>
                      <a:picLocks noChangeArrowheads="1" noChangeAspect="1"/>
                    </pic:cNvPicPr>
                  </pic:nvPicPr>
                  <pic:blipFill>
                    <a:blip r:embed="rId39"/>
                    <a:stretch>
                      <a:fillRect/>
                    </a:stretch>
                  </pic:blipFill>
                  <pic:spPr bwMode="auto">
                    <a:xfrm>
                      <a:off x="0" y="0"/>
                      <a:ext cx="3733800" cy="2604863"/>
                    </a:xfrm>
                    <a:prstGeom prst="rect">
                      <a:avLst/>
                    </a:prstGeom>
                    <a:noFill/>
                    <a:ln w="9525">
                      <a:noFill/>
                      <a:headEnd/>
                      <a:tailEnd/>
                    </a:ln>
                  </pic:spPr>
                </pic:pic>
              </a:graphicData>
            </a:graphic>
          </wp:inline>
        </w:drawing>
      </w:r>
    </w:p>
    <w:p>
      <w:pPr>
        <w:pStyle w:val="ImageCaption"/>
      </w:pPr>
      <w:r>
        <w:t xml:space="preserve">Рис. 5: Вывод ключа в терминал</w:t>
      </w:r>
    </w:p>
    <w:bookmarkStart w:id="45" w:name="добавление-ключа-на-гитхаб."/>
    <w:p>
      <w:pPr>
        <w:pStyle w:val="Heading3"/>
      </w:pPr>
      <w:r>
        <w:rPr>
          <w:rStyle w:val="SectionNumber"/>
        </w:rPr>
        <w:t xml:space="preserve">4.4.1</w:t>
      </w:r>
      <w:r>
        <w:tab/>
      </w:r>
      <w:r>
        <w:t xml:space="preserve">Добавление ключа на ГитХаб.</w:t>
      </w:r>
    </w:p>
    <w:p>
      <w:pPr>
        <w:pStyle w:val="FirstParagraph"/>
      </w:pPr>
      <w:r>
        <w:t xml:space="preserve">Скопировав ключ, переносим его на ГитХаб, создаем на сайте новый ключ и вставляем скопированный ключ в необходимое поле. (рис. 6)</w:t>
      </w:r>
    </w:p>
    <w:p>
      <w:pPr>
        <w:pStyle w:val="CaptionedFigure"/>
      </w:pPr>
      <w:r>
        <w:drawing>
          <wp:inline>
            <wp:extent cx="3733800" cy="934948"/>
            <wp:effectExtent b="0" l="0" r="0" t="0"/>
            <wp:docPr descr="Новый ключ PGP" title="" id="43" name="Picture"/>
            <a:graphic>
              <a:graphicData uri="http://schemas.openxmlformats.org/drawingml/2006/picture">
                <pic:pic>
                  <pic:nvPicPr>
                    <pic:cNvPr descr="image/report6.png" id="44" name="Picture"/>
                    <pic:cNvPicPr>
                      <a:picLocks noChangeArrowheads="1" noChangeAspect="1"/>
                    </pic:cNvPicPr>
                  </pic:nvPicPr>
                  <pic:blipFill>
                    <a:blip r:embed="rId42"/>
                    <a:stretch>
                      <a:fillRect/>
                    </a:stretch>
                  </pic:blipFill>
                  <pic:spPr bwMode="auto">
                    <a:xfrm>
                      <a:off x="0" y="0"/>
                      <a:ext cx="3733800" cy="934948"/>
                    </a:xfrm>
                    <a:prstGeom prst="rect">
                      <a:avLst/>
                    </a:prstGeom>
                    <a:noFill/>
                    <a:ln w="9525">
                      <a:noFill/>
                      <a:headEnd/>
                      <a:tailEnd/>
                    </a:ln>
                  </pic:spPr>
                </pic:pic>
              </a:graphicData>
            </a:graphic>
          </wp:inline>
        </w:drawing>
      </w:r>
    </w:p>
    <w:p>
      <w:pPr>
        <w:pStyle w:val="ImageCaption"/>
      </w:pPr>
      <w:r>
        <w:t xml:space="preserve">Рис. 6: Новый ключ PGP</w:t>
      </w:r>
    </w:p>
    <w:bookmarkEnd w:id="45"/>
    <w:bookmarkStart w:id="49" w:name="X69e72f92ce02f889584ae1182e2710a24ff177c"/>
    <w:p>
      <w:pPr>
        <w:pStyle w:val="Heading3"/>
      </w:pPr>
      <w:r>
        <w:rPr>
          <w:rStyle w:val="SectionNumber"/>
        </w:rPr>
        <w:t xml:space="preserve">4.4.2</w:t>
      </w:r>
      <w:r>
        <w:tab/>
      </w:r>
      <w:r>
        <w:t xml:space="preserve">Настройка автоматических подписей коммитов git</w:t>
      </w:r>
    </w:p>
    <w:p>
      <w:pPr>
        <w:pStyle w:val="FirstParagraph"/>
      </w:pPr>
      <w:r>
        <w:t xml:space="preserve">При помощи команд git config –global user.signingkey, git config –global commit.gpgsign true и git config –global gpg.program $(which gpg2) самостоятельно выбираем подписи коммитов в git. (рис. 7)</w:t>
      </w:r>
    </w:p>
    <w:p>
      <w:pPr>
        <w:pStyle w:val="CaptionedFigure"/>
      </w:pPr>
      <w:r>
        <w:drawing>
          <wp:inline>
            <wp:extent cx="3733800" cy="493431"/>
            <wp:effectExtent b="0" l="0" r="0" t="0"/>
            <wp:docPr descr="Настройка необходимых подписей коммитов" title="" id="47" name="Picture"/>
            <a:graphic>
              <a:graphicData uri="http://schemas.openxmlformats.org/drawingml/2006/picture">
                <pic:pic>
                  <pic:nvPicPr>
                    <pic:cNvPr descr="image/report7.png" id="48" name="Picture"/>
                    <pic:cNvPicPr>
                      <a:picLocks noChangeArrowheads="1" noChangeAspect="1"/>
                    </pic:cNvPicPr>
                  </pic:nvPicPr>
                  <pic:blipFill>
                    <a:blip r:embed="rId46"/>
                    <a:stretch>
                      <a:fillRect/>
                    </a:stretch>
                  </pic:blipFill>
                  <pic:spPr bwMode="auto">
                    <a:xfrm>
                      <a:off x="0" y="0"/>
                      <a:ext cx="3733800" cy="493431"/>
                    </a:xfrm>
                    <a:prstGeom prst="rect">
                      <a:avLst/>
                    </a:prstGeom>
                    <a:noFill/>
                    <a:ln w="9525">
                      <a:noFill/>
                      <a:headEnd/>
                      <a:tailEnd/>
                    </a:ln>
                  </pic:spPr>
                </pic:pic>
              </a:graphicData>
            </a:graphic>
          </wp:inline>
        </w:drawing>
      </w:r>
    </w:p>
    <w:p>
      <w:pPr>
        <w:pStyle w:val="ImageCaption"/>
      </w:pPr>
      <w:r>
        <w:t xml:space="preserve">Рис. 7: Настройка необходимых подписей коммитов</w:t>
      </w:r>
    </w:p>
    <w:bookmarkEnd w:id="49"/>
    <w:bookmarkEnd w:id="50"/>
    <w:bookmarkStart w:id="54" w:name="настройка-gh"/>
    <w:p>
      <w:pPr>
        <w:pStyle w:val="Heading2"/>
      </w:pPr>
      <w:r>
        <w:rPr>
          <w:rStyle w:val="SectionNumber"/>
        </w:rPr>
        <w:t xml:space="preserve">4.5</w:t>
      </w:r>
      <w:r>
        <w:tab/>
      </w:r>
      <w:r>
        <w:t xml:space="preserve">Настройка gh</w:t>
      </w:r>
    </w:p>
    <w:p>
      <w:pPr>
        <w:pStyle w:val="FirstParagraph"/>
      </w:pPr>
      <w:r>
        <w:t xml:space="preserve">Введя в терминал команду gh auth login, ответим на необходимые в терминале вопросы, после чего авторизуемся через браузер. (рис. 8)</w:t>
      </w:r>
    </w:p>
    <w:p>
      <w:pPr>
        <w:pStyle w:val="CaptionedFigure"/>
      </w:pPr>
      <w:r>
        <w:drawing>
          <wp:inline>
            <wp:extent cx="3733800" cy="1215774"/>
            <wp:effectExtent b="0" l="0" r="0" t="0"/>
            <wp:docPr descr="Настройка gh и авторизация в браузере" title="" id="52" name="Picture"/>
            <a:graphic>
              <a:graphicData uri="http://schemas.openxmlformats.org/drawingml/2006/picture">
                <pic:pic>
                  <pic:nvPicPr>
                    <pic:cNvPr descr="image/report8.png" id="53" name="Picture"/>
                    <pic:cNvPicPr>
                      <a:picLocks noChangeArrowheads="1" noChangeAspect="1"/>
                    </pic:cNvPicPr>
                  </pic:nvPicPr>
                  <pic:blipFill>
                    <a:blip r:embed="rId51"/>
                    <a:stretch>
                      <a:fillRect/>
                    </a:stretch>
                  </pic:blipFill>
                  <pic:spPr bwMode="auto">
                    <a:xfrm>
                      <a:off x="0" y="0"/>
                      <a:ext cx="3733800" cy="1215774"/>
                    </a:xfrm>
                    <a:prstGeom prst="rect">
                      <a:avLst/>
                    </a:prstGeom>
                    <a:noFill/>
                    <a:ln w="9525">
                      <a:noFill/>
                      <a:headEnd/>
                      <a:tailEnd/>
                    </a:ln>
                  </pic:spPr>
                </pic:pic>
              </a:graphicData>
            </a:graphic>
          </wp:inline>
        </w:drawing>
      </w:r>
    </w:p>
    <w:p>
      <w:pPr>
        <w:pStyle w:val="ImageCaption"/>
      </w:pPr>
      <w:r>
        <w:t xml:space="preserve">Рис. 8: Настройка gh и авторизация в браузере</w:t>
      </w:r>
    </w:p>
    <w:bookmarkEnd w:id="54"/>
    <w:bookmarkStart w:id="61" w:name="создание-и-настройка-репозитория-курса."/>
    <w:p>
      <w:pPr>
        <w:pStyle w:val="Heading2"/>
      </w:pPr>
      <w:r>
        <w:rPr>
          <w:rStyle w:val="SectionNumber"/>
        </w:rPr>
        <w:t xml:space="preserve">4.6</w:t>
      </w:r>
      <w:r>
        <w:tab/>
      </w:r>
      <w:r>
        <w:t xml:space="preserve">Создание и настройка репозитория курса.</w:t>
      </w:r>
    </w:p>
    <w:p>
      <w:pPr>
        <w:pStyle w:val="FirstParagraph"/>
      </w:pPr>
      <w:r>
        <w:t xml:space="preserve">Используя команды mkdir, gh repo, create study и git clone создаем репозиторий курса. (рис. 9)</w:t>
      </w:r>
    </w:p>
    <w:p>
      <w:pPr>
        <w:pStyle w:val="CaptionedFigure"/>
      </w:pPr>
      <w:r>
        <w:drawing>
          <wp:inline>
            <wp:extent cx="3733800" cy="488344"/>
            <wp:effectExtent b="0" l="0" r="0" t="0"/>
            <wp:docPr descr="Созданный репозиторий, папка первой лабораторной работы" title="" id="56" name="Picture"/>
            <a:graphic>
              <a:graphicData uri="http://schemas.openxmlformats.org/drawingml/2006/picture">
                <pic:pic>
                  <pic:nvPicPr>
                    <pic:cNvPr descr="image/report9.png" id="57" name="Picture"/>
                    <pic:cNvPicPr>
                      <a:picLocks noChangeArrowheads="1" noChangeAspect="1"/>
                    </pic:cNvPicPr>
                  </pic:nvPicPr>
                  <pic:blipFill>
                    <a:blip r:embed="rId55"/>
                    <a:stretch>
                      <a:fillRect/>
                    </a:stretch>
                  </pic:blipFill>
                  <pic:spPr bwMode="auto">
                    <a:xfrm>
                      <a:off x="0" y="0"/>
                      <a:ext cx="3733800" cy="488344"/>
                    </a:xfrm>
                    <a:prstGeom prst="rect">
                      <a:avLst/>
                    </a:prstGeom>
                    <a:noFill/>
                    <a:ln w="9525">
                      <a:noFill/>
                      <a:headEnd/>
                      <a:tailEnd/>
                    </a:ln>
                  </pic:spPr>
                </pic:pic>
              </a:graphicData>
            </a:graphic>
          </wp:inline>
        </w:drawing>
      </w:r>
    </w:p>
    <w:p>
      <w:pPr>
        <w:pStyle w:val="ImageCaption"/>
      </w:pPr>
      <w:r>
        <w:t xml:space="preserve">Рис. 9: Созданный репозиторий, папка первой лабораторной работы</w:t>
      </w:r>
    </w:p>
    <w:p>
      <w:pPr>
        <w:pStyle w:val="BodyText"/>
      </w:pPr>
      <w:r>
        <w:t xml:space="preserve">Отправляем файлы первой лабораторной работы на сервер. (рис. 10)</w:t>
      </w:r>
    </w:p>
    <w:p>
      <w:pPr>
        <w:pStyle w:val="CaptionedFigure"/>
      </w:pPr>
      <w:r>
        <w:drawing>
          <wp:inline>
            <wp:extent cx="3733800" cy="946167"/>
            <wp:effectExtent b="0" l="0" r="0" t="0"/>
            <wp:docPr descr="Отправка файлов на сервер" title="" id="59" name="Picture"/>
            <a:graphic>
              <a:graphicData uri="http://schemas.openxmlformats.org/drawingml/2006/picture">
                <pic:pic>
                  <pic:nvPicPr>
                    <pic:cNvPr descr="image/report10.png" id="60" name="Picture"/>
                    <pic:cNvPicPr>
                      <a:picLocks noChangeArrowheads="1" noChangeAspect="1"/>
                    </pic:cNvPicPr>
                  </pic:nvPicPr>
                  <pic:blipFill>
                    <a:blip r:embed="rId58"/>
                    <a:stretch>
                      <a:fillRect/>
                    </a:stretch>
                  </pic:blipFill>
                  <pic:spPr bwMode="auto">
                    <a:xfrm>
                      <a:off x="0" y="0"/>
                      <a:ext cx="3733800" cy="946167"/>
                    </a:xfrm>
                    <a:prstGeom prst="rect">
                      <a:avLst/>
                    </a:prstGeom>
                    <a:noFill/>
                    <a:ln w="9525">
                      <a:noFill/>
                      <a:headEnd/>
                      <a:tailEnd/>
                    </a:ln>
                  </pic:spPr>
                </pic:pic>
              </a:graphicData>
            </a:graphic>
          </wp:inline>
        </w:drawing>
      </w:r>
    </w:p>
    <w:p>
      <w:pPr>
        <w:pStyle w:val="ImageCaption"/>
      </w:pPr>
      <w:r>
        <w:t xml:space="preserve">Рис. 10: Отправка файлов на сервер</w:t>
      </w:r>
    </w:p>
    <w:bookmarkEnd w:id="61"/>
    <w:bookmarkEnd w:id="62"/>
    <w:bookmarkStart w:id="63" w:name="контрольные-вопросы"/>
    <w:p>
      <w:pPr>
        <w:pStyle w:val="Heading1"/>
      </w:pPr>
      <w:r>
        <w:rPr>
          <w:rStyle w:val="SectionNumber"/>
        </w:rPr>
        <w:t xml:space="preserve">5</w:t>
      </w:r>
      <w:r>
        <w:tab/>
      </w:r>
      <w:r>
        <w:t xml:space="preserve">Контрольные вопросы</w:t>
      </w:r>
    </w:p>
    <w:p>
      <w:pPr>
        <w:numPr>
          <w:ilvl w:val="0"/>
          <w:numId w:val="1002"/>
        </w:numPr>
        <w:pStyle w:val="Compact"/>
      </w:pPr>
      <w:r>
        <w:t xml:space="preserve">Что такое системы контроля версий (VCS) и для решения каких задач они предназначаются?</w:t>
      </w:r>
    </w:p>
    <w:p>
      <w:pPr>
        <w:pStyle w:val="FirstParagraph"/>
      </w:pPr>
      <w:r>
        <w:t xml:space="preserve">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(Version Control System, VCS) применяются для:</w:t>
      </w:r>
      <w:r>
        <w:t xml:space="preserve"> </w:t>
      </w:r>
      <w:r>
        <w:t xml:space="preserve">Хранение полной истории изменений причин всех производимых изменений</w:t>
      </w:r>
      <w:r>
        <w:t xml:space="preserve"> </w:t>
      </w:r>
      <w:r>
        <w:t xml:space="preserve">Откат изменений, если что-то пошло не так</w:t>
      </w:r>
      <w:r>
        <w:t xml:space="preserve"> </w:t>
      </w:r>
      <w:r>
        <w:t xml:space="preserve">Поиск причины и ответственного за появления ошибок в программе</w:t>
      </w:r>
      <w:r>
        <w:t xml:space="preserve"> </w:t>
      </w:r>
      <w:r>
        <w:t xml:space="preserve">Совместная работа группы над одним проектом</w:t>
      </w:r>
      <w:r>
        <w:t xml:space="preserve"> </w:t>
      </w:r>
      <w:r>
        <w:t xml:space="preserve">Возможность изменять код, не мешая работе других пользователей</w:t>
      </w:r>
    </w:p>
    <w:p>
      <w:pPr>
        <w:numPr>
          <w:ilvl w:val="0"/>
          <w:numId w:val="1003"/>
        </w:numPr>
        <w:pStyle w:val="Compact"/>
      </w:pPr>
      <w:r>
        <w:t xml:space="preserve">Объясните следующие понятия VCS и их отношения: хранилище, commit, история, рабочая копия</w:t>
      </w:r>
    </w:p>
    <w:p>
      <w:pPr>
        <w:pStyle w:val="FirstParagraph"/>
      </w:pPr>
      <w:r>
        <w:t xml:space="preserve">Репозиторий - хранилище версий - в нем хранятся все документы вместе с историей их изменения и другой служебной информацией.Commit — отслеживание изменений</w:t>
      </w:r>
      <w:r>
        <w:t xml:space="preserve"> </w:t>
      </w:r>
      <w:r>
        <w:t xml:space="preserve">Рабочая копия - копия проекта, связанная с репозиторием (текущее состояние файлов проекта, основанное на версии из хранилища (обычно на последней)</w:t>
      </w:r>
      <w:r>
        <w:t xml:space="preserve"> </w:t>
      </w:r>
      <w:r>
        <w:t xml:space="preserve">История хранит все изменения в проекте и позволяет при необходимости обратиться к нужным данным.</w:t>
      </w:r>
    </w:p>
    <w:p>
      <w:pPr>
        <w:numPr>
          <w:ilvl w:val="0"/>
          <w:numId w:val="1004"/>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Централизованные VCS (Subversion; CVS; TFS; VAULT; AccuRev):</w:t>
      </w:r>
      <w:r>
        <w:t xml:space="preserve"> </w:t>
      </w:r>
      <w:r>
        <w:t xml:space="preserve">Одно основное хранилище всего проекта</w:t>
      </w:r>
      <w:r>
        <w:t xml:space="preserve"> </w:t>
      </w:r>
      <w:r>
        <w:t xml:space="preserve">Каждый пользователь копирует себе необходимые ему файлы из этого репозитория, изменяет и, затем, добавляет свои изменения обратно Децентрализованные VCS (Git; Mercurial; Bazaar):</w:t>
      </w:r>
      <w:r>
        <w:t xml:space="preserve"> </w:t>
      </w:r>
      <w:r>
        <w:t xml:space="preserve">У каждого пользователя свой вариант (возможно не один) репозитория</w:t>
      </w:r>
      <w:r>
        <w:t xml:space="preserve"> </w:t>
      </w:r>
      <w:r>
        <w:t xml:space="preserve">Присутствует возможность добавлять и забирать изменения из любого репозитория .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В отличие от классических, в распределённых системах контроля версий центральный репозиторий не является обязательным.</w:t>
      </w:r>
    </w:p>
    <w:p>
      <w:pPr>
        <w:numPr>
          <w:ilvl w:val="0"/>
          <w:numId w:val="1005"/>
        </w:numPr>
        <w:pStyle w:val="Compact"/>
      </w:pPr>
      <w:r>
        <w:t xml:space="preserve">Опишите действия с VCS при единоличной работе с хранилищем.</w:t>
      </w:r>
    </w:p>
    <w:p>
      <w:pPr>
        <w:pStyle w:val="FirstParagraph"/>
      </w:pPr>
      <w:r>
        <w:t xml:space="preserve">Сначала создаем и подключаем удаленный репозиторий. Затем по мере изменения проекта отправлять эти изменения на сервер.</w:t>
      </w:r>
    </w:p>
    <w:p>
      <w:pPr>
        <w:numPr>
          <w:ilvl w:val="0"/>
          <w:numId w:val="1006"/>
        </w:numPr>
        <w:pStyle w:val="Compact"/>
      </w:pPr>
      <w:r>
        <w:t xml:space="preserve">Опишите порядок работы с общим хранилищем VCS.</w:t>
      </w:r>
    </w:p>
    <w:p>
      <w:pPr>
        <w:pStyle w:val="FirstParagraph"/>
      </w:pPr>
      <w:r>
        <w:t xml:space="preserve">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pPr>
        <w:numPr>
          <w:ilvl w:val="0"/>
          <w:numId w:val="1007"/>
        </w:numPr>
        <w:pStyle w:val="Compact"/>
      </w:pPr>
      <w:r>
        <w:t xml:space="preserve">Каковы основные задачи, решаемые инструментальным средством git?</w:t>
      </w:r>
    </w:p>
    <w:p>
      <w:pPr>
        <w:pStyle w:val="FirstParagraph"/>
      </w:pPr>
      <w:r>
        <w:t xml:space="preserve">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8"/>
        </w:numPr>
        <w:pStyle w:val="Compact"/>
      </w:pPr>
      <w:r>
        <w:t xml:space="preserve">Назовите и дайте краткую характеристику командам git.</w:t>
      </w:r>
    </w:p>
    <w:p>
      <w:pPr>
        <w:pStyle w:val="FirstParagraph"/>
      </w:pPr>
      <w:r>
        <w:t xml:space="preserve">Наиболее часто используемые команды git: • создание основного дерева репозитория: git init • получение обновлений (изменений) текущего дерева из центрального репозитория: git pull • отправка всех произведённых изменений локального дерева в центральный репозиторий: git push • просмотр списка изменённых файлов в текущей директории: git status • просмотр текущих изменения: git diff • сохранение текущих изменений: – добавить все изменённые и/или созданные файлы и/или каталоги: git add. – добавить конкретные изменённые и/или созданные файлы и/или каталоги: 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 git commit •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 • слияние ветки с текущим деревом: git merge –no-ff имя_ветки • удаление 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numPr>
          <w:ilvl w:val="0"/>
          <w:numId w:val="1009"/>
        </w:numPr>
        <w:pStyle w:val="Compact"/>
      </w:pPr>
      <w:r>
        <w:t xml:space="preserve">Приведите примеры использования при работе с локальным и удалённым репозиториями.</w:t>
      </w:r>
    </w:p>
    <w:p>
      <w:pPr>
        <w:pStyle w:val="FirstParagraph"/>
      </w:pPr>
      <w:r>
        <w:t xml:space="preserve">git push –all (push origin master/любой branch)</w:t>
      </w:r>
    </w:p>
    <w:p>
      <w:pPr>
        <w:numPr>
          <w:ilvl w:val="0"/>
          <w:numId w:val="1010"/>
        </w:numPr>
        <w:pStyle w:val="Compact"/>
      </w:pPr>
      <w:r>
        <w:t xml:space="preserve">Что такое и зачем могут быть нужны ветви (branches)?</w:t>
      </w:r>
    </w:p>
    <w:p>
      <w:pPr>
        <w:pStyle w:val="FirstParagraph"/>
      </w:pPr>
      <w:r>
        <w:t xml:space="preserve">Ветвление («ветка», branch) — один из параллельных участков истории в одном хранилище, исходящих из одной версии (точки ветвления). [3] • Обычно есть главная ветка (master), или ствол (trunk). • Между ветками, то есть их концами, возможно слияние. Используются для разработки новых функций.</w:t>
      </w:r>
    </w:p>
    <w:p>
      <w:pPr>
        <w:numPr>
          <w:ilvl w:val="0"/>
          <w:numId w:val="1011"/>
        </w:numPr>
        <w:pStyle w:val="Compact"/>
      </w:pPr>
      <w:r>
        <w:t xml:space="preserve">Как и зачем можно игнорировать некоторые файлы при commit?</w:t>
      </w:r>
    </w:p>
    <w:p>
      <w:pPr>
        <w:pStyle w:val="FirstParagraph"/>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w:t>
      </w:r>
    </w:p>
    <w:bookmarkEnd w:id="63"/>
    <w:bookmarkStart w:id="64" w:name="выводы"/>
    <w:p>
      <w:pPr>
        <w:pStyle w:val="Heading1"/>
      </w:pPr>
      <w:r>
        <w:rPr>
          <w:rStyle w:val="SectionNumber"/>
        </w:rPr>
        <w:t xml:space="preserve">6</w:t>
      </w:r>
      <w:r>
        <w:tab/>
      </w:r>
      <w:r>
        <w:t xml:space="preserve">Выводы</w:t>
      </w:r>
    </w:p>
    <w:p>
      <w:pPr>
        <w:pStyle w:val="FirstParagraph"/>
      </w:pPr>
      <w:r>
        <w:t xml:space="preserve">В результате выполнения данной лабораторной работы я приобрел необходимые навыки работы с гит, научился созданию репозиториев, gpg и ssh ключей, настроил каталог курса и авторизовался в gh.</w:t>
      </w:r>
    </w:p>
    <w:bookmarkEnd w:id="64"/>
    <w:bookmarkStart w:id="66" w:name="список-литературы"/>
    <w:p>
      <w:pPr>
        <w:pStyle w:val="Heading1"/>
      </w:pPr>
      <w:r>
        <w:t xml:space="preserve">Список литературы</w:t>
      </w:r>
    </w:p>
    <w:bookmarkStart w:id="65" w:name="refs"/>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8" Target="media/rId58.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Ицков Андрей Станиславович</dc:creator>
  <dc:language>ru-RU</dc:language>
  <cp:keywords/>
  <dcterms:created xsi:type="dcterms:W3CDTF">2025-03-08T17:10:21Z</dcterms:created>
  <dcterms:modified xsi:type="dcterms:W3CDTF">2025-03-08T17:10:21Z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Специальность: архитектура компьютеров</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