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3A5C"/>
          <w:sz w:val="44"/>
          <w:szCs w:val="44"/>
        </w:rPr>
        <w:t xml:space="preserve">BLUECORE STUDIOS</w:t>
      </w:r>
    </w:p>
    <w:p>
      <w:pPr>
        <w:spacing w:after="40"/>
      </w:pPr>
      <w:r>
        <w:rPr>
          <w:rFonts w:ascii="Arial" w:cs="Arial" w:eastAsia="Arial" w:hAnsi="Arial"/>
          <w:color w:val="2E75B6"/>
          <w:sz w:val="32"/>
          <w:szCs w:val="32"/>
        </w:rPr>
        <w:t xml:space="preserve">Standard Operating Procedure</w:t>
      </w:r>
    </w:p>
    <w:p>
      <w:pPr>
        <w:pBdr>
          <w:bottom w:val="single" w:color="2E75B6" w:sz="8" w:space="1"/>
        </w:pBdr>
        <w:spacing w:after="200"/>
      </w:pPr>
      <w:r>
        <w:rPr>
          <w:rFonts w:ascii="Arial" w:cs="Arial" w:eastAsia="Arial" w:hAnsi="Arial"/>
          <w:b/>
          <w:bCs/>
          <w:color w:val="1A3A5C"/>
          <w:sz w:val="28"/>
          <w:szCs w:val="28"/>
        </w:rPr>
        <w:t xml:space="preserve">Lead Outreach &amp; Business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March 1, 2026</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Internal – Confidential</w:t>
            </w:r>
          </w:p>
        </w:tc>
      </w:tr>
      <w:tr>
        <w:tc>
          <w:tcPr>
            <w:tcW w:type="dxa" w:w="2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Alex Lazarev, Lead</w:t>
            </w:r>
          </w:p>
        </w:tc>
      </w:tr>
    </w:tbl>
    <w:p>
      <w:pPr>
        <w:spacing w:before="360"/>
      </w:pPr>
    </w:p>
    <w:p>
      <w:pPr>
        <w:pStyle w:val="Heading1"/>
      </w:pPr>
      <w:r>
        <w:t xml:space="preserve">1. Purpose</w:t>
      </w:r>
    </w:p>
    <w:p>
      <w:pPr>
        <w:spacing w:after="200"/>
      </w:pPr>
      <w:r>
        <w:t xml:space="preserve">This SOP establishes the standard process for lead generation and outreach at Bluecore Studios. It defines the channels used, daily quotas, and expectations for all team members during both active project periods and periods without billable work. The goal is to maintain a consistent pipeline of qualified prospects across blockchain infrastructure, DeFi protocols, and compliance middleware engagements.</w:t>
      </w:r>
    </w:p>
    <w:p>
      <w:pPr>
        <w:pStyle w:val="Heading1"/>
      </w:pPr>
      <w:r>
        <w:t xml:space="preserve">2. Outreach Channels</w:t>
      </w:r>
    </w:p>
    <w:p>
      <w:pPr>
        <w:spacing w:after="120"/>
      </w:pPr>
      <w:r>
        <w:t xml:space="preserve">All lead outreach is conducted through the following channels. Each outreach attempt must be logged and tracked.</w:t>
      </w:r>
    </w:p>
    <w:p>
      <w:pPr>
        <w:pStyle w:val="Heading2"/>
      </w:pPr>
      <w:r>
        <w:t xml:space="preserve">2.1 LinkedIn + Email (Paired)</w:t>
      </w:r>
    </w:p>
    <w:p>
      <w:pPr>
        <w:spacing w:after="120"/>
      </w:pPr>
      <w:r>
        <w:t xml:space="preserve">LinkedIn outreach and email outreach are treated as a paired action. When reaching out to a lead via LinkedIn, a corresponding email must also be sent (or vice versa). This dual-touch approach maximizes visibility and response rates. A single LinkedIn message without a paired email does </w:t>
      </w:r>
      <w:r>
        <w:rPr>
          <w:b/>
          <w:bCs/>
          <w:i/>
          <w:iCs/>
        </w:rPr>
        <w:t xml:space="preserve">not</w:t>
      </w:r>
      <w:r>
        <w:t xml:space="preserve"> count as a completed outreach.</w:t>
      </w:r>
    </w:p>
    <w:p>
      <w:pPr>
        <w:pStyle w:val="ListParagraph"/>
        <w:numPr>
          <w:ilvl w:val="0"/>
          <w:numId w:val="2"/>
        </w:numPr>
        <w:spacing w:after="60"/>
      </w:pPr>
      <w:r>
        <w:t xml:space="preserve">Send a personalized LinkedIn connection request or InMail.</w:t>
      </w:r>
    </w:p>
    <w:p>
      <w:pPr>
        <w:pStyle w:val="ListParagraph"/>
        <w:numPr>
          <w:ilvl w:val="0"/>
          <w:numId w:val="2"/>
        </w:numPr>
        <w:spacing w:after="60"/>
      </w:pPr>
      <w:r>
        <w:t xml:space="preserve">Follow up with a tailored email to the same lead within the same business day.</w:t>
      </w:r>
    </w:p>
    <w:p>
      <w:pPr>
        <w:pStyle w:val="ListParagraph"/>
        <w:numPr>
          <w:ilvl w:val="0"/>
          <w:numId w:val="2"/>
        </w:numPr>
        <w:spacing w:after="200"/>
      </w:pPr>
      <w:r>
        <w:t xml:space="preserve">Both touches together count as one (1) completed outreach.</w:t>
      </w:r>
    </w:p>
    <w:p>
      <w:pPr>
        <w:pStyle w:val="Heading2"/>
      </w:pPr>
      <w:r>
        <w:t xml:space="preserve">2.2 Upwork</w:t>
      </w:r>
    </w:p>
    <w:p>
      <w:pPr>
        <w:spacing w:after="120"/>
      </w:pPr>
      <w:r>
        <w:t xml:space="preserve">Upwork proposals are an independent outreach channel. Each submitted proposal to a relevant job posting counts as one (1) completed outreach.</w:t>
      </w:r>
    </w:p>
    <w:p>
      <w:pPr>
        <w:pStyle w:val="ListParagraph"/>
        <w:numPr>
          <w:ilvl w:val="0"/>
          <w:numId w:val="2"/>
        </w:numPr>
        <w:spacing w:after="60"/>
      </w:pPr>
      <w:r>
        <w:t xml:space="preserve">Proposals must be customized to the job description – no generic templates.</w:t>
      </w:r>
    </w:p>
    <w:p>
      <w:pPr>
        <w:pStyle w:val="ListParagraph"/>
        <w:numPr>
          <w:ilvl w:val="0"/>
          <w:numId w:val="2"/>
        </w:numPr>
        <w:spacing w:after="60"/>
      </w:pPr>
      <w:r>
        <w:t xml:space="preserve">Prioritize postings related to blockchain development, smart contracts, DeFi, tokenization, and compliance tooling.</w:t>
      </w:r>
    </w:p>
    <w:p>
      <w:pPr>
        <w:pStyle w:val="ListParagraph"/>
        <w:numPr>
          <w:ilvl w:val="0"/>
          <w:numId w:val="2"/>
        </w:numPr>
        <w:spacing w:after="200"/>
      </w:pPr>
      <w:r>
        <w:t xml:space="preserve">Track connects spent and conversion rates monthly.</w:t>
      </w:r>
    </w:p>
    <w:p>
      <w:pPr>
        <w:pStyle w:val="Heading1"/>
      </w:pPr>
      <w:r>
        <w:t xml:space="preserve">3. Daily Quotas</w:t>
      </w:r>
    </w:p>
    <w:p>
      <w:pPr>
        <w:pStyle w:val="Heading2"/>
      </w:pPr>
      <w:r>
        <w:t xml:space="preserve">3.1 During Periods With No Active Billable Work</w:t>
      </w:r>
    </w:p>
    <w:p>
      <w:pPr>
        <w:spacing w:after="160"/>
      </w:pPr>
      <w:r>
        <w:t xml:space="preserve">When there is no active client project, lead generation becomes the primary focus. Each team member is expected to complete the following </w:t>
      </w:r>
      <w:r>
        <w:rPr>
          <w:b/>
          <w:bCs/>
        </w:rPr>
        <w:t xml:space="preserve">minimum daily quota</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Daily Minimum (Per Person)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LinkedIn + Email paired outreaches OR Upwork proposals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w:t>
            </w:r>
          </w:p>
        </w:tc>
      </w:tr>
    </w:tbl>
    <w:p>
      <w:pPr>
        <w:spacing w:before="160" w:after="200"/>
      </w:pPr>
      <w:r>
        <w:t xml:space="preserve">This means each person completes at least 10 outreach actions per day, which can be any combination of LinkedIn+Email pairs and Upwork proposals. For example: 6 LinkedIn+Email pairs and 4 Upwork proposals, or 10 Upwork proposals, or any other combination totaling 10.</w:t>
      </w:r>
    </w:p>
    <w:p>
      <w:pPr>
        <w:pStyle w:val="Heading2"/>
      </w:pPr>
      <w:r>
        <w:t xml:space="preserve">3.2 During Active Project Periods</w:t>
      </w:r>
    </w:p>
    <w:p>
      <w:pPr>
        <w:spacing w:after="200"/>
      </w:pPr>
      <w:r>
        <w:t xml:space="preserve">When the team is engaged in billable client work, outreach quotas are reduced but not eliminated. Maintaining pipeline activity prevents feast-or-famine cycles. Reduced quotas will be communicated by Alex on a case-by-case basis depending on project load.</w:t>
      </w:r>
    </w:p>
    <w:p>
      <w:pPr>
        <w:pStyle w:val="Heading1"/>
      </w:pPr>
      <w:r>
        <w:t xml:space="preserve">4. Bug Bounties</w:t>
      </w:r>
    </w:p>
    <w:p>
      <w:pPr>
        <w:spacing w:after="120"/>
      </w:pPr>
      <w:r>
        <w:t xml:space="preserve">Team members are encouraged to participate in blockchain and smart contract bug bounty programs as a supplementary revenue stream and skill-building activity. Bug bounty work is tracked separately and does not substitute for outreach quotas.</w:t>
      </w:r>
    </w:p>
    <w:p>
      <w:pPr>
        <w:pStyle w:val="Heading2"/>
      </w:pPr>
      <w:r>
        <w:t xml:space="preserve">4.1 Tracking Requirements</w:t>
      </w:r>
    </w:p>
    <w:p>
      <w:pPr>
        <w:pStyle w:val="ListParagraph"/>
        <w:numPr>
          <w:ilvl w:val="0"/>
          <w:numId w:val="2"/>
        </w:numPr>
        <w:spacing w:after="60"/>
      </w:pPr>
      <w:r>
        <w:t xml:space="preserve">Log the platform and program name (e.g., Immunefi, Code4rena, Sherlock).</w:t>
      </w:r>
    </w:p>
    <w:p>
      <w:pPr>
        <w:pStyle w:val="ListParagraph"/>
        <w:numPr>
          <w:ilvl w:val="0"/>
          <w:numId w:val="2"/>
        </w:numPr>
        <w:spacing w:after="60"/>
      </w:pPr>
      <w:r>
        <w:t xml:space="preserve">Record hours spent per bounty.</w:t>
      </w:r>
    </w:p>
    <w:p>
      <w:pPr>
        <w:pStyle w:val="ListParagraph"/>
        <w:numPr>
          <w:ilvl w:val="0"/>
          <w:numId w:val="2"/>
        </w:numPr>
        <w:spacing w:after="60"/>
      </w:pPr>
      <w:r>
        <w:t xml:space="preserve">Document submissions made and outcomes (accepted, rejected, pending).</w:t>
      </w:r>
    </w:p>
    <w:p>
      <w:pPr>
        <w:pStyle w:val="ListParagraph"/>
        <w:numPr>
          <w:ilvl w:val="0"/>
          <w:numId w:val="2"/>
        </w:numPr>
        <w:spacing w:after="200"/>
      </w:pPr>
      <w:r>
        <w:t xml:space="preserve">Report any payouts received.</w:t>
      </w:r>
    </w:p>
    <w:p>
      <w:pPr>
        <w:pStyle w:val="Heading2"/>
      </w:pPr>
      <w:r>
        <w:t xml:space="preserve">4.2 Priority</w:t>
      </w:r>
    </w:p>
    <w:p>
      <w:pPr>
        <w:spacing w:after="200"/>
      </w:pPr>
      <w:r>
        <w:t xml:space="preserve">Bug bounties should be worked on </w:t>
      </w:r>
      <w:r>
        <w:rPr>
          <w:b/>
          <w:bCs/>
          <w:i/>
          <w:iCs/>
        </w:rPr>
        <w:t xml:space="preserve">after</w:t>
      </w:r>
      <w:r>
        <w:t xml:space="preserve"> daily outreach quotas have been met, or during dedicated blocks outside of outreach hours. Active client work always takes priority over bounty hunting.</w:t>
      </w:r>
    </w:p>
    <w:p>
      <w:pPr>
        <w:pStyle w:val="Heading1"/>
      </w:pPr>
      <w:r>
        <w:t xml:space="preserve">5. Working Hours</w:t>
      </w:r>
    </w:p>
    <w:p>
      <w:pPr>
        <w:spacing w:after="120"/>
      </w:pPr>
      <w:r>
        <w:t xml:space="preserve">All team members are expected to maintain consistent, trackable working hours. Time tracking ensures accountability and helps with project scoping and invoicing.</w:t>
      </w:r>
    </w:p>
    <w:p>
      <w:pPr>
        <w:pStyle w:val="Heading2"/>
      </w:pPr>
      <w:r>
        <w:t xml:space="preserve">5.1 Time Logging</w:t>
      </w:r>
    </w:p>
    <w:p>
      <w:pPr>
        <w:pStyle w:val="ListParagraph"/>
        <w:numPr>
          <w:ilvl w:val="0"/>
          <w:numId w:val="2"/>
        </w:numPr>
        <w:spacing w:after="60"/>
      </w:pPr>
      <w:r>
        <w:t xml:space="preserve">All hours must be logged daily, broken down by activity category: outreach, client work, bug bounties, internal/admin.</w:t>
      </w:r>
    </w:p>
    <w:p>
      <w:pPr>
        <w:pStyle w:val="ListParagraph"/>
        <w:numPr>
          <w:ilvl w:val="0"/>
          <w:numId w:val="2"/>
        </w:numPr>
        <w:spacing w:after="60"/>
      </w:pPr>
      <w:r>
        <w:t xml:space="preserve">Use the team’s designated time-tracking tool or shared spreadsheet.</w:t>
      </w:r>
    </w:p>
    <w:p>
      <w:pPr>
        <w:pStyle w:val="ListParagraph"/>
        <w:numPr>
          <w:ilvl w:val="0"/>
          <w:numId w:val="2"/>
        </w:numPr>
        <w:spacing w:after="200"/>
      </w:pPr>
      <w:r>
        <w:t xml:space="preserve">Weekly hour summaries should be submitted to Alex by end of day Friday.</w:t>
      </w:r>
    </w:p>
    <w:p>
      <w:pPr>
        <w:pStyle w:val="Heading2"/>
      </w:pPr>
      <w:r>
        <w:t xml:space="preserve">5.2 Expected Breakdown (No Active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Activity</w:t>
            </w:r>
          </w:p>
        </w:tc>
        <w:tc>
          <w:tcPr>
            <w:tcW w:type="dxa" w:w="4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Suggested Allocation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Lead Outreach (LinkedIn + Email / Upwork)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60–70% of working hours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Bug Bounties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20–30% of working hours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Internal / Admin / Skill Development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 of working hours</w:t>
            </w:r>
          </w:p>
        </w:tc>
      </w:tr>
    </w:tbl>
    <w:p>
      <w:pPr>
        <w:spacing w:before="360"/>
      </w:pPr>
    </w:p>
    <w:p>
      <w:pPr>
        <w:pStyle w:val="Heading1"/>
      </w:pPr>
      <w:r>
        <w:t xml:space="preserve">6. Accountability &amp; Reporting</w:t>
      </w:r>
    </w:p>
    <w:p>
      <w:pPr>
        <w:spacing w:after="120"/>
      </w:pPr>
      <w:r>
        <w:t xml:space="preserve">Consistency in outreach is what builds a sustainable pipeline. The following reporting structure keeps the team aligned:</w:t>
      </w:r>
    </w:p>
    <w:p>
      <w:pPr>
        <w:pStyle w:val="ListParagraph"/>
        <w:numPr>
          <w:ilvl w:val="0"/>
          <w:numId w:val="3"/>
        </w:numPr>
        <w:spacing w:after="60"/>
      </w:pPr>
      <w:r>
        <w:rPr>
          <w:b/>
          <w:bCs/>
        </w:rPr>
        <w:t xml:space="preserve">Daily Log: </w:t>
      </w:r>
      <w:r>
        <w:t xml:space="preserve">Each team member logs outreach count and channels used by end of day.</w:t>
      </w:r>
    </w:p>
    <w:p>
      <w:pPr>
        <w:pStyle w:val="ListParagraph"/>
        <w:numPr>
          <w:ilvl w:val="0"/>
          <w:numId w:val="3"/>
        </w:numPr>
        <w:spacing w:after="60"/>
      </w:pPr>
      <w:r>
        <w:rPr>
          <w:b/>
          <w:bCs/>
        </w:rPr>
        <w:t xml:space="preserve">Weekly Recap: </w:t>
      </w:r>
      <w:r>
        <w:t xml:space="preserve">Submit a brief summary of total outreaches, responses received, meetings booked, and hours worked.</w:t>
      </w:r>
    </w:p>
    <w:p>
      <w:pPr>
        <w:pStyle w:val="ListParagraph"/>
        <w:numPr>
          <w:ilvl w:val="0"/>
          <w:numId w:val="3"/>
        </w:numPr>
        <w:spacing w:after="60"/>
      </w:pPr>
      <w:r>
        <w:rPr>
          <w:b/>
          <w:bCs/>
        </w:rPr>
        <w:t xml:space="preserve">Monthly Review: </w:t>
      </w:r>
      <w:r>
        <w:t xml:space="preserve">Alex reviews pipeline health, conversion rates, and adjusts quotas or strategy as needed.</w:t>
      </w:r>
    </w:p>
    <w:p>
      <w:pPr>
        <w:pStyle w:val="ListParagraph"/>
        <w:numPr>
          <w:ilvl w:val="0"/>
          <w:numId w:val="3"/>
        </w:numPr>
        <w:spacing w:after="200"/>
      </w:pPr>
      <w:r>
        <w:rPr>
          <w:b/>
          <w:bCs/>
        </w:rPr>
        <w:t xml:space="preserve">Bug Bounty Report: </w:t>
      </w:r>
      <w:r>
        <w:t xml:space="preserve">Monthly summary of bounties attempted, submissions, and payouts.</w:t>
      </w:r>
    </w:p>
    <w:p>
      <w:pPr>
        <w:spacing w:before="600"/>
      </w:pPr>
    </w:p>
    <w:p>
      <w:pPr>
        <w:pBdr>
          <w:top w:val="single" w:color="1A3A5C" w:sz="4" w:space="1"/>
        </w:pBdr>
        <w:spacing w:before="200"/>
      </w:pPr>
      <w:r>
        <w:rPr>
          <w:rFonts w:ascii="Arial" w:cs="Arial" w:eastAsia="Arial" w:hAnsi="Arial"/>
          <w:i/>
          <w:iCs/>
          <w:color w:val="666666"/>
          <w:sz w:val="20"/>
          <w:szCs w:val="20"/>
        </w:rPr>
        <w:t xml:space="preserve">Acknowledged and agreed:</w:t>
      </w:r>
    </w:p>
    <w:p>
      <w:pPr>
        <w:spacing w:before="360" w:after="40"/>
      </w:pPr>
      <w:r>
        <w:rPr>
          <w:rFonts w:ascii="Arial" w:cs="Arial" w:eastAsia="Arial" w:hAnsi="Arial"/>
          <w:sz w:val="20"/>
          <w:szCs w:val="20"/>
        </w:rPr>
        <w:t xml:space="preserve">Name: ___________________________________    Date: _______________</w:t>
      </w:r>
    </w:p>
    <w:p>
      <w:pPr>
        <w:spacing w:after="40"/>
      </w:pPr>
      <w:r>
        <w:rPr>
          <w:rFonts w:ascii="Arial" w:cs="Arial" w:eastAsia="Arial" w:hAnsi="Arial"/>
          <w:sz w:val="20"/>
          <w:szCs w:val="20"/>
        </w:rPr>
        <w:t xml:space="preserve">Name: ___________________________________    Date: _______________</w:t>
      </w:r>
    </w:p>
    <w:p>
      <w:r>
        <w:rPr>
          <w:rFonts w:ascii="Arial" w:cs="Arial" w:eastAsia="Arial" w:hAnsi="Arial"/>
          <w:sz w:val="20"/>
          <w:szCs w:val="20"/>
        </w:rPr>
        <w:t xml:space="preserve">Name: ___________________________________    Date: _______________</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jc w:val="center"/>
    </w:pPr>
    <w:r>
      <w:rPr>
        <w:rFonts w:ascii="Arial" w:cs="Arial" w:eastAsia="Arial" w:hAnsi="Arial"/>
        <w:i/>
        <w:iCs/>
        <w:color w:val="999999"/>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b/>
        <w:bCs/>
        <w:color w:val="1A3A5C"/>
        <w:sz w:val="18"/>
        <w:szCs w:val="18"/>
      </w:rPr>
      <w:t xml:space="preserve">BLUECORE STUDIOS</w:t>
    </w:r>
    <w:r>
      <w:rPr>
        <w:rFonts w:ascii="Arial" w:cs="Arial" w:eastAsia="Arial" w:hAnsi="Arial"/>
        <w:color w:val="888888"/>
        <w:sz w:val="18"/>
        <w:szCs w:val="18"/>
      </w:rPr>
      <w:t xml:space="preserve">  |  Internal SOP  |  Lead Outreach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2026-03-01T17:28:02.410Z</dcterms:created>
  <dcterms:modified xsi:type="dcterms:W3CDTF">2026-03-01T17:28:02.411Z</dcterms:modified>
</cp:coreProperties>
</file>

<file path=docProps/custom.xml><?xml version="1.0" encoding="utf-8"?>
<Properties xmlns="http://schemas.openxmlformats.org/officeDocument/2006/custom-properties" xmlns:vt="http://schemas.openxmlformats.org/officeDocument/2006/docPropsVTypes"/>
</file>