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062749349"/>
        <w:docPartObj>
          <w:docPartGallery w:val="Cover Pages"/>
          <w:docPartUnique/>
        </w:docPartObj>
      </w:sdtPr>
      <w:sdtContent>
        <w:p w14:paraId="3CEE96AA" w14:textId="30077066" w:rsidR="00CB0640" w:rsidRPr="00DF22D4" w:rsidRDefault="00CB0640">
          <w:pPr>
            <w:rPr>
              <w:rFonts w:ascii="Times New Roman" w:hAnsi="Times New Roman" w:cs="Times New Roman"/>
            </w:rPr>
          </w:pPr>
          <w:r w:rsidRPr="00DF22D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816C22A" wp14:editId="0C238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55F4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F22D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24305E" wp14:editId="2D9CD67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AB459" w14:textId="77777777" w:rsidR="00CB0640" w:rsidRPr="000433EB" w:rsidRDefault="00CB0640">
                                <w:pPr>
                                  <w:jc w:val="right"/>
                                  <w:rPr>
                                    <w:rFonts w:ascii="Times New Roman" w:hAnsi="Times New Roman" w:cs="Times New Roman"/>
                                    <w:caps/>
                                    <w:color w:val="4472C4" w:themeColor="accent1"/>
                                    <w:sz w:val="64"/>
                                    <w:szCs w:val="64"/>
                                  </w:rPr>
                                </w:pPr>
                                <w:r w:rsidRPr="000433EB">
                                  <w:rPr>
                                    <w:rFonts w:ascii="Times New Roman" w:hAnsi="Times New Roman" w:cs="Times New Roman"/>
                                    <w:caps/>
                                    <w:color w:val="4472C4" w:themeColor="accent1"/>
                                    <w:sz w:val="64"/>
                                    <w:szCs w:val="64"/>
                                  </w:rPr>
                                  <w:t>Annual Report Analysis</w:t>
                                </w:r>
                              </w:p>
                              <w:p w14:paraId="589A9262" w14:textId="4EF93959" w:rsidR="00CB0640" w:rsidRPr="000433EB" w:rsidRDefault="00000000">
                                <w:pPr>
                                  <w:jc w:val="right"/>
                                  <w:rPr>
                                    <w:rFonts w:ascii="Times New Roman" w:hAnsi="Times New Roman" w:cs="Times New Roman"/>
                                    <w:smallCaps/>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CB0640" w:rsidRPr="000433EB">
                                      <w:rPr>
                                        <w:rFonts w:ascii="Times New Roman" w:hAnsi="Times New Roman" w:cs="Times New Roman"/>
                                        <w:color w:val="404040" w:themeColor="text1" w:themeTint="BF"/>
                                        <w:sz w:val="36"/>
                                        <w:szCs w:val="36"/>
                                      </w:rPr>
                                      <w:t xml:space="preserve">Royal Bank of Canada &amp; </w:t>
                                    </w:r>
                                    <w:r w:rsidR="0054444C">
                                      <w:rPr>
                                        <w:rFonts w:ascii="Times New Roman" w:hAnsi="Times New Roman" w:cs="Times New Roman"/>
                                        <w:color w:val="404040" w:themeColor="text1" w:themeTint="BF"/>
                                        <w:sz w:val="36"/>
                                        <w:szCs w:val="36"/>
                                      </w:rPr>
                                      <w:t>Bank of Nova Scotia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624305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80AB459" w14:textId="77777777" w:rsidR="00CB0640" w:rsidRPr="000433EB" w:rsidRDefault="00CB0640">
                          <w:pPr>
                            <w:jc w:val="right"/>
                            <w:rPr>
                              <w:rFonts w:ascii="Times New Roman" w:hAnsi="Times New Roman" w:cs="Times New Roman"/>
                              <w:caps/>
                              <w:color w:val="4472C4" w:themeColor="accent1"/>
                              <w:sz w:val="64"/>
                              <w:szCs w:val="64"/>
                            </w:rPr>
                          </w:pPr>
                          <w:r w:rsidRPr="000433EB">
                            <w:rPr>
                              <w:rFonts w:ascii="Times New Roman" w:hAnsi="Times New Roman" w:cs="Times New Roman"/>
                              <w:caps/>
                              <w:color w:val="4472C4" w:themeColor="accent1"/>
                              <w:sz w:val="64"/>
                              <w:szCs w:val="64"/>
                            </w:rPr>
                            <w:t>Annual Report Analysis</w:t>
                          </w:r>
                        </w:p>
                        <w:p w14:paraId="589A9262" w14:textId="4EF93959" w:rsidR="00CB0640" w:rsidRPr="000433EB" w:rsidRDefault="00000000">
                          <w:pPr>
                            <w:jc w:val="right"/>
                            <w:rPr>
                              <w:rFonts w:ascii="Times New Roman" w:hAnsi="Times New Roman" w:cs="Times New Roman"/>
                              <w:smallCaps/>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CB0640" w:rsidRPr="000433EB">
                                <w:rPr>
                                  <w:rFonts w:ascii="Times New Roman" w:hAnsi="Times New Roman" w:cs="Times New Roman"/>
                                  <w:color w:val="404040" w:themeColor="text1" w:themeTint="BF"/>
                                  <w:sz w:val="36"/>
                                  <w:szCs w:val="36"/>
                                </w:rPr>
                                <w:t xml:space="preserve">Royal Bank of Canada &amp; </w:t>
                              </w:r>
                              <w:r w:rsidR="0054444C">
                                <w:rPr>
                                  <w:rFonts w:ascii="Times New Roman" w:hAnsi="Times New Roman" w:cs="Times New Roman"/>
                                  <w:color w:val="404040" w:themeColor="text1" w:themeTint="BF"/>
                                  <w:sz w:val="36"/>
                                  <w:szCs w:val="36"/>
                                </w:rPr>
                                <w:t>Bank of Nova Scotia</w:t>
                              </w:r>
                            </w:sdtContent>
                          </w:sdt>
                        </w:p>
                      </w:txbxContent>
                    </v:textbox>
                    <w10:wrap type="square" anchorx="page" anchory="page"/>
                  </v:shape>
                </w:pict>
              </mc:Fallback>
            </mc:AlternateContent>
          </w:r>
        </w:p>
        <w:p w14:paraId="34B06582" w14:textId="286FBFA4" w:rsidR="00CB0640" w:rsidRPr="00DF22D4" w:rsidRDefault="000712F6">
          <w:pPr>
            <w:widowControl/>
            <w:jc w:val="left"/>
            <w:rPr>
              <w:rFonts w:ascii="Times New Roman" w:hAnsi="Times New Roman" w:cs="Times New Roman"/>
            </w:rPr>
          </w:pPr>
          <w:r w:rsidRPr="00DF22D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7CAD99" wp14:editId="6217AE19">
                    <wp:simplePos x="0" y="0"/>
                    <wp:positionH relativeFrom="margin">
                      <wp:align>center</wp:align>
                    </wp:positionH>
                    <wp:positionV relativeFrom="page">
                      <wp:posOffset>8742045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92246" w14:textId="77777777" w:rsidR="00316870" w:rsidRPr="000433EB" w:rsidRDefault="00316870">
                                <w:pPr>
                                  <w:pStyle w:val="NoSpacing"/>
                                  <w:jc w:val="right"/>
                                  <w:rPr>
                                    <w:rFonts w:ascii="Times New Roman" w:hAnsi="Times New Roman" w:cs="Times New Roman"/>
                                    <w:color w:val="595959" w:themeColor="text1" w:themeTint="A6"/>
                                    <w:sz w:val="24"/>
                                    <w:szCs w:val="24"/>
                                  </w:rPr>
                                </w:pPr>
                                <w:r w:rsidRPr="000433EB">
                                  <w:rPr>
                                    <w:rFonts w:ascii="Times New Roman" w:hAnsi="Times New Roman" w:cs="Times New Roman"/>
                                    <w:color w:val="595959" w:themeColor="text1" w:themeTint="A6"/>
                                    <w:sz w:val="24"/>
                                    <w:szCs w:val="24"/>
                                  </w:rPr>
                                  <w:t xml:space="preserve">Joseph Siu </w:t>
                                </w:r>
                              </w:p>
                              <w:p w14:paraId="7E0E5D1A" w14:textId="594184A1" w:rsidR="00316870" w:rsidRPr="000433EB" w:rsidRDefault="00316870" w:rsidP="00316870">
                                <w:pPr>
                                  <w:pStyle w:val="NoSpacing"/>
                                  <w:jc w:val="right"/>
                                  <w:rPr>
                                    <w:rFonts w:ascii="Times New Roman" w:hAnsi="Times New Roman" w:cs="Times New Roman"/>
                                    <w:color w:val="595959" w:themeColor="text1" w:themeTint="A6"/>
                                    <w:sz w:val="24"/>
                                    <w:szCs w:val="24"/>
                                  </w:rPr>
                                </w:pPr>
                                <w:r w:rsidRPr="000433EB">
                                  <w:rPr>
                                    <w:rFonts w:ascii="Times New Roman" w:hAnsi="Times New Roman" w:cs="Times New Roman"/>
                                    <w:color w:val="595959" w:themeColor="text1" w:themeTint="A6"/>
                                    <w:sz w:val="24"/>
                                    <w:szCs w:val="24"/>
                                  </w:rPr>
                                  <w:t>July 2</w:t>
                                </w:r>
                                <w:r w:rsidR="008C5118">
                                  <w:rPr>
                                    <w:rFonts w:ascii="Times New Roman" w:hAnsi="Times New Roman" w:cs="Times New Roman"/>
                                    <w:color w:val="595959" w:themeColor="text1" w:themeTint="A6"/>
                                    <w:sz w:val="24"/>
                                    <w:szCs w:val="24"/>
                                  </w:rPr>
                                  <w:t>6</w:t>
                                </w:r>
                                <w:r w:rsidRPr="000433EB">
                                  <w:rPr>
                                    <w:rFonts w:ascii="Times New Roman" w:hAnsi="Times New Roman" w:cs="Times New Roman"/>
                                    <w:color w:val="595959" w:themeColor="text1" w:themeTint="A6"/>
                                    <w:sz w:val="24"/>
                                    <w:szCs w:val="24"/>
                                  </w:rPr>
                                  <w:t>, 2022</w:t>
                                </w:r>
                              </w:p>
                              <w:p w14:paraId="7A7FA8AD" w14:textId="4F68AEFF" w:rsidR="00316870" w:rsidRPr="000433EB" w:rsidRDefault="00316870">
                                <w:pPr>
                                  <w:pStyle w:val="NoSpacing"/>
                                  <w:jc w:val="right"/>
                                  <w:rPr>
                                    <w:rFonts w:ascii="Times New Roman" w:hAnsi="Times New Roman" w:cs="Times New Roman"/>
                                    <w:color w:val="595959" w:themeColor="text1" w:themeTint="A6"/>
                                    <w:sz w:val="24"/>
                                    <w:szCs w:val="24"/>
                                  </w:rPr>
                                </w:pPr>
                                <w:r w:rsidRPr="000433EB">
                                  <w:rPr>
                                    <w:rFonts w:ascii="Times New Roman" w:hAnsi="Times New Roman" w:cs="Times New Roman"/>
                                    <w:color w:val="595959" w:themeColor="text1" w:themeTint="A6"/>
                                    <w:sz w:val="24"/>
                                    <w:szCs w:val="24"/>
                                  </w:rPr>
                                  <w:t>Principles of Financial Accounting (BAT4ME)</w:t>
                                </w:r>
                              </w:p>
                              <w:p w14:paraId="56DFDBE4" w14:textId="467C42A5" w:rsidR="00CB0640" w:rsidRDefault="00CB0640" w:rsidP="00CB0640">
                                <w:pPr>
                                  <w:pStyle w:val="NoSpacing"/>
                                  <w:ind w:right="300"/>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7CAD99" id="Text Box 153" o:spid="_x0000_s1027" type="#_x0000_t202" style="position:absolute;margin-left:0;margin-top:688.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" filled="f" stroked="f" strokeweight=".5pt">
                    <v:textbox style="mso-fit-shape-to-text:t" inset="126pt,0,54pt,0">
                      <w:txbxContent>
                        <w:p w14:paraId="4AB92246" w14:textId="77777777" w:rsidR="00316870" w:rsidRPr="000433EB" w:rsidRDefault="00316870">
                          <w:pPr>
                            <w:pStyle w:val="NoSpacing"/>
                            <w:jc w:val="right"/>
                            <w:rPr>
                              <w:rFonts w:ascii="Times New Roman" w:hAnsi="Times New Roman" w:cs="Times New Roman"/>
                              <w:color w:val="595959" w:themeColor="text1" w:themeTint="A6"/>
                              <w:sz w:val="24"/>
                              <w:szCs w:val="24"/>
                            </w:rPr>
                          </w:pPr>
                          <w:r w:rsidRPr="000433EB">
                            <w:rPr>
                              <w:rFonts w:ascii="Times New Roman" w:hAnsi="Times New Roman" w:cs="Times New Roman"/>
                              <w:color w:val="595959" w:themeColor="text1" w:themeTint="A6"/>
                              <w:sz w:val="24"/>
                              <w:szCs w:val="24"/>
                            </w:rPr>
                            <w:t xml:space="preserve">Joseph Siu </w:t>
                          </w:r>
                        </w:p>
                        <w:p w14:paraId="7E0E5D1A" w14:textId="594184A1" w:rsidR="00316870" w:rsidRPr="000433EB" w:rsidRDefault="00316870" w:rsidP="00316870">
                          <w:pPr>
                            <w:pStyle w:val="NoSpacing"/>
                            <w:jc w:val="right"/>
                            <w:rPr>
                              <w:rFonts w:ascii="Times New Roman" w:hAnsi="Times New Roman" w:cs="Times New Roman"/>
                              <w:color w:val="595959" w:themeColor="text1" w:themeTint="A6"/>
                              <w:sz w:val="24"/>
                              <w:szCs w:val="24"/>
                            </w:rPr>
                          </w:pPr>
                          <w:r w:rsidRPr="000433EB">
                            <w:rPr>
                              <w:rFonts w:ascii="Times New Roman" w:hAnsi="Times New Roman" w:cs="Times New Roman"/>
                              <w:color w:val="595959" w:themeColor="text1" w:themeTint="A6"/>
                              <w:sz w:val="24"/>
                              <w:szCs w:val="24"/>
                            </w:rPr>
                            <w:t>July 2</w:t>
                          </w:r>
                          <w:r w:rsidR="008C5118">
                            <w:rPr>
                              <w:rFonts w:ascii="Times New Roman" w:hAnsi="Times New Roman" w:cs="Times New Roman"/>
                              <w:color w:val="595959" w:themeColor="text1" w:themeTint="A6"/>
                              <w:sz w:val="24"/>
                              <w:szCs w:val="24"/>
                            </w:rPr>
                            <w:t>6</w:t>
                          </w:r>
                          <w:r w:rsidRPr="000433EB">
                            <w:rPr>
                              <w:rFonts w:ascii="Times New Roman" w:hAnsi="Times New Roman" w:cs="Times New Roman"/>
                              <w:color w:val="595959" w:themeColor="text1" w:themeTint="A6"/>
                              <w:sz w:val="24"/>
                              <w:szCs w:val="24"/>
                            </w:rPr>
                            <w:t>, 2022</w:t>
                          </w:r>
                        </w:p>
                        <w:p w14:paraId="7A7FA8AD" w14:textId="4F68AEFF" w:rsidR="00316870" w:rsidRPr="000433EB" w:rsidRDefault="00316870">
                          <w:pPr>
                            <w:pStyle w:val="NoSpacing"/>
                            <w:jc w:val="right"/>
                            <w:rPr>
                              <w:rFonts w:ascii="Times New Roman" w:hAnsi="Times New Roman" w:cs="Times New Roman"/>
                              <w:color w:val="595959" w:themeColor="text1" w:themeTint="A6"/>
                              <w:sz w:val="24"/>
                              <w:szCs w:val="24"/>
                            </w:rPr>
                          </w:pPr>
                          <w:r w:rsidRPr="000433EB">
                            <w:rPr>
                              <w:rFonts w:ascii="Times New Roman" w:hAnsi="Times New Roman" w:cs="Times New Roman"/>
                              <w:color w:val="595959" w:themeColor="text1" w:themeTint="A6"/>
                              <w:sz w:val="24"/>
                              <w:szCs w:val="24"/>
                            </w:rPr>
                            <w:t>Principles of Financial Accounting (BAT4ME)</w:t>
                          </w:r>
                        </w:p>
                        <w:p w14:paraId="56DFDBE4" w14:textId="467C42A5" w:rsidR="00CB0640" w:rsidRDefault="00CB0640" w:rsidP="00CB0640">
                          <w:pPr>
                            <w:pStyle w:val="NoSpacing"/>
                            <w:ind w:right="300"/>
                            <w:jc w:val="right"/>
                            <w:rPr>
                              <w:color w:val="595959" w:themeColor="text1" w:themeTint="A6"/>
                              <w:sz w:val="20"/>
                              <w:szCs w:val="20"/>
                            </w:rPr>
                          </w:pPr>
                        </w:p>
                      </w:txbxContent>
                    </v:textbox>
                    <w10:wrap type="square" anchorx="margin" anchory="page"/>
                  </v:shape>
                </w:pict>
              </mc:Fallback>
            </mc:AlternateContent>
          </w:r>
          <w:r w:rsidR="00CB0640" w:rsidRPr="00DF22D4">
            <w:rPr>
              <w:rFonts w:ascii="Times New Roman" w:hAnsi="Times New Roman" w:cs="Times New Roman"/>
            </w:rPr>
            <w:br w:type="page"/>
          </w:r>
        </w:p>
      </w:sdtContent>
    </w:sdt>
    <w:sdt>
      <w:sdtPr>
        <w:rPr>
          <w:rFonts w:ascii="Times New Roman" w:eastAsiaTheme="minorEastAsia" w:hAnsi="Times New Roman" w:cs="Times New Roman"/>
          <w:color w:val="auto"/>
          <w:sz w:val="22"/>
          <w:szCs w:val="22"/>
          <w:lang w:val="en-CA" w:eastAsia="zh-CN"/>
        </w:rPr>
        <w:id w:val="-1555299583"/>
        <w:docPartObj>
          <w:docPartGallery w:val="Table of Contents"/>
          <w:docPartUnique/>
        </w:docPartObj>
      </w:sdtPr>
      <w:sdtEndPr>
        <w:rPr>
          <w:b/>
          <w:bCs/>
          <w:noProof/>
        </w:rPr>
      </w:sdtEndPr>
      <w:sdtContent>
        <w:p w14:paraId="13D02C87" w14:textId="45B1D0DE" w:rsidR="00316870" w:rsidRPr="00DF22D4" w:rsidRDefault="00316870" w:rsidP="000433EB">
          <w:pPr>
            <w:pStyle w:val="TOCHeading"/>
            <w:jc w:val="center"/>
            <w:rPr>
              <w:rFonts w:ascii="Times New Roman" w:hAnsi="Times New Roman" w:cs="Times New Roman"/>
            </w:rPr>
          </w:pPr>
          <w:r w:rsidRPr="00DF22D4">
            <w:rPr>
              <w:rFonts w:ascii="Times New Roman" w:hAnsi="Times New Roman" w:cs="Times New Roman"/>
            </w:rPr>
            <w:t>Contents</w:t>
          </w:r>
        </w:p>
        <w:p w14:paraId="149FE551" w14:textId="71DEFC9F" w:rsidR="007B7A03" w:rsidRDefault="00316870">
          <w:pPr>
            <w:pStyle w:val="TOC1"/>
            <w:tabs>
              <w:tab w:val="right" w:leader="dot" w:pos="8296"/>
            </w:tabs>
            <w:rPr>
              <w:noProof/>
            </w:rPr>
          </w:pPr>
          <w:r w:rsidRPr="00DF22D4">
            <w:rPr>
              <w:rFonts w:ascii="Times New Roman" w:hAnsi="Times New Roman" w:cs="Times New Roman"/>
              <w:sz w:val="24"/>
              <w:szCs w:val="24"/>
            </w:rPr>
            <w:fldChar w:fldCharType="begin"/>
          </w:r>
          <w:r w:rsidRPr="00DF22D4">
            <w:rPr>
              <w:rFonts w:ascii="Times New Roman" w:hAnsi="Times New Roman" w:cs="Times New Roman"/>
              <w:sz w:val="24"/>
              <w:szCs w:val="24"/>
            </w:rPr>
            <w:instrText xml:space="preserve"> TOC \o "1-3" \h \z \u </w:instrText>
          </w:r>
          <w:r w:rsidRPr="00DF22D4">
            <w:rPr>
              <w:rFonts w:ascii="Times New Roman" w:hAnsi="Times New Roman" w:cs="Times New Roman"/>
              <w:sz w:val="24"/>
              <w:szCs w:val="24"/>
            </w:rPr>
            <w:fldChar w:fldCharType="separate"/>
          </w:r>
          <w:hyperlink w:anchor="_Toc109731573" w:history="1">
            <w:r w:rsidR="007B7A03" w:rsidRPr="00F2258B">
              <w:rPr>
                <w:rStyle w:val="Hyperlink"/>
                <w:rFonts w:ascii="Times New Roman" w:hAnsi="Times New Roman" w:cs="Times New Roman"/>
                <w:noProof/>
              </w:rPr>
              <w:t>Background Information</w:t>
            </w:r>
            <w:r w:rsidR="007B7A03">
              <w:rPr>
                <w:noProof/>
                <w:webHidden/>
              </w:rPr>
              <w:tab/>
            </w:r>
            <w:r w:rsidR="007B7A03">
              <w:rPr>
                <w:noProof/>
                <w:webHidden/>
              </w:rPr>
              <w:fldChar w:fldCharType="begin"/>
            </w:r>
            <w:r w:rsidR="007B7A03">
              <w:rPr>
                <w:noProof/>
                <w:webHidden/>
              </w:rPr>
              <w:instrText xml:space="preserve"> PAGEREF _Toc109731573 \h </w:instrText>
            </w:r>
            <w:r w:rsidR="007B7A03">
              <w:rPr>
                <w:noProof/>
                <w:webHidden/>
              </w:rPr>
            </w:r>
            <w:r w:rsidR="007B7A03">
              <w:rPr>
                <w:noProof/>
                <w:webHidden/>
              </w:rPr>
              <w:fldChar w:fldCharType="separate"/>
            </w:r>
            <w:r w:rsidR="007B7A03">
              <w:rPr>
                <w:noProof/>
                <w:webHidden/>
              </w:rPr>
              <w:t>2</w:t>
            </w:r>
            <w:r w:rsidR="007B7A03">
              <w:rPr>
                <w:noProof/>
                <w:webHidden/>
              </w:rPr>
              <w:fldChar w:fldCharType="end"/>
            </w:r>
          </w:hyperlink>
        </w:p>
        <w:p w14:paraId="552D0C52" w14:textId="24F2E568" w:rsidR="007B7A03" w:rsidRDefault="007B7A03">
          <w:pPr>
            <w:pStyle w:val="TOC2"/>
            <w:tabs>
              <w:tab w:val="right" w:leader="dot" w:pos="8296"/>
            </w:tabs>
            <w:rPr>
              <w:noProof/>
            </w:rPr>
          </w:pPr>
          <w:hyperlink w:anchor="_Toc109731574" w:history="1">
            <w:r w:rsidRPr="00F2258B">
              <w:rPr>
                <w:rStyle w:val="Hyperlink"/>
                <w:rFonts w:ascii="Times New Roman" w:hAnsi="Times New Roman" w:cs="Times New Roman"/>
                <w:noProof/>
              </w:rPr>
              <w:t>Royal Bank of Canada</w:t>
            </w:r>
            <w:r>
              <w:rPr>
                <w:noProof/>
                <w:webHidden/>
              </w:rPr>
              <w:tab/>
            </w:r>
            <w:r>
              <w:rPr>
                <w:noProof/>
                <w:webHidden/>
              </w:rPr>
              <w:fldChar w:fldCharType="begin"/>
            </w:r>
            <w:r>
              <w:rPr>
                <w:noProof/>
                <w:webHidden/>
              </w:rPr>
              <w:instrText xml:space="preserve"> PAGEREF _Toc109731574 \h </w:instrText>
            </w:r>
            <w:r>
              <w:rPr>
                <w:noProof/>
                <w:webHidden/>
              </w:rPr>
            </w:r>
            <w:r>
              <w:rPr>
                <w:noProof/>
                <w:webHidden/>
              </w:rPr>
              <w:fldChar w:fldCharType="separate"/>
            </w:r>
            <w:r>
              <w:rPr>
                <w:noProof/>
                <w:webHidden/>
              </w:rPr>
              <w:t>2</w:t>
            </w:r>
            <w:r>
              <w:rPr>
                <w:noProof/>
                <w:webHidden/>
              </w:rPr>
              <w:fldChar w:fldCharType="end"/>
            </w:r>
          </w:hyperlink>
        </w:p>
        <w:p w14:paraId="3C3E92F6" w14:textId="70562FAF" w:rsidR="007B7A03" w:rsidRDefault="007B7A03">
          <w:pPr>
            <w:pStyle w:val="TOC2"/>
            <w:tabs>
              <w:tab w:val="right" w:leader="dot" w:pos="8296"/>
            </w:tabs>
            <w:rPr>
              <w:noProof/>
            </w:rPr>
          </w:pPr>
          <w:hyperlink w:anchor="_Toc109731575" w:history="1">
            <w:r w:rsidRPr="00F2258B">
              <w:rPr>
                <w:rStyle w:val="Hyperlink"/>
                <w:rFonts w:ascii="Times New Roman" w:hAnsi="Times New Roman" w:cs="Times New Roman"/>
                <w:noProof/>
              </w:rPr>
              <w:t>Bank of Nova Scotia</w:t>
            </w:r>
            <w:r>
              <w:rPr>
                <w:noProof/>
                <w:webHidden/>
              </w:rPr>
              <w:tab/>
            </w:r>
            <w:r>
              <w:rPr>
                <w:noProof/>
                <w:webHidden/>
              </w:rPr>
              <w:fldChar w:fldCharType="begin"/>
            </w:r>
            <w:r>
              <w:rPr>
                <w:noProof/>
                <w:webHidden/>
              </w:rPr>
              <w:instrText xml:space="preserve"> PAGEREF _Toc109731575 \h </w:instrText>
            </w:r>
            <w:r>
              <w:rPr>
                <w:noProof/>
                <w:webHidden/>
              </w:rPr>
            </w:r>
            <w:r>
              <w:rPr>
                <w:noProof/>
                <w:webHidden/>
              </w:rPr>
              <w:fldChar w:fldCharType="separate"/>
            </w:r>
            <w:r>
              <w:rPr>
                <w:noProof/>
                <w:webHidden/>
              </w:rPr>
              <w:t>5</w:t>
            </w:r>
            <w:r>
              <w:rPr>
                <w:noProof/>
                <w:webHidden/>
              </w:rPr>
              <w:fldChar w:fldCharType="end"/>
            </w:r>
          </w:hyperlink>
        </w:p>
        <w:p w14:paraId="4798B3CB" w14:textId="19F038BD" w:rsidR="007B7A03" w:rsidRDefault="007B7A03">
          <w:pPr>
            <w:pStyle w:val="TOC1"/>
            <w:tabs>
              <w:tab w:val="right" w:leader="dot" w:pos="8296"/>
            </w:tabs>
            <w:rPr>
              <w:noProof/>
            </w:rPr>
          </w:pPr>
          <w:hyperlink w:anchor="_Toc109731576" w:history="1">
            <w:r w:rsidRPr="00F2258B">
              <w:rPr>
                <w:rStyle w:val="Hyperlink"/>
                <w:rFonts w:ascii="Times New Roman" w:hAnsi="Times New Roman" w:cs="Times New Roman"/>
                <w:noProof/>
              </w:rPr>
              <w:t>Horizontal Analysis</w:t>
            </w:r>
            <w:r>
              <w:rPr>
                <w:noProof/>
                <w:webHidden/>
              </w:rPr>
              <w:tab/>
            </w:r>
            <w:r>
              <w:rPr>
                <w:noProof/>
                <w:webHidden/>
              </w:rPr>
              <w:fldChar w:fldCharType="begin"/>
            </w:r>
            <w:r>
              <w:rPr>
                <w:noProof/>
                <w:webHidden/>
              </w:rPr>
              <w:instrText xml:space="preserve"> PAGEREF _Toc109731576 \h </w:instrText>
            </w:r>
            <w:r>
              <w:rPr>
                <w:noProof/>
                <w:webHidden/>
              </w:rPr>
            </w:r>
            <w:r>
              <w:rPr>
                <w:noProof/>
                <w:webHidden/>
              </w:rPr>
              <w:fldChar w:fldCharType="separate"/>
            </w:r>
            <w:r>
              <w:rPr>
                <w:noProof/>
                <w:webHidden/>
              </w:rPr>
              <w:t>9</w:t>
            </w:r>
            <w:r>
              <w:rPr>
                <w:noProof/>
                <w:webHidden/>
              </w:rPr>
              <w:fldChar w:fldCharType="end"/>
            </w:r>
          </w:hyperlink>
        </w:p>
        <w:p w14:paraId="48365713" w14:textId="6AE2376E" w:rsidR="007B7A03" w:rsidRDefault="007B7A03">
          <w:pPr>
            <w:pStyle w:val="TOC1"/>
            <w:tabs>
              <w:tab w:val="right" w:leader="dot" w:pos="8296"/>
            </w:tabs>
            <w:rPr>
              <w:noProof/>
            </w:rPr>
          </w:pPr>
          <w:hyperlink w:anchor="_Toc109731577" w:history="1">
            <w:r w:rsidRPr="00F2258B">
              <w:rPr>
                <w:rStyle w:val="Hyperlink"/>
                <w:rFonts w:ascii="Times New Roman" w:hAnsi="Times New Roman" w:cs="Times New Roman"/>
                <w:noProof/>
              </w:rPr>
              <w:t>Vertical Analysis</w:t>
            </w:r>
            <w:r>
              <w:rPr>
                <w:noProof/>
                <w:webHidden/>
              </w:rPr>
              <w:tab/>
            </w:r>
            <w:r>
              <w:rPr>
                <w:noProof/>
                <w:webHidden/>
              </w:rPr>
              <w:fldChar w:fldCharType="begin"/>
            </w:r>
            <w:r>
              <w:rPr>
                <w:noProof/>
                <w:webHidden/>
              </w:rPr>
              <w:instrText xml:space="preserve"> PAGEREF _Toc109731577 \h </w:instrText>
            </w:r>
            <w:r>
              <w:rPr>
                <w:noProof/>
                <w:webHidden/>
              </w:rPr>
            </w:r>
            <w:r>
              <w:rPr>
                <w:noProof/>
                <w:webHidden/>
              </w:rPr>
              <w:fldChar w:fldCharType="separate"/>
            </w:r>
            <w:r>
              <w:rPr>
                <w:noProof/>
                <w:webHidden/>
              </w:rPr>
              <w:t>12</w:t>
            </w:r>
            <w:r>
              <w:rPr>
                <w:noProof/>
                <w:webHidden/>
              </w:rPr>
              <w:fldChar w:fldCharType="end"/>
            </w:r>
          </w:hyperlink>
        </w:p>
        <w:p w14:paraId="67B7560E" w14:textId="149DDBEE" w:rsidR="007B7A03" w:rsidRDefault="007B7A03">
          <w:pPr>
            <w:pStyle w:val="TOC1"/>
            <w:tabs>
              <w:tab w:val="right" w:leader="dot" w:pos="8296"/>
            </w:tabs>
            <w:rPr>
              <w:noProof/>
            </w:rPr>
          </w:pPr>
          <w:hyperlink w:anchor="_Toc109731578" w:history="1">
            <w:r w:rsidRPr="00F2258B">
              <w:rPr>
                <w:rStyle w:val="Hyperlink"/>
                <w:rFonts w:ascii="Times New Roman" w:hAnsi="Times New Roman" w:cs="Times New Roman"/>
                <w:noProof/>
              </w:rPr>
              <w:t>Financial Ratio Analysis</w:t>
            </w:r>
            <w:r>
              <w:rPr>
                <w:noProof/>
                <w:webHidden/>
              </w:rPr>
              <w:tab/>
            </w:r>
            <w:r>
              <w:rPr>
                <w:noProof/>
                <w:webHidden/>
              </w:rPr>
              <w:fldChar w:fldCharType="begin"/>
            </w:r>
            <w:r>
              <w:rPr>
                <w:noProof/>
                <w:webHidden/>
              </w:rPr>
              <w:instrText xml:space="preserve"> PAGEREF _Toc109731578 \h </w:instrText>
            </w:r>
            <w:r>
              <w:rPr>
                <w:noProof/>
                <w:webHidden/>
              </w:rPr>
            </w:r>
            <w:r>
              <w:rPr>
                <w:noProof/>
                <w:webHidden/>
              </w:rPr>
              <w:fldChar w:fldCharType="separate"/>
            </w:r>
            <w:r>
              <w:rPr>
                <w:noProof/>
                <w:webHidden/>
              </w:rPr>
              <w:t>15</w:t>
            </w:r>
            <w:r>
              <w:rPr>
                <w:noProof/>
                <w:webHidden/>
              </w:rPr>
              <w:fldChar w:fldCharType="end"/>
            </w:r>
          </w:hyperlink>
        </w:p>
        <w:p w14:paraId="7F6D5556" w14:textId="71AACDC0" w:rsidR="007B7A03" w:rsidRDefault="007B7A03">
          <w:pPr>
            <w:pStyle w:val="TOC1"/>
            <w:tabs>
              <w:tab w:val="right" w:leader="dot" w:pos="8296"/>
            </w:tabs>
            <w:rPr>
              <w:noProof/>
            </w:rPr>
          </w:pPr>
          <w:hyperlink w:anchor="_Toc109731579" w:history="1">
            <w:r w:rsidRPr="00F2258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_Toc109731579 \h </w:instrText>
            </w:r>
            <w:r>
              <w:rPr>
                <w:noProof/>
                <w:webHidden/>
              </w:rPr>
            </w:r>
            <w:r>
              <w:rPr>
                <w:noProof/>
                <w:webHidden/>
              </w:rPr>
              <w:fldChar w:fldCharType="separate"/>
            </w:r>
            <w:r>
              <w:rPr>
                <w:noProof/>
                <w:webHidden/>
              </w:rPr>
              <w:t>24</w:t>
            </w:r>
            <w:r>
              <w:rPr>
                <w:noProof/>
                <w:webHidden/>
              </w:rPr>
              <w:fldChar w:fldCharType="end"/>
            </w:r>
          </w:hyperlink>
        </w:p>
        <w:p w14:paraId="206FC6EB" w14:textId="7B559D19" w:rsidR="007B7A03" w:rsidRDefault="007B7A03">
          <w:pPr>
            <w:pStyle w:val="TOC1"/>
            <w:tabs>
              <w:tab w:val="right" w:leader="dot" w:pos="8296"/>
            </w:tabs>
            <w:rPr>
              <w:noProof/>
            </w:rPr>
          </w:pPr>
          <w:hyperlink w:anchor="_Toc109731580" w:history="1">
            <w:r w:rsidRPr="00F2258B">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_Toc109731580 \h </w:instrText>
            </w:r>
            <w:r>
              <w:rPr>
                <w:noProof/>
                <w:webHidden/>
              </w:rPr>
            </w:r>
            <w:r>
              <w:rPr>
                <w:noProof/>
                <w:webHidden/>
              </w:rPr>
              <w:fldChar w:fldCharType="separate"/>
            </w:r>
            <w:r>
              <w:rPr>
                <w:noProof/>
                <w:webHidden/>
              </w:rPr>
              <w:t>27</w:t>
            </w:r>
            <w:r>
              <w:rPr>
                <w:noProof/>
                <w:webHidden/>
              </w:rPr>
              <w:fldChar w:fldCharType="end"/>
            </w:r>
          </w:hyperlink>
        </w:p>
        <w:p w14:paraId="45354D36" w14:textId="7B2EF6D1" w:rsidR="000433EB" w:rsidRPr="00DF22D4" w:rsidRDefault="00316870" w:rsidP="000433EB">
          <w:pPr>
            <w:rPr>
              <w:rFonts w:ascii="Times New Roman" w:hAnsi="Times New Roman" w:cs="Times New Roman"/>
              <w:b/>
              <w:bCs/>
              <w:noProof/>
              <w:sz w:val="24"/>
              <w:szCs w:val="24"/>
            </w:rPr>
          </w:pPr>
          <w:r w:rsidRPr="00DF22D4">
            <w:rPr>
              <w:rFonts w:ascii="Times New Roman" w:hAnsi="Times New Roman" w:cs="Times New Roman"/>
              <w:b/>
              <w:bCs/>
              <w:noProof/>
              <w:sz w:val="24"/>
              <w:szCs w:val="24"/>
            </w:rPr>
            <w:fldChar w:fldCharType="end"/>
          </w:r>
        </w:p>
      </w:sdtContent>
    </w:sdt>
    <w:p w14:paraId="0399DD72" w14:textId="5EE99465" w:rsidR="000433EB" w:rsidRPr="00DF22D4" w:rsidRDefault="000433EB" w:rsidP="000433EB">
      <w:pPr>
        <w:widowControl/>
        <w:jc w:val="left"/>
        <w:rPr>
          <w:rFonts w:ascii="Times New Roman" w:eastAsiaTheme="majorEastAsia" w:hAnsi="Times New Roman" w:cs="Times New Roman"/>
          <w:color w:val="2F5496" w:themeColor="accent1" w:themeShade="BF"/>
          <w:sz w:val="32"/>
          <w:szCs w:val="32"/>
        </w:rPr>
      </w:pPr>
      <w:r w:rsidRPr="00DF22D4">
        <w:rPr>
          <w:rFonts w:ascii="Times New Roman" w:hAnsi="Times New Roman" w:cs="Times New Roman"/>
        </w:rPr>
        <w:br w:type="page"/>
      </w:r>
    </w:p>
    <w:p w14:paraId="25677130" w14:textId="219B48DF" w:rsidR="00FA0DCB" w:rsidRPr="00DF22D4" w:rsidRDefault="00A90AE1" w:rsidP="001C6F97">
      <w:pPr>
        <w:pStyle w:val="Heading1"/>
        <w:jc w:val="center"/>
        <w:rPr>
          <w:rFonts w:ascii="Times New Roman" w:hAnsi="Times New Roman" w:cs="Times New Roman"/>
        </w:rPr>
      </w:pPr>
      <w:bookmarkStart w:id="0" w:name="_Toc109731573"/>
      <w:r w:rsidRPr="00DF22D4">
        <w:rPr>
          <w:rFonts w:ascii="Times New Roman" w:hAnsi="Times New Roman" w:cs="Times New Roman"/>
        </w:rPr>
        <w:lastRenderedPageBreak/>
        <w:t>Background Information</w:t>
      </w:r>
      <w:bookmarkEnd w:id="0"/>
    </w:p>
    <w:p w14:paraId="5D47449D" w14:textId="77777777" w:rsidR="00952013" w:rsidRPr="00DF22D4" w:rsidRDefault="00952013" w:rsidP="00952013">
      <w:pPr>
        <w:rPr>
          <w:rFonts w:ascii="Times New Roman" w:hAnsi="Times New Roman" w:cs="Times New Roman"/>
        </w:rPr>
      </w:pPr>
    </w:p>
    <w:p w14:paraId="7537D6C0" w14:textId="2B1EC0AA" w:rsidR="00952013" w:rsidRPr="00DF22D4" w:rsidRDefault="00504FF2" w:rsidP="00A03FC1">
      <w:pPr>
        <w:pStyle w:val="Heading2"/>
        <w:jc w:val="center"/>
        <w:rPr>
          <w:rFonts w:ascii="Times New Roman" w:hAnsi="Times New Roman" w:cs="Times New Roman"/>
          <w:sz w:val="28"/>
          <w:szCs w:val="28"/>
        </w:rPr>
      </w:pPr>
      <w:bookmarkStart w:id="1" w:name="_Toc109731574"/>
      <w:r w:rsidRPr="00DF22D4">
        <w:rPr>
          <w:rFonts w:ascii="Times New Roman" w:hAnsi="Times New Roman" w:cs="Times New Roman"/>
          <w:sz w:val="28"/>
          <w:szCs w:val="28"/>
        </w:rPr>
        <w:t>Royal Bank of Canada</w:t>
      </w:r>
      <w:bookmarkEnd w:id="1"/>
    </w:p>
    <w:p w14:paraId="511CCC52" w14:textId="37767A56" w:rsidR="00BE38B6" w:rsidRPr="00DF22D4" w:rsidRDefault="001C6F97" w:rsidP="00F36CD2">
      <w:pPr>
        <w:jc w:val="left"/>
        <w:rPr>
          <w:rFonts w:ascii="Times New Roman" w:hAnsi="Times New Roman" w:cs="Times New Roman"/>
          <w:sz w:val="24"/>
          <w:szCs w:val="24"/>
        </w:rPr>
      </w:pPr>
      <w:r w:rsidRPr="00DF22D4">
        <w:rPr>
          <w:rFonts w:ascii="Times New Roman" w:hAnsi="Times New Roman" w:cs="Times New Roman"/>
          <w:sz w:val="24"/>
          <w:szCs w:val="24"/>
        </w:rPr>
        <w:tab/>
      </w:r>
      <w:r w:rsidR="005D2698" w:rsidRPr="00DF22D4">
        <w:rPr>
          <w:rFonts w:ascii="Times New Roman" w:hAnsi="Times New Roman" w:cs="Times New Roman"/>
          <w:sz w:val="24"/>
          <w:szCs w:val="24"/>
        </w:rPr>
        <w:t xml:space="preserve">The </w:t>
      </w:r>
      <w:r w:rsidRPr="00DF22D4">
        <w:rPr>
          <w:rFonts w:ascii="Times New Roman" w:hAnsi="Times New Roman" w:cs="Times New Roman"/>
          <w:sz w:val="24"/>
          <w:szCs w:val="24"/>
        </w:rPr>
        <w:t>Royal Bank of Canada</w:t>
      </w:r>
      <w:r w:rsidR="00417330" w:rsidRPr="00DF22D4">
        <w:rPr>
          <w:rFonts w:ascii="Times New Roman" w:hAnsi="Times New Roman" w:cs="Times New Roman"/>
          <w:sz w:val="24"/>
          <w:szCs w:val="24"/>
        </w:rPr>
        <w:t>, a global financial institution</w:t>
      </w:r>
      <w:r w:rsidR="00890E52" w:rsidRPr="00DF22D4">
        <w:rPr>
          <w:rFonts w:ascii="Times New Roman" w:hAnsi="Times New Roman" w:cs="Times New Roman"/>
          <w:sz w:val="24"/>
          <w:szCs w:val="24"/>
        </w:rPr>
        <w:t xml:space="preserve">, </w:t>
      </w:r>
      <w:r w:rsidR="00C36560" w:rsidRPr="00DF22D4">
        <w:rPr>
          <w:rFonts w:ascii="Times New Roman" w:hAnsi="Times New Roman" w:cs="Times New Roman"/>
          <w:sz w:val="24"/>
          <w:szCs w:val="24"/>
        </w:rPr>
        <w:t>commonly referred to as the</w:t>
      </w:r>
      <w:r w:rsidR="00890E52" w:rsidRPr="00DF22D4">
        <w:rPr>
          <w:rFonts w:ascii="Times New Roman" w:hAnsi="Times New Roman" w:cs="Times New Roman"/>
          <w:sz w:val="24"/>
          <w:szCs w:val="24"/>
        </w:rPr>
        <w:t xml:space="preserve"> </w:t>
      </w:r>
      <w:r w:rsidRPr="00DF22D4">
        <w:rPr>
          <w:rFonts w:ascii="Times New Roman" w:hAnsi="Times New Roman" w:cs="Times New Roman"/>
          <w:sz w:val="24"/>
          <w:szCs w:val="24"/>
        </w:rPr>
        <w:t>RBC</w:t>
      </w:r>
      <w:r w:rsidR="00890E52" w:rsidRPr="00DF22D4">
        <w:rPr>
          <w:rFonts w:ascii="Times New Roman" w:hAnsi="Times New Roman" w:cs="Times New Roman"/>
          <w:sz w:val="24"/>
          <w:szCs w:val="24"/>
        </w:rPr>
        <w:t>,</w:t>
      </w:r>
      <w:r w:rsidRPr="00DF22D4">
        <w:rPr>
          <w:rFonts w:ascii="Times New Roman" w:hAnsi="Times New Roman" w:cs="Times New Roman"/>
          <w:sz w:val="24"/>
          <w:szCs w:val="24"/>
        </w:rPr>
        <w:t xml:space="preserve"> was founded in 1864</w:t>
      </w:r>
      <w:r w:rsidR="00EA2655" w:rsidRPr="00DF22D4">
        <w:rPr>
          <w:rFonts w:ascii="Times New Roman" w:hAnsi="Times New Roman" w:cs="Times New Roman"/>
          <w:sz w:val="24"/>
          <w:szCs w:val="24"/>
        </w:rPr>
        <w:t xml:space="preserve"> in Halifax</w:t>
      </w:r>
      <w:r w:rsidR="00C01A1D" w:rsidRPr="00DF22D4">
        <w:rPr>
          <w:rFonts w:ascii="Times New Roman" w:hAnsi="Times New Roman" w:cs="Times New Roman"/>
          <w:sz w:val="24"/>
          <w:szCs w:val="24"/>
        </w:rPr>
        <w:t>,</w:t>
      </w:r>
      <w:r w:rsidRPr="00DF22D4">
        <w:rPr>
          <w:rFonts w:ascii="Times New Roman" w:hAnsi="Times New Roman" w:cs="Times New Roman"/>
          <w:sz w:val="24"/>
          <w:szCs w:val="24"/>
        </w:rPr>
        <w:t xml:space="preserve"> 158 years ago</w:t>
      </w:r>
      <w:r w:rsidR="00EA2655" w:rsidRPr="00DF22D4">
        <w:rPr>
          <w:rFonts w:ascii="Times New Roman" w:hAnsi="Times New Roman" w:cs="Times New Roman"/>
          <w:sz w:val="24"/>
          <w:szCs w:val="24"/>
        </w:rPr>
        <w:t>. It</w:t>
      </w:r>
      <w:r w:rsidRPr="00DF22D4">
        <w:rPr>
          <w:rFonts w:ascii="Times New Roman" w:hAnsi="Times New Roman" w:cs="Times New Roman"/>
          <w:sz w:val="24"/>
          <w:szCs w:val="24"/>
        </w:rPr>
        <w:t xml:space="preserve"> is currently the largest chartered bank and financial institution </w:t>
      </w:r>
      <w:r w:rsidR="00EC2733" w:rsidRPr="00DF22D4">
        <w:rPr>
          <w:rFonts w:ascii="Times New Roman" w:hAnsi="Times New Roman" w:cs="Times New Roman"/>
          <w:sz w:val="24"/>
          <w:szCs w:val="24"/>
        </w:rPr>
        <w:t xml:space="preserve">of </w:t>
      </w:r>
      <w:r w:rsidRPr="00DF22D4">
        <w:rPr>
          <w:rFonts w:ascii="Times New Roman" w:hAnsi="Times New Roman" w:cs="Times New Roman"/>
          <w:sz w:val="24"/>
          <w:szCs w:val="24"/>
        </w:rPr>
        <w:t>Canada</w:t>
      </w:r>
      <w:r w:rsidR="00947308" w:rsidRPr="00DF22D4">
        <w:rPr>
          <w:rFonts w:ascii="Times New Roman" w:hAnsi="Times New Roman" w:cs="Times New Roman"/>
          <w:sz w:val="24"/>
          <w:szCs w:val="24"/>
        </w:rPr>
        <w:t xml:space="preserve"> and trades on the Toronto Stock Exchange </w:t>
      </w:r>
      <w:sdt>
        <w:sdtPr>
          <w:rPr>
            <w:rFonts w:ascii="Times New Roman" w:hAnsi="Times New Roman" w:cs="Times New Roman"/>
            <w:sz w:val="24"/>
            <w:szCs w:val="24"/>
          </w:rPr>
          <w:id w:val="-762452911"/>
          <w:citation/>
        </w:sdtPr>
        <w:sdtContent>
          <w:r w:rsidR="00773C76" w:rsidRPr="00DF22D4">
            <w:rPr>
              <w:rFonts w:ascii="Times New Roman" w:hAnsi="Times New Roman" w:cs="Times New Roman"/>
              <w:sz w:val="24"/>
              <w:szCs w:val="24"/>
            </w:rPr>
            <w:fldChar w:fldCharType="begin"/>
          </w:r>
          <w:r w:rsidR="00773C76" w:rsidRPr="00DF22D4">
            <w:rPr>
              <w:rFonts w:ascii="Times New Roman" w:hAnsi="Times New Roman" w:cs="Times New Roman"/>
              <w:sz w:val="24"/>
              <w:szCs w:val="24"/>
            </w:rPr>
            <w:instrText xml:space="preserve"> CITATION Bon22 \l 4105 </w:instrText>
          </w:r>
          <w:r w:rsidR="00773C76"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(Bonham, Royal Bank of Canada (RBC), 2022)</w:t>
          </w:r>
          <w:r w:rsidR="00773C76"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r w:rsidR="00360EC4" w:rsidRPr="00DF22D4">
        <w:rPr>
          <w:rFonts w:ascii="Times New Roman" w:hAnsi="Times New Roman" w:cs="Times New Roman"/>
          <w:sz w:val="24"/>
          <w:szCs w:val="24"/>
        </w:rPr>
        <w:t xml:space="preserve"> The TSX ticker symbol</w:t>
      </w:r>
      <w:r w:rsidR="00287665" w:rsidRPr="00DF22D4">
        <w:rPr>
          <w:rFonts w:ascii="Times New Roman" w:hAnsi="Times New Roman" w:cs="Times New Roman"/>
          <w:sz w:val="24"/>
          <w:szCs w:val="24"/>
        </w:rPr>
        <w:t xml:space="preserve"> </w:t>
      </w:r>
      <w:r w:rsidR="00360EC4" w:rsidRPr="00DF22D4">
        <w:rPr>
          <w:rFonts w:ascii="Times New Roman" w:hAnsi="Times New Roman" w:cs="Times New Roman"/>
          <w:sz w:val="24"/>
          <w:szCs w:val="24"/>
        </w:rPr>
        <w:t xml:space="preserve">is TSE: RY and </w:t>
      </w:r>
      <w:r w:rsidR="00EC6848" w:rsidRPr="00DF22D4">
        <w:rPr>
          <w:rFonts w:ascii="Times New Roman" w:hAnsi="Times New Roman" w:cs="Times New Roman"/>
          <w:sz w:val="24"/>
          <w:szCs w:val="24"/>
        </w:rPr>
        <w:t>its name per stock quotations</w:t>
      </w:r>
      <w:r w:rsidR="00CA1164" w:rsidRPr="00DF22D4">
        <w:rPr>
          <w:rFonts w:ascii="Times New Roman" w:hAnsi="Times New Roman" w:cs="Times New Roman"/>
          <w:sz w:val="24"/>
          <w:szCs w:val="24"/>
        </w:rPr>
        <w:t xml:space="preserve"> is Royal Bank of Canada</w:t>
      </w:r>
      <w:r w:rsidR="00360EC4" w:rsidRPr="00DF22D4">
        <w:rPr>
          <w:rFonts w:ascii="Times New Roman" w:hAnsi="Times New Roman" w:cs="Times New Roman"/>
          <w:sz w:val="24"/>
          <w:szCs w:val="24"/>
        </w:rPr>
        <w:t>.</w:t>
      </w:r>
      <w:r w:rsidR="00EC6848" w:rsidRPr="00DF22D4">
        <w:rPr>
          <w:rFonts w:ascii="Times New Roman" w:hAnsi="Times New Roman" w:cs="Times New Roman"/>
          <w:sz w:val="24"/>
          <w:szCs w:val="24"/>
        </w:rPr>
        <w:t xml:space="preserve"> </w:t>
      </w:r>
      <w:r w:rsidR="00B40AD7" w:rsidRPr="00DF22D4">
        <w:rPr>
          <w:rFonts w:ascii="Times New Roman" w:hAnsi="Times New Roman" w:cs="Times New Roman"/>
          <w:sz w:val="24"/>
          <w:szCs w:val="24"/>
        </w:rPr>
        <w:t xml:space="preserve">The head office </w:t>
      </w:r>
      <w:r w:rsidR="007A1464" w:rsidRPr="00DF22D4">
        <w:rPr>
          <w:rFonts w:ascii="Times New Roman" w:hAnsi="Times New Roman" w:cs="Times New Roman"/>
          <w:sz w:val="24"/>
          <w:szCs w:val="24"/>
        </w:rPr>
        <w:t xml:space="preserve">in Canada </w:t>
      </w:r>
      <w:r w:rsidR="00B40AD7" w:rsidRPr="00DF22D4">
        <w:rPr>
          <w:rFonts w:ascii="Times New Roman" w:hAnsi="Times New Roman" w:cs="Times New Roman"/>
          <w:sz w:val="24"/>
          <w:szCs w:val="24"/>
        </w:rPr>
        <w:t xml:space="preserve">is at Toronto, there are also some offices at Calgary, Montreal, </w:t>
      </w:r>
      <w:r w:rsidR="007A1464" w:rsidRPr="00DF22D4">
        <w:rPr>
          <w:rFonts w:ascii="Times New Roman" w:hAnsi="Times New Roman" w:cs="Times New Roman"/>
          <w:sz w:val="24"/>
          <w:szCs w:val="24"/>
        </w:rPr>
        <w:t xml:space="preserve">and </w:t>
      </w:r>
      <w:r w:rsidR="00B40AD7" w:rsidRPr="00DF22D4">
        <w:rPr>
          <w:rFonts w:ascii="Times New Roman" w:hAnsi="Times New Roman" w:cs="Times New Roman"/>
          <w:sz w:val="24"/>
          <w:szCs w:val="24"/>
        </w:rPr>
        <w:t xml:space="preserve">Vancouver </w:t>
      </w:r>
      <w:sdt>
        <w:sdtPr>
          <w:rPr>
            <w:rFonts w:ascii="Times New Roman" w:hAnsi="Times New Roman" w:cs="Times New Roman"/>
            <w:sz w:val="24"/>
            <w:szCs w:val="24"/>
          </w:rPr>
          <w:id w:val="2134517386"/>
          <w:citation/>
        </w:sdtPr>
        <w:sdtContent>
          <w:r w:rsidR="001478F7" w:rsidRPr="00DF22D4">
            <w:rPr>
              <w:rFonts w:ascii="Times New Roman" w:hAnsi="Times New Roman" w:cs="Times New Roman"/>
              <w:sz w:val="24"/>
              <w:szCs w:val="24"/>
            </w:rPr>
            <w:fldChar w:fldCharType="begin"/>
          </w:r>
          <w:r w:rsidR="00C36560" w:rsidRPr="00DF22D4">
            <w:rPr>
              <w:rFonts w:ascii="Times New Roman" w:hAnsi="Times New Roman" w:cs="Times New Roman"/>
              <w:sz w:val="24"/>
              <w:szCs w:val="24"/>
            </w:rPr>
            <w:instrText xml:space="preserve">CITATION RBC2 \l 4105 </w:instrText>
          </w:r>
          <w:r w:rsidR="001478F7"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n.d.-a)</w:t>
          </w:r>
          <w:r w:rsidR="001478F7" w:rsidRPr="00DF22D4">
            <w:rPr>
              <w:rFonts w:ascii="Times New Roman" w:hAnsi="Times New Roman" w:cs="Times New Roman"/>
              <w:sz w:val="24"/>
              <w:szCs w:val="24"/>
            </w:rPr>
            <w:fldChar w:fldCharType="end"/>
          </w:r>
        </w:sdtContent>
      </w:sdt>
      <w:r w:rsidR="00C36560" w:rsidRPr="00DF22D4">
        <w:rPr>
          <w:rFonts w:ascii="Times New Roman" w:hAnsi="Times New Roman" w:cs="Times New Roman"/>
          <w:sz w:val="24"/>
          <w:szCs w:val="24"/>
        </w:rPr>
        <w:t>.</w:t>
      </w:r>
      <w:r w:rsidR="001478F7" w:rsidRPr="00DF22D4">
        <w:rPr>
          <w:rFonts w:ascii="Times New Roman" w:hAnsi="Times New Roman" w:cs="Times New Roman"/>
          <w:sz w:val="24"/>
          <w:szCs w:val="24"/>
        </w:rPr>
        <w:t xml:space="preserve"> </w:t>
      </w:r>
      <w:r w:rsidR="0047775D" w:rsidRPr="00DF22D4">
        <w:rPr>
          <w:rFonts w:ascii="Times New Roman" w:hAnsi="Times New Roman" w:cs="Times New Roman"/>
          <w:sz w:val="24"/>
          <w:szCs w:val="24"/>
        </w:rPr>
        <w:t>It</w:t>
      </w:r>
      <w:r w:rsidR="001478F7" w:rsidRPr="00DF22D4">
        <w:rPr>
          <w:rFonts w:ascii="Times New Roman" w:hAnsi="Times New Roman" w:cs="Times New Roman"/>
          <w:sz w:val="24"/>
          <w:szCs w:val="24"/>
        </w:rPr>
        <w:t xml:space="preserve"> has 89,000+ </w:t>
      </w:r>
      <w:r w:rsidR="00BD66A8" w:rsidRPr="00DF22D4">
        <w:rPr>
          <w:rFonts w:ascii="Times New Roman" w:hAnsi="Times New Roman" w:cs="Times New Roman"/>
          <w:sz w:val="24"/>
          <w:szCs w:val="24"/>
        </w:rPr>
        <w:t>full- and part-time employees who serve 17 million clients in Canada, the U.S. and 27 other countries</w:t>
      </w:r>
      <w:r w:rsidR="00D37C8B" w:rsidRPr="00DF22D4">
        <w:rPr>
          <w:rFonts w:ascii="Times New Roman" w:hAnsi="Times New Roman" w:cs="Times New Roman"/>
          <w:sz w:val="24"/>
          <w:szCs w:val="24"/>
        </w:rPr>
        <w:t xml:space="preserve"> </w:t>
      </w:r>
      <w:sdt>
        <w:sdtPr>
          <w:rPr>
            <w:rFonts w:ascii="Times New Roman" w:hAnsi="Times New Roman" w:cs="Times New Roman"/>
            <w:sz w:val="24"/>
            <w:szCs w:val="24"/>
          </w:rPr>
          <w:id w:val="-1057633320"/>
          <w:citation/>
        </w:sdtPr>
        <w:sdtContent>
          <w:r w:rsidR="00BD66A8" w:rsidRPr="00DF22D4">
            <w:rPr>
              <w:rFonts w:ascii="Times New Roman" w:hAnsi="Times New Roman" w:cs="Times New Roman"/>
              <w:sz w:val="24"/>
              <w:szCs w:val="24"/>
            </w:rPr>
            <w:fldChar w:fldCharType="begin"/>
          </w:r>
          <w:r w:rsidR="00C36560" w:rsidRPr="00DF22D4">
            <w:rPr>
              <w:rFonts w:ascii="Times New Roman" w:hAnsi="Times New Roman" w:cs="Times New Roman"/>
              <w:sz w:val="24"/>
              <w:szCs w:val="24"/>
            </w:rPr>
            <w:instrText xml:space="preserve">CITATION RBC3 \l 4105 </w:instrText>
          </w:r>
          <w:r w:rsidR="00BD66A8"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n.d.-b)</w:t>
          </w:r>
          <w:r w:rsidR="00BD66A8" w:rsidRPr="00DF22D4">
            <w:rPr>
              <w:rFonts w:ascii="Times New Roman" w:hAnsi="Times New Roman" w:cs="Times New Roman"/>
              <w:sz w:val="24"/>
              <w:szCs w:val="24"/>
            </w:rPr>
            <w:fldChar w:fldCharType="end"/>
          </w:r>
        </w:sdtContent>
      </w:sdt>
      <w:r w:rsidR="00D37C8B" w:rsidRPr="00DF22D4">
        <w:rPr>
          <w:rFonts w:ascii="Times New Roman" w:hAnsi="Times New Roman" w:cs="Times New Roman"/>
          <w:sz w:val="24"/>
          <w:szCs w:val="24"/>
        </w:rPr>
        <w:t xml:space="preserve">. </w:t>
      </w:r>
      <w:r w:rsidR="00206254" w:rsidRPr="00DF22D4">
        <w:rPr>
          <w:rFonts w:ascii="Times New Roman" w:hAnsi="Times New Roman" w:cs="Times New Roman"/>
          <w:sz w:val="24"/>
          <w:szCs w:val="24"/>
        </w:rPr>
        <w:t>And i</w:t>
      </w:r>
      <w:r w:rsidR="0047775D" w:rsidRPr="00DF22D4">
        <w:rPr>
          <w:rFonts w:ascii="Times New Roman" w:hAnsi="Times New Roman" w:cs="Times New Roman"/>
          <w:sz w:val="24"/>
          <w:szCs w:val="24"/>
        </w:rPr>
        <w:t xml:space="preserve">t </w:t>
      </w:r>
      <w:r w:rsidR="00D37C8B" w:rsidRPr="00DF22D4">
        <w:rPr>
          <w:rFonts w:ascii="Times New Roman" w:hAnsi="Times New Roman" w:cs="Times New Roman"/>
          <w:sz w:val="24"/>
          <w:szCs w:val="24"/>
        </w:rPr>
        <w:t>also has 1,182 branches and 4,032 ATMs in Canada</w:t>
      </w:r>
      <w:r w:rsidR="003C07E5" w:rsidRPr="00DF22D4">
        <w:rPr>
          <w:rFonts w:ascii="Times New Roman" w:hAnsi="Times New Roman" w:cs="Times New Roman"/>
          <w:sz w:val="24"/>
          <w:szCs w:val="24"/>
        </w:rPr>
        <w:t xml:space="preserve"> </w:t>
      </w:r>
      <w:sdt>
        <w:sdtPr>
          <w:rPr>
            <w:rFonts w:ascii="Times New Roman" w:hAnsi="Times New Roman" w:cs="Times New Roman"/>
            <w:sz w:val="24"/>
            <w:szCs w:val="24"/>
          </w:rPr>
          <w:id w:val="-1190829893"/>
          <w:citation/>
        </w:sdtPr>
        <w:sdtContent>
          <w:r w:rsidR="003C07E5" w:rsidRPr="00DF22D4">
            <w:rPr>
              <w:rFonts w:ascii="Times New Roman" w:hAnsi="Times New Roman" w:cs="Times New Roman"/>
              <w:sz w:val="24"/>
              <w:szCs w:val="24"/>
            </w:rPr>
            <w:fldChar w:fldCharType="begin"/>
          </w:r>
          <w:r w:rsidR="00FA5C42" w:rsidRPr="00DF22D4">
            <w:rPr>
              <w:rFonts w:ascii="Times New Roman" w:hAnsi="Times New Roman" w:cs="Times New Roman"/>
              <w:sz w:val="24"/>
              <w:szCs w:val="24"/>
            </w:rPr>
            <w:instrText xml:space="preserve">CITATION RBC1 \p 32 \l 4105 </w:instrText>
          </w:r>
          <w:r w:rsidR="003C07E5"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32)</w:t>
          </w:r>
          <w:r w:rsidR="003C07E5" w:rsidRPr="00DF22D4">
            <w:rPr>
              <w:rFonts w:ascii="Times New Roman" w:hAnsi="Times New Roman" w:cs="Times New Roman"/>
              <w:sz w:val="24"/>
              <w:szCs w:val="24"/>
            </w:rPr>
            <w:fldChar w:fldCharType="end"/>
          </w:r>
        </w:sdtContent>
      </w:sdt>
      <w:r w:rsidR="00D37C8B" w:rsidRPr="00DF22D4">
        <w:rPr>
          <w:rFonts w:ascii="Times New Roman" w:hAnsi="Times New Roman" w:cs="Times New Roman"/>
          <w:sz w:val="24"/>
          <w:szCs w:val="24"/>
        </w:rPr>
        <w:t>.</w:t>
      </w:r>
      <w:r w:rsidR="00776000" w:rsidRPr="00DF22D4">
        <w:rPr>
          <w:rFonts w:ascii="Times New Roman" w:hAnsi="Times New Roman" w:cs="Times New Roman"/>
          <w:sz w:val="24"/>
          <w:szCs w:val="24"/>
        </w:rPr>
        <w:t xml:space="preserve"> </w:t>
      </w:r>
    </w:p>
    <w:p w14:paraId="7E7BE37A" w14:textId="7B566BDE" w:rsidR="00182D1D" w:rsidRPr="00DF22D4" w:rsidRDefault="00287665" w:rsidP="00773C76">
      <w:pPr>
        <w:ind w:firstLine="720"/>
        <w:jc w:val="left"/>
        <w:rPr>
          <w:rFonts w:ascii="Times New Roman" w:hAnsi="Times New Roman" w:cs="Times New Roman"/>
          <w:sz w:val="24"/>
          <w:szCs w:val="24"/>
        </w:rPr>
      </w:pPr>
      <w:r w:rsidRPr="00DF22D4">
        <w:rPr>
          <w:rFonts w:ascii="Times New Roman" w:hAnsi="Times New Roman" w:cs="Times New Roman"/>
          <w:sz w:val="24"/>
          <w:szCs w:val="24"/>
        </w:rPr>
        <w:t xml:space="preserve">David </w:t>
      </w:r>
      <w:r w:rsidR="008D26E5" w:rsidRPr="00DF22D4">
        <w:rPr>
          <w:rFonts w:ascii="Times New Roman" w:hAnsi="Times New Roman" w:cs="Times New Roman"/>
          <w:sz w:val="24"/>
          <w:szCs w:val="24"/>
        </w:rPr>
        <w:t xml:space="preserve">I. </w:t>
      </w:r>
      <w:r w:rsidRPr="00DF22D4">
        <w:rPr>
          <w:rFonts w:ascii="Times New Roman" w:hAnsi="Times New Roman" w:cs="Times New Roman"/>
          <w:sz w:val="24"/>
          <w:szCs w:val="24"/>
        </w:rPr>
        <w:t>McKay is the president and the chief executive officer of RBC</w:t>
      </w:r>
      <w:r w:rsidR="00773C76" w:rsidRPr="00DF22D4">
        <w:rPr>
          <w:rFonts w:ascii="Times New Roman" w:hAnsi="Times New Roman" w:cs="Times New Roman"/>
          <w:sz w:val="24"/>
          <w:szCs w:val="24"/>
        </w:rPr>
        <w:t xml:space="preserve"> </w:t>
      </w:r>
      <w:sdt>
        <w:sdtPr>
          <w:rPr>
            <w:rFonts w:ascii="Times New Roman" w:hAnsi="Times New Roman" w:cs="Times New Roman"/>
            <w:sz w:val="24"/>
            <w:szCs w:val="24"/>
          </w:rPr>
          <w:id w:val="790253413"/>
          <w:citation/>
        </w:sdtPr>
        <w:sdtContent>
          <w:r w:rsidR="00773C76" w:rsidRPr="00DF22D4">
            <w:rPr>
              <w:rFonts w:ascii="Times New Roman" w:hAnsi="Times New Roman" w:cs="Times New Roman"/>
              <w:sz w:val="24"/>
              <w:szCs w:val="24"/>
            </w:rPr>
            <w:fldChar w:fldCharType="begin"/>
          </w:r>
          <w:r w:rsidR="00BE0ECD" w:rsidRPr="00DF22D4">
            <w:rPr>
              <w:rFonts w:ascii="Times New Roman" w:hAnsi="Times New Roman" w:cs="Times New Roman"/>
              <w:sz w:val="24"/>
              <w:szCs w:val="24"/>
            </w:rPr>
            <w:instrText xml:space="preserve">CITATION RBC1 \p 9 \l 4105 </w:instrText>
          </w:r>
          <w:r w:rsidR="00773C76"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9)</w:t>
          </w:r>
          <w:r w:rsidR="00773C76" w:rsidRPr="00DF22D4">
            <w:rPr>
              <w:rFonts w:ascii="Times New Roman" w:hAnsi="Times New Roman" w:cs="Times New Roman"/>
              <w:sz w:val="24"/>
              <w:szCs w:val="24"/>
            </w:rPr>
            <w:fldChar w:fldCharType="end"/>
          </w:r>
        </w:sdtContent>
      </w:sdt>
      <w:r w:rsidRPr="00DF22D4">
        <w:rPr>
          <w:rFonts w:ascii="Times New Roman" w:hAnsi="Times New Roman" w:cs="Times New Roman"/>
          <w:b/>
          <w:bCs/>
          <w:sz w:val="24"/>
          <w:szCs w:val="24"/>
        </w:rPr>
        <w:t xml:space="preserve">. </w:t>
      </w:r>
      <w:r w:rsidR="001C6F97" w:rsidRPr="00DF22D4">
        <w:rPr>
          <w:rFonts w:ascii="Times New Roman" w:hAnsi="Times New Roman" w:cs="Times New Roman"/>
          <w:b/>
          <w:bCs/>
          <w:sz w:val="24"/>
          <w:szCs w:val="24"/>
        </w:rPr>
        <w:t xml:space="preserve"> </w:t>
      </w:r>
      <w:r w:rsidR="00A35C98" w:rsidRPr="00DF22D4">
        <w:rPr>
          <w:rFonts w:ascii="Times New Roman" w:hAnsi="Times New Roman" w:cs="Times New Roman"/>
          <w:sz w:val="24"/>
          <w:szCs w:val="24"/>
        </w:rPr>
        <w:t>The 2021 fiscal year of RBC was ended October 31, 2021, which means t</w:t>
      </w:r>
      <w:r w:rsidR="00C04520" w:rsidRPr="00DF22D4">
        <w:rPr>
          <w:rFonts w:ascii="Times New Roman" w:hAnsi="Times New Roman" w:cs="Times New Roman"/>
          <w:sz w:val="24"/>
          <w:szCs w:val="24"/>
        </w:rPr>
        <w:t xml:space="preserve">he fiscal period covered by the 2021 RBC’s annual report is from </w:t>
      </w:r>
      <w:r w:rsidR="00A35C98" w:rsidRPr="00DF22D4">
        <w:rPr>
          <w:rFonts w:ascii="Times New Roman" w:hAnsi="Times New Roman" w:cs="Times New Roman"/>
          <w:sz w:val="24"/>
          <w:szCs w:val="24"/>
        </w:rPr>
        <w:t xml:space="preserve">October 31, </w:t>
      </w:r>
      <w:r w:rsidR="008D26E5" w:rsidRPr="00DF22D4">
        <w:rPr>
          <w:rFonts w:ascii="Times New Roman" w:hAnsi="Times New Roman" w:cs="Times New Roman"/>
          <w:sz w:val="24"/>
          <w:szCs w:val="24"/>
        </w:rPr>
        <w:t>2020,</w:t>
      </w:r>
      <w:r w:rsidR="00A35C98" w:rsidRPr="00DF22D4">
        <w:rPr>
          <w:rFonts w:ascii="Times New Roman" w:hAnsi="Times New Roman" w:cs="Times New Roman"/>
          <w:sz w:val="24"/>
          <w:szCs w:val="24"/>
        </w:rPr>
        <w:t xml:space="preserve"> to October 31, 2021</w:t>
      </w:r>
      <w:r w:rsidR="00A26EDD" w:rsidRPr="00DF22D4">
        <w:rPr>
          <w:rFonts w:ascii="Times New Roman" w:hAnsi="Times New Roman" w:cs="Times New Roman"/>
          <w:sz w:val="24"/>
          <w:szCs w:val="24"/>
        </w:rPr>
        <w:t xml:space="preserve"> </w:t>
      </w:r>
      <w:sdt>
        <w:sdtPr>
          <w:rPr>
            <w:rFonts w:ascii="Times New Roman" w:hAnsi="Times New Roman" w:cs="Times New Roman"/>
            <w:sz w:val="24"/>
            <w:szCs w:val="24"/>
          </w:rPr>
          <w:id w:val="782151914"/>
          <w:citation/>
        </w:sdtPr>
        <w:sdtContent>
          <w:r w:rsidR="00A2763E" w:rsidRPr="00DF22D4">
            <w:rPr>
              <w:rFonts w:ascii="Times New Roman" w:hAnsi="Times New Roman" w:cs="Times New Roman"/>
              <w:sz w:val="24"/>
              <w:szCs w:val="24"/>
            </w:rPr>
            <w:fldChar w:fldCharType="begin"/>
          </w:r>
          <w:r w:rsidR="00BE0ECD" w:rsidRPr="00DF22D4">
            <w:rPr>
              <w:rFonts w:ascii="Times New Roman" w:hAnsi="Times New Roman" w:cs="Times New Roman"/>
              <w:sz w:val="24"/>
              <w:szCs w:val="24"/>
            </w:rPr>
            <w:instrText xml:space="preserve">CITATION RBC1 \p 15 \l 4105 </w:instrText>
          </w:r>
          <w:r w:rsidR="00A2763E"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15)</w:t>
          </w:r>
          <w:r w:rsidR="00A2763E" w:rsidRPr="00DF22D4">
            <w:rPr>
              <w:rFonts w:ascii="Times New Roman" w:hAnsi="Times New Roman" w:cs="Times New Roman"/>
              <w:sz w:val="24"/>
              <w:szCs w:val="24"/>
            </w:rPr>
            <w:fldChar w:fldCharType="end"/>
          </w:r>
        </w:sdtContent>
      </w:sdt>
      <w:r w:rsidR="00A35C98" w:rsidRPr="00DF22D4">
        <w:rPr>
          <w:rFonts w:ascii="Times New Roman" w:hAnsi="Times New Roman" w:cs="Times New Roman"/>
          <w:sz w:val="24"/>
          <w:szCs w:val="24"/>
        </w:rPr>
        <w:t xml:space="preserve">. </w:t>
      </w:r>
    </w:p>
    <w:p w14:paraId="24CCB4FA" w14:textId="5245F0A8" w:rsidR="00F36CD2" w:rsidRPr="00DF22D4" w:rsidRDefault="0018128E" w:rsidP="004A5554">
      <w:pPr>
        <w:ind w:firstLine="720"/>
        <w:jc w:val="left"/>
        <w:rPr>
          <w:rFonts w:ascii="Times New Roman" w:hAnsi="Times New Roman" w:cs="Times New Roman"/>
          <w:sz w:val="24"/>
          <w:szCs w:val="24"/>
        </w:rPr>
      </w:pPr>
      <w:r w:rsidRPr="00DF22D4">
        <w:rPr>
          <w:rFonts w:ascii="Times New Roman" w:hAnsi="Times New Roman" w:cs="Times New Roman"/>
          <w:sz w:val="24"/>
          <w:szCs w:val="24"/>
        </w:rPr>
        <w:t>PricewaterhouseCoopers LLP, an Independent Registered Public Accounting Firm appointed by RBC’s shareholders upon the recommendation of the Audit Committee and Board, performed an independent audit of the consolidated financial statements</w:t>
      </w:r>
      <w:r w:rsidR="00AB4E1B" w:rsidRPr="00DF22D4">
        <w:rPr>
          <w:rFonts w:ascii="Times New Roman" w:hAnsi="Times New Roman" w:cs="Times New Roman"/>
          <w:sz w:val="24"/>
          <w:szCs w:val="24"/>
        </w:rPr>
        <w:t xml:space="preserve"> including the consolidated balance sheets as of October 31, 2021 and 2020; the consolidated statements of income for the years then ended; the consolidated statements of comprehensive income for the years then ended; the consolidated statements of changes in equity for the years then ended; the consolidated statements of cash flows for the years then ended; and the notes to the consolidated financial statements, which include significant accounting policies and other explanatory information</w:t>
      </w:r>
      <w:r w:rsidRPr="00DF22D4">
        <w:rPr>
          <w:rFonts w:ascii="Times New Roman" w:hAnsi="Times New Roman" w:cs="Times New Roman"/>
          <w:sz w:val="24"/>
          <w:szCs w:val="24"/>
        </w:rPr>
        <w:t xml:space="preserve"> in accordance with Canadian generally accepted auditing standards and the standards of the Public Company Accounting Oversight Board (United States). </w:t>
      </w:r>
      <w:r w:rsidR="00791875" w:rsidRPr="00DF22D4">
        <w:rPr>
          <w:rFonts w:ascii="Times New Roman" w:hAnsi="Times New Roman" w:cs="Times New Roman"/>
          <w:sz w:val="24"/>
          <w:szCs w:val="24"/>
        </w:rPr>
        <w:t xml:space="preserve">They concluded that </w:t>
      </w:r>
      <w:r w:rsidR="00F447A7" w:rsidRPr="00DF22D4">
        <w:rPr>
          <w:rFonts w:ascii="Times New Roman" w:hAnsi="Times New Roman" w:cs="Times New Roman"/>
          <w:sz w:val="24"/>
          <w:szCs w:val="24"/>
        </w:rPr>
        <w:t>in their opinion, the consolidated financial statements present fairly, in all material respects, the financial position of Royal Bank of Canada and its subsidiaries (together, the Bank) as of October 31, 2021 and 2020, and its financial performance and its cash flows for the years then ended in accordance with International Financial Reporting Standards as issued by the International Accounting Standards Board (IFRS)</w:t>
      </w:r>
      <w:r w:rsidR="00C02301" w:rsidRPr="00DF22D4">
        <w:rPr>
          <w:rFonts w:ascii="Times New Roman" w:hAnsi="Times New Roman" w:cs="Times New Roman"/>
          <w:sz w:val="24"/>
          <w:szCs w:val="24"/>
        </w:rPr>
        <w:t xml:space="preserve"> </w:t>
      </w:r>
      <w:sdt>
        <w:sdtPr>
          <w:rPr>
            <w:rFonts w:ascii="Times New Roman" w:hAnsi="Times New Roman" w:cs="Times New Roman"/>
            <w:sz w:val="24"/>
            <w:szCs w:val="24"/>
          </w:rPr>
          <w:id w:val="-172113839"/>
          <w:citation/>
        </w:sdtPr>
        <w:sdtContent>
          <w:r w:rsidR="00C02301" w:rsidRPr="00DF22D4">
            <w:rPr>
              <w:rFonts w:ascii="Times New Roman" w:hAnsi="Times New Roman" w:cs="Times New Roman"/>
              <w:sz w:val="24"/>
              <w:szCs w:val="24"/>
            </w:rPr>
            <w:fldChar w:fldCharType="begin"/>
          </w:r>
          <w:r w:rsidR="00DB31B0" w:rsidRPr="00DF22D4">
            <w:rPr>
              <w:rFonts w:ascii="Times New Roman" w:hAnsi="Times New Roman" w:cs="Times New Roman"/>
              <w:sz w:val="24"/>
              <w:szCs w:val="24"/>
            </w:rPr>
            <w:instrText xml:space="preserve">CITATION RBC1 \p 127 \l 4105 </w:instrText>
          </w:r>
          <w:r w:rsidR="00C02301"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127)</w:t>
          </w:r>
          <w:r w:rsidR="00C02301" w:rsidRPr="00DF22D4">
            <w:rPr>
              <w:rFonts w:ascii="Times New Roman" w:hAnsi="Times New Roman" w:cs="Times New Roman"/>
              <w:sz w:val="24"/>
              <w:szCs w:val="24"/>
            </w:rPr>
            <w:fldChar w:fldCharType="end"/>
          </w:r>
        </w:sdtContent>
      </w:sdt>
      <w:r w:rsidR="00AB4E1B" w:rsidRPr="00DF22D4">
        <w:rPr>
          <w:rFonts w:ascii="Times New Roman" w:hAnsi="Times New Roman" w:cs="Times New Roman"/>
          <w:sz w:val="24"/>
          <w:szCs w:val="24"/>
        </w:rPr>
        <w:t xml:space="preserve">. </w:t>
      </w:r>
    </w:p>
    <w:p w14:paraId="1964DC55" w14:textId="194AF24D" w:rsidR="008D26E5" w:rsidRPr="00DF22D4" w:rsidRDefault="00F36CD2" w:rsidP="00E45C09">
      <w:pPr>
        <w:jc w:val="left"/>
        <w:rPr>
          <w:rFonts w:ascii="Times New Roman" w:hAnsi="Times New Roman" w:cs="Times New Roman"/>
          <w:sz w:val="24"/>
          <w:szCs w:val="24"/>
        </w:rPr>
      </w:pPr>
      <w:r w:rsidRPr="00DF22D4">
        <w:rPr>
          <w:rFonts w:ascii="Times New Roman" w:hAnsi="Times New Roman" w:cs="Times New Roman"/>
          <w:sz w:val="24"/>
          <w:szCs w:val="24"/>
        </w:rPr>
        <w:tab/>
        <w:t xml:space="preserve">There are six business segments in RBC: Personal and Commercial Banking, consisting of banking operations in 36 countries around the world; RBC Wealth Management, consisting of investment products and services for retail investors; RBC Capital Markets for international investment banking services; RBC Insurance for individual and group clients; Investor and Treasury Services, providing custody services and fund administration for international clients </w:t>
      </w:r>
      <w:sdt>
        <w:sdtPr>
          <w:rPr>
            <w:rFonts w:ascii="Times New Roman" w:hAnsi="Times New Roman" w:cs="Times New Roman"/>
            <w:sz w:val="24"/>
            <w:szCs w:val="24"/>
          </w:rPr>
          <w:id w:val="-533036748"/>
          <w:citation/>
        </w:sdtPr>
        <w:sdtContent>
          <w:r w:rsidRPr="00DF22D4">
            <w:rPr>
              <w:rFonts w:ascii="Times New Roman" w:hAnsi="Times New Roman" w:cs="Times New Roman"/>
              <w:sz w:val="24"/>
              <w:szCs w:val="24"/>
            </w:rPr>
            <w:fldChar w:fldCharType="begin"/>
          </w:r>
          <w:r w:rsidRPr="00DF22D4">
            <w:rPr>
              <w:rFonts w:ascii="Times New Roman" w:hAnsi="Times New Roman" w:cs="Times New Roman"/>
              <w:sz w:val="24"/>
              <w:szCs w:val="24"/>
            </w:rPr>
            <w:instrText xml:space="preserve"> CITATION Bon22 \l 4105 </w:instrText>
          </w:r>
          <w:r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(Bonham, Royal Bank of Canada (RBC), 2022)</w:t>
          </w:r>
          <w:r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 xml:space="preserve">; and Corporate Support, consists of Technology and Operations, which provides the technological and operational foundation required to effectively deliver products and services to clients </w:t>
      </w:r>
      <w:sdt>
        <w:sdtPr>
          <w:rPr>
            <w:rFonts w:ascii="Times New Roman" w:hAnsi="Times New Roman" w:cs="Times New Roman"/>
            <w:sz w:val="24"/>
            <w:szCs w:val="24"/>
          </w:rPr>
          <w:id w:val="2139062840"/>
          <w:citation/>
        </w:sdtPr>
        <w:sdtContent>
          <w:r w:rsidRPr="00DF22D4">
            <w:rPr>
              <w:rFonts w:ascii="Times New Roman" w:hAnsi="Times New Roman" w:cs="Times New Roman"/>
              <w:sz w:val="24"/>
              <w:szCs w:val="24"/>
            </w:rPr>
            <w:fldChar w:fldCharType="begin"/>
          </w:r>
          <w:r w:rsidR="00DB31B0" w:rsidRPr="00DF22D4">
            <w:rPr>
              <w:rFonts w:ascii="Times New Roman" w:hAnsi="Times New Roman" w:cs="Times New Roman"/>
              <w:sz w:val="24"/>
              <w:szCs w:val="24"/>
            </w:rPr>
            <w:instrText xml:space="preserve">CITATION RBC1 \p 17 \l 4105 </w:instrText>
          </w:r>
          <w:r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 xml:space="preserve">(Royal Bank of Canada, 2021, p. </w:t>
          </w:r>
          <w:r w:rsidR="005652C2" w:rsidRPr="00DF22D4">
            <w:rPr>
              <w:rFonts w:ascii="Times New Roman" w:hAnsi="Times New Roman" w:cs="Times New Roman"/>
              <w:noProof/>
              <w:sz w:val="24"/>
              <w:szCs w:val="24"/>
            </w:rPr>
            <w:lastRenderedPageBreak/>
            <w:t>17)</w:t>
          </w:r>
          <w:r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 xml:space="preserve">. </w:t>
      </w:r>
    </w:p>
    <w:p w14:paraId="2646297B" w14:textId="77777777" w:rsidR="00D306DE" w:rsidRPr="00DF22D4" w:rsidRDefault="00D306DE" w:rsidP="00470F29">
      <w:pPr>
        <w:jc w:val="center"/>
        <w:rPr>
          <w:rFonts w:ascii="Times New Roman" w:hAnsi="Times New Roman" w:cs="Times New Roman"/>
          <w:sz w:val="24"/>
          <w:szCs w:val="24"/>
        </w:rPr>
      </w:pPr>
    </w:p>
    <w:p w14:paraId="539DD131" w14:textId="77777777" w:rsidR="00D306DE" w:rsidRPr="00DF22D4" w:rsidRDefault="00F36CD2" w:rsidP="00D306DE">
      <w:pPr>
        <w:keepNext/>
        <w:jc w:val="center"/>
        <w:rPr>
          <w:rFonts w:ascii="Times New Roman" w:hAnsi="Times New Roman" w:cs="Times New Roman"/>
        </w:rPr>
      </w:pPr>
      <w:r w:rsidRPr="00DF22D4">
        <w:rPr>
          <w:rFonts w:ascii="Times New Roman" w:hAnsi="Times New Roman" w:cs="Times New Roman"/>
          <w:noProof/>
          <w:sz w:val="24"/>
          <w:szCs w:val="24"/>
        </w:rPr>
        <w:drawing>
          <wp:inline distT="0" distB="0" distL="0" distR="0" wp14:anchorId="5D6444B6" wp14:editId="631812CF">
            <wp:extent cx="5274310" cy="30765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1B42F8" w14:textId="0E7A8417" w:rsidR="00F36CD2" w:rsidRPr="00DF22D4" w:rsidRDefault="00D306DE" w:rsidP="00D306DE">
      <w:pPr>
        <w:pStyle w:val="Caption"/>
        <w:jc w:val="center"/>
        <w:rPr>
          <w:rFonts w:ascii="Times New Roman" w:hAnsi="Times New Roman" w:cs="Times New Roman"/>
          <w:sz w:val="24"/>
          <w:szCs w:val="24"/>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Royal Bank of Canada, 2021.</w:t>
      </w:r>
      <w:r w:rsidR="00AD2B51" w:rsidRPr="00DF22D4">
        <w:rPr>
          <w:rFonts w:ascii="Times New Roman" w:hAnsi="Times New Roman" w:cs="Times New Roman"/>
        </w:rPr>
        <w:t xml:space="preserve"> </w:t>
      </w:r>
      <w:r w:rsidR="00F57463" w:rsidRPr="00DF22D4">
        <w:rPr>
          <w:rFonts w:ascii="Times New Roman" w:hAnsi="Times New Roman" w:cs="Times New Roman"/>
        </w:rPr>
        <w:t>E</w:t>
      </w:r>
      <w:r w:rsidR="00AD2B51" w:rsidRPr="00DF22D4">
        <w:rPr>
          <w:rFonts w:ascii="Times New Roman" w:hAnsi="Times New Roman" w:cs="Times New Roman"/>
        </w:rPr>
        <w:t>xcluded Corporate Support</w:t>
      </w:r>
    </w:p>
    <w:p w14:paraId="1AE9E034" w14:textId="77777777" w:rsidR="00E45C09" w:rsidRPr="00DF22D4" w:rsidRDefault="00E45C09" w:rsidP="007E789C">
      <w:pPr>
        <w:ind w:firstLine="720"/>
        <w:rPr>
          <w:rFonts w:ascii="Times New Roman" w:hAnsi="Times New Roman" w:cs="Times New Roman"/>
          <w:sz w:val="24"/>
          <w:szCs w:val="24"/>
        </w:rPr>
      </w:pPr>
    </w:p>
    <w:p w14:paraId="5A04256F" w14:textId="1A50701E" w:rsidR="00470F29" w:rsidRPr="00DF22D4" w:rsidRDefault="00AD2B51" w:rsidP="007E789C">
      <w:pPr>
        <w:ind w:firstLine="720"/>
        <w:rPr>
          <w:rFonts w:ascii="Times New Roman" w:hAnsi="Times New Roman" w:cs="Times New Roman"/>
          <w:sz w:val="24"/>
          <w:szCs w:val="24"/>
        </w:rPr>
      </w:pPr>
      <w:r w:rsidRPr="00DF22D4">
        <w:rPr>
          <w:rFonts w:ascii="Times New Roman" w:hAnsi="Times New Roman" w:cs="Times New Roman"/>
          <w:sz w:val="24"/>
          <w:szCs w:val="24"/>
        </w:rPr>
        <w:t xml:space="preserve">As shown in Figure 1, </w:t>
      </w:r>
      <w:r w:rsidR="00701F68" w:rsidRPr="00DF22D4">
        <w:rPr>
          <w:rFonts w:ascii="Times New Roman" w:hAnsi="Times New Roman" w:cs="Times New Roman"/>
          <w:sz w:val="24"/>
          <w:szCs w:val="24"/>
        </w:rPr>
        <w:t xml:space="preserve">the first major source of revenue of RBC’s fiscal 2021 </w:t>
      </w:r>
      <w:r w:rsidR="00747C0C" w:rsidRPr="00DF22D4">
        <w:rPr>
          <w:rFonts w:ascii="Times New Roman" w:hAnsi="Times New Roman" w:cs="Times New Roman"/>
          <w:sz w:val="24"/>
          <w:szCs w:val="24"/>
        </w:rPr>
        <w:t>was</w:t>
      </w:r>
      <w:r w:rsidR="00701F68" w:rsidRPr="00DF22D4">
        <w:rPr>
          <w:rFonts w:ascii="Times New Roman" w:hAnsi="Times New Roman" w:cs="Times New Roman"/>
          <w:sz w:val="24"/>
          <w:szCs w:val="24"/>
        </w:rPr>
        <w:t xml:space="preserve"> P&amp;CB, Personal and Commercial banking, </w:t>
      </w:r>
      <w:r w:rsidR="009B34D5" w:rsidRPr="00DF22D4">
        <w:rPr>
          <w:rFonts w:ascii="Times New Roman" w:hAnsi="Times New Roman" w:cs="Times New Roman"/>
          <w:sz w:val="24"/>
          <w:szCs w:val="24"/>
        </w:rPr>
        <w:t>$</w:t>
      </w:r>
      <w:r w:rsidR="00701F68" w:rsidRPr="00DF22D4">
        <w:rPr>
          <w:rFonts w:ascii="Times New Roman" w:hAnsi="Times New Roman" w:cs="Times New Roman"/>
          <w:sz w:val="24"/>
          <w:szCs w:val="24"/>
        </w:rPr>
        <w:t xml:space="preserve">18.3 </w:t>
      </w:r>
      <w:r w:rsidR="00CF387A" w:rsidRPr="00DF22D4">
        <w:rPr>
          <w:rFonts w:ascii="Times New Roman" w:hAnsi="Times New Roman" w:cs="Times New Roman"/>
          <w:sz w:val="24"/>
          <w:szCs w:val="24"/>
        </w:rPr>
        <w:t>billion</w:t>
      </w:r>
      <w:r w:rsidR="008B5A51" w:rsidRPr="00DF22D4">
        <w:rPr>
          <w:rFonts w:ascii="Times New Roman" w:hAnsi="Times New Roman" w:cs="Times New Roman"/>
          <w:sz w:val="24"/>
          <w:szCs w:val="24"/>
        </w:rPr>
        <w:t>. T</w:t>
      </w:r>
      <w:r w:rsidR="00701F68" w:rsidRPr="00DF22D4">
        <w:rPr>
          <w:rFonts w:ascii="Times New Roman" w:hAnsi="Times New Roman" w:cs="Times New Roman"/>
          <w:sz w:val="24"/>
          <w:szCs w:val="24"/>
        </w:rPr>
        <w:t xml:space="preserve">he second major source </w:t>
      </w:r>
      <w:r w:rsidR="00747C0C" w:rsidRPr="00DF22D4">
        <w:rPr>
          <w:rFonts w:ascii="Times New Roman" w:hAnsi="Times New Roman" w:cs="Times New Roman"/>
          <w:sz w:val="24"/>
          <w:szCs w:val="24"/>
        </w:rPr>
        <w:t>was</w:t>
      </w:r>
      <w:r w:rsidR="00701F68" w:rsidRPr="00DF22D4">
        <w:rPr>
          <w:rFonts w:ascii="Times New Roman" w:hAnsi="Times New Roman" w:cs="Times New Roman"/>
          <w:sz w:val="24"/>
          <w:szCs w:val="24"/>
        </w:rPr>
        <w:t xml:space="preserve"> Wealth Management</w:t>
      </w:r>
      <w:r w:rsidR="00CF387A" w:rsidRPr="00DF22D4">
        <w:rPr>
          <w:rFonts w:ascii="Times New Roman" w:hAnsi="Times New Roman" w:cs="Times New Roman"/>
          <w:sz w:val="24"/>
          <w:szCs w:val="24"/>
        </w:rPr>
        <w:t xml:space="preserve">, </w:t>
      </w:r>
      <w:r w:rsidR="009B34D5" w:rsidRPr="00DF22D4">
        <w:rPr>
          <w:rFonts w:ascii="Times New Roman" w:hAnsi="Times New Roman" w:cs="Times New Roman"/>
          <w:sz w:val="24"/>
          <w:szCs w:val="24"/>
        </w:rPr>
        <w:t>$</w:t>
      </w:r>
      <w:r w:rsidR="00CF387A" w:rsidRPr="00DF22D4">
        <w:rPr>
          <w:rFonts w:ascii="Times New Roman" w:hAnsi="Times New Roman" w:cs="Times New Roman"/>
          <w:sz w:val="24"/>
          <w:szCs w:val="24"/>
        </w:rPr>
        <w:t>13.3 billion. T</w:t>
      </w:r>
      <w:r w:rsidR="00701F68" w:rsidRPr="00DF22D4">
        <w:rPr>
          <w:rFonts w:ascii="Times New Roman" w:hAnsi="Times New Roman" w:cs="Times New Roman"/>
          <w:sz w:val="24"/>
          <w:szCs w:val="24"/>
        </w:rPr>
        <w:t xml:space="preserve">he third major source </w:t>
      </w:r>
      <w:r w:rsidR="00747C0C" w:rsidRPr="00DF22D4">
        <w:rPr>
          <w:rFonts w:ascii="Times New Roman" w:hAnsi="Times New Roman" w:cs="Times New Roman"/>
          <w:sz w:val="24"/>
          <w:szCs w:val="24"/>
        </w:rPr>
        <w:t>was</w:t>
      </w:r>
      <w:r w:rsidR="00701F68" w:rsidRPr="00DF22D4">
        <w:rPr>
          <w:rFonts w:ascii="Times New Roman" w:hAnsi="Times New Roman" w:cs="Times New Roman"/>
          <w:sz w:val="24"/>
          <w:szCs w:val="24"/>
        </w:rPr>
        <w:t xml:space="preserve"> Capital Markets</w:t>
      </w:r>
      <w:r w:rsidR="00CF387A" w:rsidRPr="00DF22D4">
        <w:rPr>
          <w:rFonts w:ascii="Times New Roman" w:hAnsi="Times New Roman" w:cs="Times New Roman"/>
          <w:sz w:val="24"/>
          <w:szCs w:val="24"/>
        </w:rPr>
        <w:t xml:space="preserve">, </w:t>
      </w:r>
      <w:r w:rsidR="009B34D5" w:rsidRPr="00DF22D4">
        <w:rPr>
          <w:rFonts w:ascii="Times New Roman" w:hAnsi="Times New Roman" w:cs="Times New Roman"/>
          <w:sz w:val="24"/>
          <w:szCs w:val="24"/>
        </w:rPr>
        <w:t>$</w:t>
      </w:r>
      <w:r w:rsidR="00CF387A" w:rsidRPr="00DF22D4">
        <w:rPr>
          <w:rFonts w:ascii="Times New Roman" w:hAnsi="Times New Roman" w:cs="Times New Roman"/>
          <w:sz w:val="24"/>
          <w:szCs w:val="24"/>
        </w:rPr>
        <w:t xml:space="preserve">10.2 billion. The fourth major source </w:t>
      </w:r>
      <w:r w:rsidR="00747C0C" w:rsidRPr="00DF22D4">
        <w:rPr>
          <w:rFonts w:ascii="Times New Roman" w:hAnsi="Times New Roman" w:cs="Times New Roman"/>
          <w:sz w:val="24"/>
          <w:szCs w:val="24"/>
        </w:rPr>
        <w:t>was</w:t>
      </w:r>
      <w:r w:rsidR="00CF387A" w:rsidRPr="00DF22D4">
        <w:rPr>
          <w:rFonts w:ascii="Times New Roman" w:hAnsi="Times New Roman" w:cs="Times New Roman"/>
          <w:sz w:val="24"/>
          <w:szCs w:val="24"/>
        </w:rPr>
        <w:t xml:space="preserve"> Insurance, </w:t>
      </w:r>
      <w:r w:rsidR="009B34D5" w:rsidRPr="00DF22D4">
        <w:rPr>
          <w:rFonts w:ascii="Times New Roman" w:hAnsi="Times New Roman" w:cs="Times New Roman"/>
          <w:sz w:val="24"/>
          <w:szCs w:val="24"/>
        </w:rPr>
        <w:t>$</w:t>
      </w:r>
      <w:r w:rsidR="00CF387A" w:rsidRPr="00DF22D4">
        <w:rPr>
          <w:rFonts w:ascii="Times New Roman" w:hAnsi="Times New Roman" w:cs="Times New Roman"/>
          <w:sz w:val="24"/>
          <w:szCs w:val="24"/>
        </w:rPr>
        <w:t xml:space="preserve">5.6 billion. And the </w:t>
      </w:r>
      <w:r w:rsidR="009B34D5" w:rsidRPr="00DF22D4">
        <w:rPr>
          <w:rFonts w:ascii="Times New Roman" w:hAnsi="Times New Roman" w:cs="Times New Roman"/>
          <w:sz w:val="24"/>
          <w:szCs w:val="24"/>
        </w:rPr>
        <w:t>l</w:t>
      </w:r>
      <w:r w:rsidR="00CF387A" w:rsidRPr="00DF22D4">
        <w:rPr>
          <w:rFonts w:ascii="Times New Roman" w:hAnsi="Times New Roman" w:cs="Times New Roman"/>
          <w:sz w:val="24"/>
          <w:szCs w:val="24"/>
        </w:rPr>
        <w:t xml:space="preserve">ast major source </w:t>
      </w:r>
      <w:r w:rsidR="00747C0C" w:rsidRPr="00DF22D4">
        <w:rPr>
          <w:rFonts w:ascii="Times New Roman" w:hAnsi="Times New Roman" w:cs="Times New Roman"/>
          <w:sz w:val="24"/>
          <w:szCs w:val="24"/>
        </w:rPr>
        <w:t>was</w:t>
      </w:r>
      <w:r w:rsidR="00CF387A" w:rsidRPr="00DF22D4">
        <w:rPr>
          <w:rFonts w:ascii="Times New Roman" w:hAnsi="Times New Roman" w:cs="Times New Roman"/>
          <w:sz w:val="24"/>
          <w:szCs w:val="24"/>
        </w:rPr>
        <w:t xml:space="preserve"> I&amp;TS, Investor and Treasury Services, </w:t>
      </w:r>
      <w:r w:rsidR="009B34D5" w:rsidRPr="00DF22D4">
        <w:rPr>
          <w:rFonts w:ascii="Times New Roman" w:hAnsi="Times New Roman" w:cs="Times New Roman"/>
          <w:sz w:val="24"/>
          <w:szCs w:val="24"/>
        </w:rPr>
        <w:t>$</w:t>
      </w:r>
      <w:r w:rsidR="00CF387A" w:rsidRPr="00DF22D4">
        <w:rPr>
          <w:rFonts w:ascii="Times New Roman" w:hAnsi="Times New Roman" w:cs="Times New Roman"/>
          <w:sz w:val="24"/>
          <w:szCs w:val="24"/>
        </w:rPr>
        <w:t>2.2 billion.</w:t>
      </w:r>
    </w:p>
    <w:p w14:paraId="1A37F537" w14:textId="3B040D05" w:rsidR="007E789C" w:rsidRPr="00DF22D4" w:rsidRDefault="007E789C" w:rsidP="00470F29">
      <w:pPr>
        <w:rPr>
          <w:rFonts w:ascii="Times New Roman" w:hAnsi="Times New Roman" w:cs="Times New Roman"/>
          <w:sz w:val="24"/>
          <w:szCs w:val="24"/>
        </w:rPr>
      </w:pPr>
      <w:r w:rsidRPr="00DF22D4">
        <w:rPr>
          <w:rFonts w:ascii="Times New Roman" w:hAnsi="Times New Roman" w:cs="Times New Roman"/>
          <w:sz w:val="24"/>
          <w:szCs w:val="24"/>
        </w:rPr>
        <w:tab/>
      </w:r>
      <w:r w:rsidR="00D64392" w:rsidRPr="00DF22D4">
        <w:rPr>
          <w:rFonts w:ascii="Times New Roman" w:hAnsi="Times New Roman" w:cs="Times New Roman"/>
          <w:sz w:val="24"/>
          <w:szCs w:val="24"/>
        </w:rPr>
        <w:t xml:space="preserve">RBC determined fair value by incorporating all factors that market participants would consider in setting a price, including commonly accepted valuation approaches. </w:t>
      </w:r>
      <w:r w:rsidRPr="00DF22D4">
        <w:rPr>
          <w:rFonts w:ascii="Times New Roman" w:hAnsi="Times New Roman" w:cs="Times New Roman"/>
          <w:sz w:val="24"/>
          <w:szCs w:val="24"/>
        </w:rPr>
        <w:t>RBC employ</w:t>
      </w:r>
      <w:r w:rsidR="00747C0C" w:rsidRPr="00DF22D4">
        <w:rPr>
          <w:rFonts w:ascii="Times New Roman" w:hAnsi="Times New Roman" w:cs="Times New Roman"/>
          <w:sz w:val="24"/>
          <w:szCs w:val="24"/>
        </w:rPr>
        <w:t>ed</w:t>
      </w:r>
      <w:r w:rsidRPr="00DF22D4">
        <w:rPr>
          <w:rFonts w:ascii="Times New Roman" w:hAnsi="Times New Roman" w:cs="Times New Roman"/>
          <w:sz w:val="24"/>
          <w:szCs w:val="24"/>
        </w:rPr>
        <w:t xml:space="preserve"> a risk-based approach to property valuation. Pro</w:t>
      </w:r>
      <w:r w:rsidR="00C77DA9" w:rsidRPr="00DF22D4">
        <w:rPr>
          <w:rFonts w:ascii="Times New Roman" w:hAnsi="Times New Roman" w:cs="Times New Roman"/>
          <w:sz w:val="24"/>
          <w:szCs w:val="24"/>
        </w:rPr>
        <w:t xml:space="preserve">perty valuation methods include automated valuation models (AVM) and appraisals. An AVM is a tool that estimates the value of a property by reference to market data including sales of comparable properties and price trends specific to the Metropolitan Statistical Area in which the property being valued is located. Using a risk-based approach, RBC also employ appraisals which can include drive-by or full on-site appraisals </w:t>
      </w:r>
      <w:sdt>
        <w:sdtPr>
          <w:rPr>
            <w:rFonts w:ascii="Times New Roman" w:hAnsi="Times New Roman" w:cs="Times New Roman"/>
            <w:sz w:val="24"/>
            <w:szCs w:val="24"/>
          </w:rPr>
          <w:id w:val="993610894"/>
          <w:citation/>
        </w:sdtPr>
        <w:sdtContent>
          <w:r w:rsidR="00C77DA9" w:rsidRPr="00DF22D4">
            <w:rPr>
              <w:rFonts w:ascii="Times New Roman" w:hAnsi="Times New Roman" w:cs="Times New Roman"/>
              <w:sz w:val="24"/>
              <w:szCs w:val="24"/>
            </w:rPr>
            <w:fldChar w:fldCharType="begin"/>
          </w:r>
          <w:r w:rsidR="008A1619" w:rsidRPr="00DF22D4">
            <w:rPr>
              <w:rFonts w:ascii="Times New Roman" w:hAnsi="Times New Roman" w:cs="Times New Roman"/>
              <w:sz w:val="24"/>
              <w:szCs w:val="24"/>
            </w:rPr>
            <w:instrText xml:space="preserve">CITATION RBC1 \p 66 \l 4105 </w:instrText>
          </w:r>
          <w:r w:rsidR="00C77DA9"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66)</w:t>
          </w:r>
          <w:r w:rsidR="00C77DA9" w:rsidRPr="00DF22D4">
            <w:rPr>
              <w:rFonts w:ascii="Times New Roman" w:hAnsi="Times New Roman" w:cs="Times New Roman"/>
              <w:sz w:val="24"/>
              <w:szCs w:val="24"/>
            </w:rPr>
            <w:fldChar w:fldCharType="end"/>
          </w:r>
        </w:sdtContent>
      </w:sdt>
      <w:r w:rsidR="00C77DA9" w:rsidRPr="00DF22D4">
        <w:rPr>
          <w:rFonts w:ascii="Times New Roman" w:hAnsi="Times New Roman" w:cs="Times New Roman"/>
          <w:sz w:val="24"/>
          <w:szCs w:val="24"/>
        </w:rPr>
        <w:t>.</w:t>
      </w:r>
    </w:p>
    <w:p w14:paraId="63237C69" w14:textId="75145ABD" w:rsidR="008C5118" w:rsidRPr="00DF22D4" w:rsidRDefault="008C5118" w:rsidP="00470F29">
      <w:pPr>
        <w:rPr>
          <w:rFonts w:ascii="Times New Roman" w:hAnsi="Times New Roman" w:cs="Times New Roman"/>
          <w:sz w:val="24"/>
          <w:szCs w:val="24"/>
        </w:rPr>
      </w:pPr>
      <w:r w:rsidRPr="00DF22D4">
        <w:rPr>
          <w:rFonts w:ascii="Times New Roman" w:hAnsi="Times New Roman" w:cs="Times New Roman"/>
          <w:sz w:val="24"/>
          <w:szCs w:val="24"/>
        </w:rPr>
        <w:tab/>
        <w:t xml:space="preserve">Depreciation or amortization was recorded principally on a straight-line basis over the estimated useful lives of the assets, which were 25 to 50 years for buildings, 3 to 10 years for computer equipment, and 5 to 10 years for furniture, </w:t>
      </w:r>
      <w:r w:rsidR="00F73AD4" w:rsidRPr="00DF22D4">
        <w:rPr>
          <w:rFonts w:ascii="Times New Roman" w:hAnsi="Times New Roman" w:cs="Times New Roman"/>
          <w:sz w:val="24"/>
          <w:szCs w:val="24"/>
        </w:rPr>
        <w:t>fixtures,</w:t>
      </w:r>
      <w:r w:rsidRPr="00DF22D4">
        <w:rPr>
          <w:rFonts w:ascii="Times New Roman" w:hAnsi="Times New Roman" w:cs="Times New Roman"/>
          <w:sz w:val="24"/>
          <w:szCs w:val="24"/>
        </w:rPr>
        <w:t xml:space="preserve"> and other equipment. </w:t>
      </w:r>
      <w:r w:rsidR="00F73AD4" w:rsidRPr="00DF22D4">
        <w:rPr>
          <w:rFonts w:ascii="Times New Roman" w:hAnsi="Times New Roman" w:cs="Times New Roman"/>
          <w:sz w:val="24"/>
          <w:szCs w:val="24"/>
        </w:rPr>
        <w:t>The amortization period for leasehold improvements is the lesser of the useful life of the leasehold improvements or the lease term plus the first renewal period, if reasonably assured of renewal, up to a minimum of 10 years. Depreciation methods, useful lives, and residual values are reassessed at each reporting period and adjusted as appropriate</w:t>
      </w:r>
      <w:r w:rsidR="008A1619" w:rsidRPr="00DF22D4">
        <w:rPr>
          <w:rFonts w:ascii="Times New Roman" w:hAnsi="Times New Roman" w:cs="Times New Roman"/>
          <w:sz w:val="24"/>
          <w:szCs w:val="24"/>
        </w:rPr>
        <w:t xml:space="preserve"> </w:t>
      </w:r>
      <w:sdt>
        <w:sdtPr>
          <w:rPr>
            <w:rFonts w:ascii="Times New Roman" w:hAnsi="Times New Roman" w:cs="Times New Roman"/>
            <w:sz w:val="24"/>
            <w:szCs w:val="24"/>
          </w:rPr>
          <w:id w:val="-1104334612"/>
          <w:citation/>
        </w:sdtPr>
        <w:sdtContent>
          <w:r w:rsidR="008A1619" w:rsidRPr="00DF22D4">
            <w:rPr>
              <w:rFonts w:ascii="Times New Roman" w:hAnsi="Times New Roman" w:cs="Times New Roman"/>
              <w:sz w:val="24"/>
              <w:szCs w:val="24"/>
            </w:rPr>
            <w:fldChar w:fldCharType="begin"/>
          </w:r>
          <w:r w:rsidR="008A1619" w:rsidRPr="00DF22D4">
            <w:rPr>
              <w:rFonts w:ascii="Times New Roman" w:hAnsi="Times New Roman" w:cs="Times New Roman"/>
              <w:sz w:val="24"/>
              <w:szCs w:val="24"/>
            </w:rPr>
            <w:instrText xml:space="preserve">CITATION RBC1 \p 153 \l 4105 </w:instrText>
          </w:r>
          <w:r w:rsidR="008A1619"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153)</w:t>
          </w:r>
          <w:r w:rsidR="008A1619" w:rsidRPr="00DF22D4">
            <w:rPr>
              <w:rFonts w:ascii="Times New Roman" w:hAnsi="Times New Roman" w:cs="Times New Roman"/>
              <w:sz w:val="24"/>
              <w:szCs w:val="24"/>
            </w:rPr>
            <w:fldChar w:fldCharType="end"/>
          </w:r>
        </w:sdtContent>
      </w:sdt>
      <w:r w:rsidR="00F73AD4" w:rsidRPr="00DF22D4">
        <w:rPr>
          <w:rFonts w:ascii="Times New Roman" w:hAnsi="Times New Roman" w:cs="Times New Roman"/>
          <w:sz w:val="24"/>
          <w:szCs w:val="24"/>
        </w:rPr>
        <w:t>.</w:t>
      </w:r>
    </w:p>
    <w:p w14:paraId="1E6B14A2" w14:textId="362A89B1" w:rsidR="008E6280" w:rsidRPr="00DF22D4" w:rsidRDefault="00353E55" w:rsidP="00C516B4">
      <w:pPr>
        <w:rPr>
          <w:rFonts w:ascii="Times New Roman" w:hAnsi="Times New Roman" w:cs="Times New Roman"/>
          <w:b/>
          <w:bCs/>
          <w:sz w:val="24"/>
          <w:szCs w:val="24"/>
        </w:rPr>
      </w:pPr>
      <w:r w:rsidRPr="00DF22D4">
        <w:rPr>
          <w:rFonts w:ascii="Times New Roman" w:hAnsi="Times New Roman" w:cs="Times New Roman"/>
          <w:sz w:val="24"/>
          <w:szCs w:val="24"/>
        </w:rPr>
        <w:lastRenderedPageBreak/>
        <w:tab/>
        <w:t>There were two extraordinary developments such as the COVID-19 pandemic and the current low interest rate environment</w:t>
      </w:r>
      <w:sdt>
        <w:sdtPr>
          <w:rPr>
            <w:rFonts w:ascii="Times New Roman" w:hAnsi="Times New Roman" w:cs="Times New Roman"/>
            <w:sz w:val="24"/>
            <w:szCs w:val="24"/>
          </w:rPr>
          <w:id w:val="-880856481"/>
          <w:citation/>
        </w:sdtPr>
        <w:sdtContent>
          <w:r w:rsidRPr="00DF22D4">
            <w:rPr>
              <w:rFonts w:ascii="Times New Roman" w:hAnsi="Times New Roman" w:cs="Times New Roman"/>
              <w:sz w:val="24"/>
              <w:szCs w:val="24"/>
            </w:rPr>
            <w:fldChar w:fldCharType="begin"/>
          </w:r>
          <w:r w:rsidRPr="00DF22D4">
            <w:rPr>
              <w:rFonts w:ascii="Times New Roman" w:hAnsi="Times New Roman" w:cs="Times New Roman"/>
              <w:sz w:val="24"/>
              <w:szCs w:val="24"/>
            </w:rPr>
            <w:instrText xml:space="preserve">CITATION RBC1 \p 8 \l 4105 </w:instrText>
          </w:r>
          <w:r w:rsidRPr="00DF22D4">
            <w:rPr>
              <w:rFonts w:ascii="Times New Roman" w:hAnsi="Times New Roman" w:cs="Times New Roman"/>
              <w:sz w:val="24"/>
              <w:szCs w:val="24"/>
            </w:rPr>
            <w:fldChar w:fldCharType="separate"/>
          </w:r>
          <w:r w:rsidRPr="00DF22D4">
            <w:rPr>
              <w:rFonts w:ascii="Times New Roman" w:hAnsi="Times New Roman" w:cs="Times New Roman"/>
              <w:noProof/>
              <w:sz w:val="24"/>
              <w:szCs w:val="24"/>
            </w:rPr>
            <w:t xml:space="preserve"> (Royal Bank of Canada, 2021, p. 8)</w:t>
          </w:r>
          <w:r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r w:rsidR="0087346A" w:rsidRPr="00DF22D4">
        <w:rPr>
          <w:rFonts w:ascii="Times New Roman" w:hAnsi="Times New Roman" w:cs="Times New Roman"/>
          <w:sz w:val="24"/>
          <w:szCs w:val="24"/>
        </w:rPr>
        <w:t xml:space="preserve"> The condensed income statements of 2012 to 2021 contained an extraordinary item named “Net loss from discontinued operations”, only exist in 2012’s income statement but not in 2013 to 2021 statements</w:t>
      </w:r>
      <w:sdt>
        <w:sdtPr>
          <w:rPr>
            <w:rFonts w:ascii="Times New Roman" w:hAnsi="Times New Roman" w:cs="Times New Roman"/>
            <w:sz w:val="24"/>
            <w:szCs w:val="24"/>
          </w:rPr>
          <w:id w:val="-251822878"/>
          <w:citation/>
        </w:sdtPr>
        <w:sdtContent>
          <w:r w:rsidR="00C516B4" w:rsidRPr="00DF22D4">
            <w:rPr>
              <w:rFonts w:ascii="Times New Roman" w:hAnsi="Times New Roman" w:cs="Times New Roman"/>
              <w:sz w:val="24"/>
              <w:szCs w:val="24"/>
            </w:rPr>
            <w:fldChar w:fldCharType="begin"/>
          </w:r>
          <w:r w:rsidR="00C516B4" w:rsidRPr="00DF22D4">
            <w:rPr>
              <w:rFonts w:ascii="Times New Roman" w:hAnsi="Times New Roman" w:cs="Times New Roman"/>
              <w:sz w:val="24"/>
              <w:szCs w:val="24"/>
            </w:rPr>
            <w:instrText xml:space="preserve">CITATION RBC1 \p 228 \l 4105 </w:instrText>
          </w:r>
          <w:r w:rsidR="00C516B4" w:rsidRPr="00DF22D4">
            <w:rPr>
              <w:rFonts w:ascii="Times New Roman" w:hAnsi="Times New Roman" w:cs="Times New Roman"/>
              <w:sz w:val="24"/>
              <w:szCs w:val="24"/>
            </w:rPr>
            <w:fldChar w:fldCharType="separate"/>
          </w:r>
          <w:r w:rsidR="00C516B4" w:rsidRPr="00DF22D4">
            <w:rPr>
              <w:rFonts w:ascii="Times New Roman" w:hAnsi="Times New Roman" w:cs="Times New Roman"/>
              <w:noProof/>
              <w:sz w:val="24"/>
              <w:szCs w:val="24"/>
            </w:rPr>
            <w:t xml:space="preserve"> (Royal Bank of Canada, 2021, p. 228)</w:t>
          </w:r>
          <w:r w:rsidR="00C516B4" w:rsidRPr="00DF22D4">
            <w:rPr>
              <w:rFonts w:ascii="Times New Roman" w:hAnsi="Times New Roman" w:cs="Times New Roman"/>
              <w:sz w:val="24"/>
              <w:szCs w:val="24"/>
            </w:rPr>
            <w:fldChar w:fldCharType="end"/>
          </w:r>
        </w:sdtContent>
      </w:sdt>
      <w:r w:rsidR="0087346A" w:rsidRPr="00DF22D4">
        <w:rPr>
          <w:rFonts w:ascii="Times New Roman" w:hAnsi="Times New Roman" w:cs="Times New Roman"/>
          <w:sz w:val="24"/>
          <w:szCs w:val="24"/>
        </w:rPr>
        <w:t>.</w:t>
      </w:r>
    </w:p>
    <w:p w14:paraId="6B589EEB" w14:textId="0989EC54" w:rsidR="008E6280" w:rsidRPr="00DF22D4" w:rsidRDefault="008E6280" w:rsidP="00470F29">
      <w:pPr>
        <w:rPr>
          <w:rFonts w:ascii="Times New Roman" w:hAnsi="Times New Roman" w:cs="Times New Roman"/>
          <w:sz w:val="24"/>
          <w:szCs w:val="24"/>
        </w:rPr>
      </w:pPr>
      <w:r w:rsidRPr="00DF22D4">
        <w:rPr>
          <w:rFonts w:ascii="Times New Roman" w:hAnsi="Times New Roman" w:cs="Times New Roman"/>
          <w:sz w:val="24"/>
          <w:szCs w:val="24"/>
        </w:rPr>
        <w:tab/>
      </w:r>
      <w:r w:rsidR="00811C3F" w:rsidRPr="00DF22D4">
        <w:rPr>
          <w:rFonts w:ascii="Times New Roman" w:hAnsi="Times New Roman" w:cs="Times New Roman"/>
          <w:sz w:val="24"/>
          <w:szCs w:val="24"/>
        </w:rPr>
        <w:t>There were two types of Preferred Shares: First Preferred Shares and Second Preferred Shares. Both were without nominal or par value, issuable in series. The aggregate consideration for which all the First Preferred Shares and all the Second Preferred Shares that may be issued may not exceed $20 billion and $5 billion, respectively. And an unlimited number of common shares without nominal or par value may be issued</w:t>
      </w:r>
      <w:r w:rsidR="008A1619" w:rsidRPr="00DF22D4">
        <w:rPr>
          <w:rFonts w:ascii="Times New Roman" w:hAnsi="Times New Roman" w:cs="Times New Roman"/>
          <w:sz w:val="24"/>
          <w:szCs w:val="24"/>
        </w:rPr>
        <w:t xml:space="preserve"> </w:t>
      </w:r>
      <w:sdt>
        <w:sdtPr>
          <w:rPr>
            <w:rFonts w:ascii="Times New Roman" w:hAnsi="Times New Roman" w:cs="Times New Roman"/>
            <w:sz w:val="24"/>
            <w:szCs w:val="24"/>
          </w:rPr>
          <w:id w:val="365644421"/>
          <w:citation/>
        </w:sdtPr>
        <w:sdtContent>
          <w:r w:rsidR="008A1619" w:rsidRPr="00DF22D4">
            <w:rPr>
              <w:rFonts w:ascii="Times New Roman" w:hAnsi="Times New Roman" w:cs="Times New Roman"/>
              <w:sz w:val="24"/>
              <w:szCs w:val="24"/>
            </w:rPr>
            <w:fldChar w:fldCharType="begin"/>
          </w:r>
          <w:r w:rsidR="008A1619" w:rsidRPr="00DF22D4">
            <w:rPr>
              <w:rFonts w:ascii="Times New Roman" w:hAnsi="Times New Roman" w:cs="Times New Roman"/>
              <w:sz w:val="24"/>
              <w:szCs w:val="24"/>
            </w:rPr>
            <w:instrText xml:space="preserve">CITATION RBC1 \p 207-208 \l 4105 </w:instrText>
          </w:r>
          <w:r w:rsidR="008A1619"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pp. 207-208)</w:t>
          </w:r>
          <w:r w:rsidR="008A1619" w:rsidRPr="00DF22D4">
            <w:rPr>
              <w:rFonts w:ascii="Times New Roman" w:hAnsi="Times New Roman" w:cs="Times New Roman"/>
              <w:sz w:val="24"/>
              <w:szCs w:val="24"/>
            </w:rPr>
            <w:fldChar w:fldCharType="end"/>
          </w:r>
        </w:sdtContent>
      </w:sdt>
      <w:r w:rsidR="00811C3F" w:rsidRPr="00DF22D4">
        <w:rPr>
          <w:rFonts w:ascii="Times New Roman" w:hAnsi="Times New Roman" w:cs="Times New Roman"/>
          <w:sz w:val="24"/>
          <w:szCs w:val="24"/>
        </w:rPr>
        <w:t>.</w:t>
      </w:r>
    </w:p>
    <w:p w14:paraId="1A4FDDF4" w14:textId="68AAEFC1" w:rsidR="00326E28" w:rsidRPr="00DF22D4" w:rsidRDefault="009447EE" w:rsidP="009447EE">
      <w:pPr>
        <w:rPr>
          <w:rFonts w:ascii="Times New Roman" w:hAnsi="Times New Roman" w:cs="Times New Roman"/>
          <w:sz w:val="24"/>
          <w:szCs w:val="24"/>
        </w:rPr>
      </w:pPr>
      <w:r w:rsidRPr="00DF22D4">
        <w:rPr>
          <w:rFonts w:ascii="Times New Roman" w:hAnsi="Times New Roman" w:cs="Times New Roman"/>
          <w:sz w:val="24"/>
          <w:szCs w:val="24"/>
        </w:rPr>
        <w:tab/>
      </w:r>
      <w:r w:rsidR="008A1F82" w:rsidRPr="00DF22D4">
        <w:rPr>
          <w:rFonts w:ascii="Times New Roman" w:hAnsi="Times New Roman" w:cs="Times New Roman"/>
          <w:sz w:val="24"/>
          <w:szCs w:val="24"/>
        </w:rPr>
        <w:t>Overall RBC did have a successful fiscal 2021 according to the 2021 annual report</w:t>
      </w:r>
      <w:r w:rsidR="007111DF" w:rsidRPr="00DF22D4">
        <w:rPr>
          <w:rFonts w:ascii="Times New Roman" w:hAnsi="Times New Roman" w:cs="Times New Roman"/>
        </w:rPr>
        <w:t xml:space="preserve"> compared to 2020 and previous years</w:t>
      </w:r>
      <w:r w:rsidR="008A1F82" w:rsidRPr="00DF22D4">
        <w:rPr>
          <w:rFonts w:ascii="Times New Roman" w:hAnsi="Times New Roman" w:cs="Times New Roman"/>
          <w:sz w:val="24"/>
          <w:szCs w:val="24"/>
        </w:rPr>
        <w:t xml:space="preserve">. </w:t>
      </w:r>
      <w:r w:rsidR="00326E28" w:rsidRPr="00DF22D4">
        <w:rPr>
          <w:rFonts w:ascii="Times New Roman" w:hAnsi="Times New Roman" w:cs="Times New Roman"/>
          <w:sz w:val="24"/>
          <w:szCs w:val="24"/>
        </w:rPr>
        <w:t>During the year, RBC generated earnings of $16.1 billion and a</w:t>
      </w:r>
      <w:r w:rsidR="000057F7" w:rsidRPr="00DF22D4">
        <w:rPr>
          <w:rFonts w:ascii="Times New Roman" w:hAnsi="Times New Roman" w:cs="Times New Roman"/>
          <w:sz w:val="24"/>
          <w:szCs w:val="24"/>
        </w:rPr>
        <w:t xml:space="preserve"> return on equity (</w:t>
      </w:r>
      <w:r w:rsidR="00326E28" w:rsidRPr="00DF22D4">
        <w:rPr>
          <w:rFonts w:ascii="Times New Roman" w:hAnsi="Times New Roman" w:cs="Times New Roman"/>
          <w:sz w:val="24"/>
          <w:szCs w:val="24"/>
        </w:rPr>
        <w:t>ROE</w:t>
      </w:r>
      <w:r w:rsidR="000057F7" w:rsidRPr="00DF22D4">
        <w:rPr>
          <w:rFonts w:ascii="Times New Roman" w:hAnsi="Times New Roman" w:cs="Times New Roman"/>
          <w:sz w:val="24"/>
          <w:szCs w:val="24"/>
        </w:rPr>
        <w:t>)</w:t>
      </w:r>
      <w:r w:rsidR="00326E28" w:rsidRPr="00DF22D4">
        <w:rPr>
          <w:rFonts w:ascii="Times New Roman" w:hAnsi="Times New Roman" w:cs="Times New Roman"/>
          <w:sz w:val="24"/>
          <w:szCs w:val="24"/>
        </w:rPr>
        <w:t xml:space="preserve"> of 18.6%. The CET1 ratio stood at 13.7% at year-end, maintaining a strong capital base. Earnings per share grew by 41%, reflecting strong underlying business growth and on improving credit environment, and RBC delivered $6.2 billion in dividends to its common shareholders. In terms of Total Shareholder Return, RBC outperformed its global peer group over the three- and five-year periods </w:t>
      </w:r>
      <w:sdt>
        <w:sdtPr>
          <w:rPr>
            <w:rFonts w:ascii="Times New Roman" w:hAnsi="Times New Roman" w:cs="Times New Roman"/>
            <w:sz w:val="24"/>
            <w:szCs w:val="24"/>
          </w:rPr>
          <w:id w:val="-1054773121"/>
          <w:citation/>
        </w:sdtPr>
        <w:sdtContent>
          <w:r w:rsidR="00326E28" w:rsidRPr="00DF22D4">
            <w:rPr>
              <w:rFonts w:ascii="Times New Roman" w:hAnsi="Times New Roman" w:cs="Times New Roman"/>
              <w:sz w:val="24"/>
              <w:szCs w:val="24"/>
            </w:rPr>
            <w:fldChar w:fldCharType="begin"/>
          </w:r>
          <w:r w:rsidR="00326E28" w:rsidRPr="00DF22D4">
            <w:rPr>
              <w:rFonts w:ascii="Times New Roman" w:hAnsi="Times New Roman" w:cs="Times New Roman"/>
              <w:sz w:val="24"/>
              <w:szCs w:val="24"/>
            </w:rPr>
            <w:instrText xml:space="preserve">CITATION RBC1 \p 11 \l 4105 </w:instrText>
          </w:r>
          <w:r w:rsidR="00326E28"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11)</w:t>
          </w:r>
          <w:r w:rsidR="00326E28" w:rsidRPr="00DF22D4">
            <w:rPr>
              <w:rFonts w:ascii="Times New Roman" w:hAnsi="Times New Roman" w:cs="Times New Roman"/>
              <w:sz w:val="24"/>
              <w:szCs w:val="24"/>
            </w:rPr>
            <w:fldChar w:fldCharType="end"/>
          </w:r>
        </w:sdtContent>
      </w:sdt>
      <w:r w:rsidR="00326E28" w:rsidRPr="00DF22D4">
        <w:rPr>
          <w:rFonts w:ascii="Times New Roman" w:hAnsi="Times New Roman" w:cs="Times New Roman"/>
          <w:sz w:val="24"/>
          <w:szCs w:val="24"/>
        </w:rPr>
        <w:t>.</w:t>
      </w:r>
    </w:p>
    <w:p w14:paraId="50EF4744" w14:textId="1F23ACA5" w:rsidR="00C4290C" w:rsidRPr="00DF22D4" w:rsidRDefault="009447EE" w:rsidP="00326E28">
      <w:pPr>
        <w:ind w:firstLine="720"/>
        <w:rPr>
          <w:rFonts w:ascii="Times New Roman" w:hAnsi="Times New Roman" w:cs="Times New Roman"/>
          <w:b/>
          <w:bCs/>
          <w:sz w:val="24"/>
          <w:szCs w:val="24"/>
        </w:rPr>
      </w:pPr>
      <w:r w:rsidRPr="00DF22D4">
        <w:rPr>
          <w:rFonts w:ascii="Times New Roman" w:hAnsi="Times New Roman" w:cs="Times New Roman"/>
          <w:sz w:val="24"/>
          <w:szCs w:val="24"/>
        </w:rPr>
        <w:t xml:space="preserve">“2021 was another year defined by the pandemic and it presented both challenges and opportunities for RBC and those we serve in ways we couldn’t have predicted as the year began.” As </w:t>
      </w:r>
      <w:r w:rsidR="00895172" w:rsidRPr="00DF22D4">
        <w:rPr>
          <w:rFonts w:ascii="Times New Roman" w:hAnsi="Times New Roman" w:cs="Times New Roman"/>
          <w:sz w:val="24"/>
          <w:szCs w:val="24"/>
        </w:rPr>
        <w:t>written by the CEO of RBC, David McKay, the pandemic influenced RBC in both positive and negative ways. The successive waves of the virus were devastating in some regions and continued to disrupt lives and livelihoods, and rising cases coupled with an uneven vaccination rollout led to significant market volatility and uncertainty for businesses and consumers</w:t>
      </w:r>
      <w:r w:rsidR="008A1F82" w:rsidRPr="00DF22D4">
        <w:rPr>
          <w:rFonts w:ascii="Times New Roman" w:hAnsi="Times New Roman" w:cs="Times New Roman"/>
          <w:sz w:val="24"/>
          <w:szCs w:val="24"/>
        </w:rPr>
        <w:t>, but also, the society and economies showed incredible resilience, backed by significant financial support from governments – facilitated by financial institutions, including RBC</w:t>
      </w:r>
      <w:r w:rsidR="00895172" w:rsidRPr="00DF22D4">
        <w:rPr>
          <w:rFonts w:ascii="Times New Roman" w:hAnsi="Times New Roman" w:cs="Times New Roman"/>
          <w:sz w:val="24"/>
          <w:szCs w:val="24"/>
        </w:rPr>
        <w:t xml:space="preserve"> </w:t>
      </w:r>
      <w:sdt>
        <w:sdtPr>
          <w:rPr>
            <w:rFonts w:ascii="Times New Roman" w:hAnsi="Times New Roman" w:cs="Times New Roman"/>
            <w:sz w:val="24"/>
            <w:szCs w:val="24"/>
          </w:rPr>
          <w:id w:val="-740106035"/>
          <w:citation/>
        </w:sdtPr>
        <w:sdtContent>
          <w:r w:rsidR="00895172" w:rsidRPr="00DF22D4">
            <w:rPr>
              <w:rFonts w:ascii="Times New Roman" w:hAnsi="Times New Roman" w:cs="Times New Roman"/>
              <w:sz w:val="24"/>
              <w:szCs w:val="24"/>
            </w:rPr>
            <w:fldChar w:fldCharType="begin"/>
          </w:r>
          <w:r w:rsidR="00895172" w:rsidRPr="00DF22D4">
            <w:rPr>
              <w:rFonts w:ascii="Times New Roman" w:hAnsi="Times New Roman" w:cs="Times New Roman"/>
              <w:sz w:val="24"/>
              <w:szCs w:val="24"/>
            </w:rPr>
            <w:instrText xml:space="preserve">CITATION RBC1 \p 9 \l 4105 </w:instrText>
          </w:r>
          <w:r w:rsidR="00895172"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9)</w:t>
          </w:r>
          <w:r w:rsidR="00895172" w:rsidRPr="00DF22D4">
            <w:rPr>
              <w:rFonts w:ascii="Times New Roman" w:hAnsi="Times New Roman" w:cs="Times New Roman"/>
              <w:sz w:val="24"/>
              <w:szCs w:val="24"/>
            </w:rPr>
            <w:fldChar w:fldCharType="end"/>
          </w:r>
        </w:sdtContent>
      </w:sdt>
      <w:r w:rsidR="00895172" w:rsidRPr="00DF22D4">
        <w:rPr>
          <w:rFonts w:ascii="Times New Roman" w:hAnsi="Times New Roman" w:cs="Times New Roman"/>
          <w:sz w:val="24"/>
          <w:szCs w:val="24"/>
        </w:rPr>
        <w:t>.</w:t>
      </w:r>
    </w:p>
    <w:p w14:paraId="09D93381" w14:textId="4C1D362D" w:rsidR="00CC6D92" w:rsidRPr="00DF22D4" w:rsidRDefault="009D1BC6" w:rsidP="00470F29">
      <w:pPr>
        <w:rPr>
          <w:rFonts w:ascii="Times New Roman" w:hAnsi="Times New Roman" w:cs="Times New Roman"/>
          <w:sz w:val="24"/>
          <w:szCs w:val="24"/>
        </w:rPr>
      </w:pPr>
      <w:r w:rsidRPr="00DF22D4">
        <w:rPr>
          <w:rFonts w:ascii="Times New Roman" w:hAnsi="Times New Roman" w:cs="Times New Roman"/>
          <w:sz w:val="24"/>
          <w:szCs w:val="24"/>
        </w:rPr>
        <w:tab/>
        <w:t>David McKay also outlined the “outlook” of RBC. The outlook of RBC for the future was bolstered by the combination of several strengths RBC possesses. Firstly, RBC had a strong balance sheet, capital and liquidity positions, and its risk and cost discipline as foundational pillars. Secondly,</w:t>
      </w:r>
      <w:r w:rsidR="00912EFB" w:rsidRPr="00DF22D4">
        <w:rPr>
          <w:rFonts w:ascii="Times New Roman" w:hAnsi="Times New Roman" w:cs="Times New Roman"/>
          <w:sz w:val="24"/>
          <w:szCs w:val="24"/>
        </w:rPr>
        <w:t xml:space="preserve"> the size, scale and reach </w:t>
      </w:r>
      <w:r w:rsidR="009B34D5" w:rsidRPr="00DF22D4">
        <w:rPr>
          <w:rFonts w:ascii="Times New Roman" w:hAnsi="Times New Roman" w:cs="Times New Roman"/>
          <w:sz w:val="24"/>
          <w:szCs w:val="24"/>
        </w:rPr>
        <w:t>of its diversified business model and market-leading franchises had significant momentum and focused growth strategies. Its businesses were supported by more than $4 billion</w:t>
      </w:r>
      <w:r w:rsidR="00CC6D92" w:rsidRPr="00DF22D4">
        <w:rPr>
          <w:rFonts w:ascii="Times New Roman" w:hAnsi="Times New Roman" w:cs="Times New Roman"/>
          <w:sz w:val="24"/>
          <w:szCs w:val="24"/>
        </w:rPr>
        <w:t xml:space="preserve"> in annual technology spend, its great people and investments in talent, backed by its world-class brand. </w:t>
      </w:r>
      <w:r w:rsidR="00623EE6" w:rsidRPr="00DF22D4">
        <w:rPr>
          <w:rFonts w:ascii="Times New Roman" w:hAnsi="Times New Roman" w:cs="Times New Roman"/>
          <w:sz w:val="24"/>
          <w:szCs w:val="24"/>
        </w:rPr>
        <w:tab/>
      </w:r>
      <w:r w:rsidR="00CC6D92" w:rsidRPr="00DF22D4">
        <w:rPr>
          <w:rFonts w:ascii="Times New Roman" w:hAnsi="Times New Roman" w:cs="Times New Roman"/>
          <w:sz w:val="24"/>
          <w:szCs w:val="24"/>
        </w:rPr>
        <w:t>Thirdly, RBC had also been anticipating a more open market with disruptive technology platforms for some time and had been actively preparing for these competitive forces by continuously evolving its client value proposition and investing in talent and technology. These strengths enable</w:t>
      </w:r>
      <w:r w:rsidR="009E33BC" w:rsidRPr="00DF22D4">
        <w:rPr>
          <w:rFonts w:ascii="Times New Roman" w:hAnsi="Times New Roman" w:cs="Times New Roman"/>
          <w:sz w:val="24"/>
          <w:szCs w:val="24"/>
        </w:rPr>
        <w:t xml:space="preserve">d differentiation in its markets and reflected how RBC allocate capital in smart and balanced ways to manage the short-term context and build future growth horizons. RBC is also adapting for long-term success and executing by focusing on four key strategic priorities: creating a broader value equation for clients and extending RBC’s lead in Canada; accelerating growth in </w:t>
      </w:r>
      <w:r w:rsidR="009E33BC" w:rsidRPr="00DF22D4">
        <w:rPr>
          <w:rFonts w:ascii="Times New Roman" w:hAnsi="Times New Roman" w:cs="Times New Roman"/>
          <w:sz w:val="24"/>
          <w:szCs w:val="24"/>
        </w:rPr>
        <w:lastRenderedPageBreak/>
        <w:t xml:space="preserve">the U.S. – second home market of RBC; investing in talent and enhancing RBC’s brand as an employer of choice; and playing an active leadership role in accelerating the transition to net-zero emissions </w:t>
      </w:r>
      <w:sdt>
        <w:sdtPr>
          <w:rPr>
            <w:rFonts w:ascii="Times New Roman" w:hAnsi="Times New Roman" w:cs="Times New Roman"/>
            <w:sz w:val="24"/>
            <w:szCs w:val="24"/>
          </w:rPr>
          <w:id w:val="1278913316"/>
          <w:citation/>
        </w:sdtPr>
        <w:sdtContent>
          <w:r w:rsidR="009E33BC" w:rsidRPr="00DF22D4">
            <w:rPr>
              <w:rFonts w:ascii="Times New Roman" w:hAnsi="Times New Roman" w:cs="Times New Roman"/>
              <w:sz w:val="24"/>
              <w:szCs w:val="24"/>
            </w:rPr>
            <w:fldChar w:fldCharType="begin"/>
          </w:r>
          <w:r w:rsidR="009E33BC" w:rsidRPr="00DF22D4">
            <w:rPr>
              <w:rFonts w:ascii="Times New Roman" w:hAnsi="Times New Roman" w:cs="Times New Roman"/>
              <w:sz w:val="24"/>
              <w:szCs w:val="24"/>
            </w:rPr>
            <w:instrText xml:space="preserve">CITATION RBC1 \p 11 \l 4105 </w:instrText>
          </w:r>
          <w:r w:rsidR="009E33BC"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(Royal Bank of Canada, 2021, p. 11)</w:t>
          </w:r>
          <w:r w:rsidR="009E33BC" w:rsidRPr="00DF22D4">
            <w:rPr>
              <w:rFonts w:ascii="Times New Roman" w:hAnsi="Times New Roman" w:cs="Times New Roman"/>
              <w:sz w:val="24"/>
              <w:szCs w:val="24"/>
            </w:rPr>
            <w:fldChar w:fldCharType="end"/>
          </w:r>
        </w:sdtContent>
      </w:sdt>
      <w:r w:rsidR="009E33BC" w:rsidRPr="00DF22D4">
        <w:rPr>
          <w:rFonts w:ascii="Times New Roman" w:hAnsi="Times New Roman" w:cs="Times New Roman"/>
          <w:sz w:val="24"/>
          <w:szCs w:val="24"/>
        </w:rPr>
        <w:t>.</w:t>
      </w:r>
    </w:p>
    <w:p w14:paraId="17B43ECE" w14:textId="77777777" w:rsidR="003B62A6" w:rsidRPr="00DF22D4" w:rsidRDefault="003B62A6" w:rsidP="00470F29">
      <w:pPr>
        <w:rPr>
          <w:rFonts w:ascii="Times New Roman" w:hAnsi="Times New Roman" w:cs="Times New Roman"/>
          <w:sz w:val="24"/>
          <w:szCs w:val="24"/>
        </w:rPr>
      </w:pPr>
    </w:p>
    <w:p w14:paraId="563EFE04" w14:textId="6570955B" w:rsidR="002F4127" w:rsidRPr="00DF22D4" w:rsidRDefault="0054444C" w:rsidP="00A03FC1">
      <w:pPr>
        <w:pStyle w:val="Heading2"/>
        <w:jc w:val="center"/>
        <w:rPr>
          <w:rFonts w:ascii="Times New Roman" w:hAnsi="Times New Roman" w:cs="Times New Roman"/>
          <w:sz w:val="28"/>
          <w:szCs w:val="28"/>
        </w:rPr>
      </w:pPr>
      <w:bookmarkStart w:id="2" w:name="_Toc109731575"/>
      <w:r w:rsidRPr="00DF22D4">
        <w:rPr>
          <w:rFonts w:ascii="Times New Roman" w:hAnsi="Times New Roman" w:cs="Times New Roman"/>
          <w:sz w:val="28"/>
          <w:szCs w:val="28"/>
        </w:rPr>
        <w:t>Bank of Nova Scotia</w:t>
      </w:r>
      <w:bookmarkEnd w:id="2"/>
    </w:p>
    <w:p w14:paraId="680AB791" w14:textId="54667E2B" w:rsidR="00711B34" w:rsidRPr="00DF22D4" w:rsidRDefault="002F4127" w:rsidP="00854CB8">
      <w:pPr>
        <w:jc w:val="left"/>
        <w:rPr>
          <w:rFonts w:ascii="Times New Roman" w:hAnsi="Times New Roman" w:cs="Times New Roman"/>
          <w:sz w:val="24"/>
          <w:szCs w:val="24"/>
        </w:rPr>
      </w:pPr>
      <w:r w:rsidRPr="00DF22D4">
        <w:rPr>
          <w:rFonts w:ascii="Times New Roman" w:hAnsi="Times New Roman" w:cs="Times New Roman"/>
          <w:sz w:val="24"/>
          <w:szCs w:val="24"/>
        </w:rPr>
        <w:tab/>
        <w:t xml:space="preserve">The Bank of Nova Scotia, commonly referred to as “Scotiabank,” </w:t>
      </w:r>
      <w:r w:rsidR="00711B34" w:rsidRPr="00DF22D4">
        <w:rPr>
          <w:rFonts w:ascii="Times New Roman" w:hAnsi="Times New Roman" w:cs="Times New Roman"/>
          <w:sz w:val="24"/>
          <w:szCs w:val="24"/>
        </w:rPr>
        <w:t xml:space="preserve">Canada’s third largest chartered bank, </w:t>
      </w:r>
      <w:r w:rsidRPr="00DF22D4">
        <w:rPr>
          <w:rFonts w:ascii="Times New Roman" w:hAnsi="Times New Roman" w:cs="Times New Roman"/>
          <w:sz w:val="24"/>
          <w:szCs w:val="24"/>
        </w:rPr>
        <w:t xml:space="preserve">is </w:t>
      </w:r>
      <w:r w:rsidR="009326E8" w:rsidRPr="00DF22D4">
        <w:rPr>
          <w:rFonts w:ascii="Times New Roman" w:hAnsi="Times New Roman" w:cs="Times New Roman"/>
          <w:sz w:val="24"/>
          <w:szCs w:val="24"/>
        </w:rPr>
        <w:t>a multinational Canadian financial and banking services company based in Toronto, Ontario</w:t>
      </w:r>
      <w:r w:rsidRPr="00DF22D4">
        <w:rPr>
          <w:rFonts w:ascii="Times New Roman" w:hAnsi="Times New Roman" w:cs="Times New Roman"/>
          <w:sz w:val="24"/>
          <w:szCs w:val="24"/>
        </w:rPr>
        <w:t>. Incorporated in 1832</w:t>
      </w:r>
      <w:r w:rsidR="00F633F3" w:rsidRPr="00DF22D4">
        <w:rPr>
          <w:rFonts w:ascii="Times New Roman" w:hAnsi="Times New Roman" w:cs="Times New Roman"/>
          <w:sz w:val="24"/>
          <w:szCs w:val="24"/>
        </w:rPr>
        <w:t>, has existed for 190 years</w:t>
      </w:r>
      <w:sdt>
        <w:sdtPr>
          <w:rPr>
            <w:rFonts w:ascii="Times New Roman" w:hAnsi="Times New Roman" w:cs="Times New Roman"/>
            <w:sz w:val="24"/>
            <w:szCs w:val="24"/>
          </w:rPr>
          <w:id w:val="-1033564552"/>
          <w:citation/>
        </w:sdtPr>
        <w:sdtContent>
          <w:r w:rsidR="005652C2" w:rsidRPr="00DF22D4">
            <w:rPr>
              <w:rFonts w:ascii="Times New Roman" w:hAnsi="Times New Roman" w:cs="Times New Roman"/>
              <w:sz w:val="24"/>
              <w:szCs w:val="24"/>
            </w:rPr>
            <w:fldChar w:fldCharType="begin"/>
          </w:r>
          <w:r w:rsidR="005652C2" w:rsidRPr="00DF22D4">
            <w:rPr>
              <w:rFonts w:ascii="Times New Roman" w:hAnsi="Times New Roman" w:cs="Times New Roman"/>
              <w:sz w:val="24"/>
              <w:szCs w:val="24"/>
            </w:rPr>
            <w:instrText xml:space="preserve"> CITATION Bon221 \l 4105 </w:instrText>
          </w:r>
          <w:r w:rsidR="005652C2" w:rsidRPr="00DF22D4">
            <w:rPr>
              <w:rFonts w:ascii="Times New Roman" w:hAnsi="Times New Roman" w:cs="Times New Roman"/>
              <w:sz w:val="24"/>
              <w:szCs w:val="24"/>
            </w:rPr>
            <w:fldChar w:fldCharType="separate"/>
          </w:r>
          <w:r w:rsidR="005652C2" w:rsidRPr="00DF22D4">
            <w:rPr>
              <w:rFonts w:ascii="Times New Roman" w:hAnsi="Times New Roman" w:cs="Times New Roman"/>
              <w:noProof/>
              <w:sz w:val="24"/>
              <w:szCs w:val="24"/>
            </w:rPr>
            <w:t xml:space="preserve"> (Bonham, Bank of Nova Scotia (Scotiabank), 2022)</w:t>
          </w:r>
          <w:r w:rsidR="005652C2" w:rsidRPr="00DF22D4">
            <w:rPr>
              <w:rFonts w:ascii="Times New Roman" w:hAnsi="Times New Roman" w:cs="Times New Roman"/>
              <w:sz w:val="24"/>
              <w:szCs w:val="24"/>
            </w:rPr>
            <w:fldChar w:fldCharType="end"/>
          </w:r>
        </w:sdtContent>
      </w:sdt>
      <w:r w:rsidR="005652C2" w:rsidRPr="00DF22D4">
        <w:rPr>
          <w:rFonts w:ascii="Times New Roman" w:hAnsi="Times New Roman" w:cs="Times New Roman"/>
          <w:sz w:val="24"/>
          <w:szCs w:val="24"/>
        </w:rPr>
        <w:t>.</w:t>
      </w:r>
      <w:r w:rsidR="001E6057" w:rsidRPr="00DF22D4">
        <w:rPr>
          <w:rFonts w:ascii="Times New Roman" w:hAnsi="Times New Roman" w:cs="Times New Roman"/>
          <w:sz w:val="24"/>
          <w:szCs w:val="24"/>
        </w:rPr>
        <w:t xml:space="preserve"> The TSX ticker symbol is TSE: BNS and its name per stock quotations</w:t>
      </w:r>
      <w:r w:rsidR="00876FBD" w:rsidRPr="00DF22D4">
        <w:rPr>
          <w:rFonts w:ascii="Times New Roman" w:hAnsi="Times New Roman" w:cs="Times New Roman"/>
          <w:sz w:val="24"/>
          <w:szCs w:val="24"/>
        </w:rPr>
        <w:t xml:space="preserve"> is Bank of Nova Scotia</w:t>
      </w:r>
      <w:r w:rsidR="001E6057" w:rsidRPr="00DF22D4">
        <w:rPr>
          <w:rFonts w:ascii="Times New Roman" w:hAnsi="Times New Roman" w:cs="Times New Roman"/>
          <w:sz w:val="24"/>
          <w:szCs w:val="24"/>
        </w:rPr>
        <w:t xml:space="preserve">. </w:t>
      </w:r>
      <w:r w:rsidR="00966F64" w:rsidRPr="00DF22D4">
        <w:rPr>
          <w:rFonts w:ascii="Times New Roman" w:hAnsi="Times New Roman" w:cs="Times New Roman"/>
          <w:sz w:val="24"/>
          <w:szCs w:val="24"/>
        </w:rPr>
        <w:t xml:space="preserve">Scotiabank had 89,488 employees at the fiscal 2021 end. </w:t>
      </w:r>
      <w:r w:rsidR="009326E8" w:rsidRPr="00DF22D4">
        <w:rPr>
          <w:rFonts w:ascii="Times New Roman" w:hAnsi="Times New Roman" w:cs="Times New Roman"/>
          <w:sz w:val="24"/>
          <w:szCs w:val="24"/>
        </w:rPr>
        <w:t>The head office of Scotiabank is at Toronto, and there are 2,518 Scotiabank’s branches and offices</w:t>
      </w:r>
      <w:r w:rsidR="00F22EEF" w:rsidRPr="00DF22D4">
        <w:rPr>
          <w:rFonts w:ascii="Times New Roman" w:hAnsi="Times New Roman" w:cs="Times New Roman"/>
          <w:sz w:val="24"/>
          <w:szCs w:val="24"/>
        </w:rPr>
        <w:t xml:space="preserve"> over the world</w:t>
      </w:r>
      <w:sdt>
        <w:sdtPr>
          <w:rPr>
            <w:rFonts w:ascii="Times New Roman" w:hAnsi="Times New Roman" w:cs="Times New Roman"/>
            <w:sz w:val="24"/>
            <w:szCs w:val="24"/>
          </w:rPr>
          <w:id w:val="-832292427"/>
          <w:citation/>
        </w:sdtPr>
        <w:sdtContent>
          <w:r w:rsidR="00711B34" w:rsidRPr="00DF22D4">
            <w:rPr>
              <w:rFonts w:ascii="Times New Roman" w:hAnsi="Times New Roman" w:cs="Times New Roman"/>
              <w:sz w:val="24"/>
              <w:szCs w:val="24"/>
            </w:rPr>
            <w:fldChar w:fldCharType="begin"/>
          </w:r>
          <w:r w:rsidR="00711B34" w:rsidRPr="00DF22D4">
            <w:rPr>
              <w:rFonts w:ascii="Times New Roman" w:hAnsi="Times New Roman" w:cs="Times New Roman"/>
              <w:sz w:val="24"/>
              <w:szCs w:val="24"/>
            </w:rPr>
            <w:instrText xml:space="preserve">CITATION Scotiabank \p 28 \l 4105 </w:instrText>
          </w:r>
          <w:r w:rsidR="00711B34" w:rsidRPr="00DF22D4">
            <w:rPr>
              <w:rFonts w:ascii="Times New Roman" w:hAnsi="Times New Roman" w:cs="Times New Roman"/>
              <w:sz w:val="24"/>
              <w:szCs w:val="24"/>
            </w:rPr>
            <w:fldChar w:fldCharType="separate"/>
          </w:r>
          <w:r w:rsidR="00711B34" w:rsidRPr="00DF22D4">
            <w:rPr>
              <w:rFonts w:ascii="Times New Roman" w:hAnsi="Times New Roman" w:cs="Times New Roman"/>
              <w:noProof/>
              <w:sz w:val="24"/>
              <w:szCs w:val="24"/>
            </w:rPr>
            <w:t xml:space="preserve"> (Scotiabank, 2021, p. 28)</w:t>
          </w:r>
          <w:r w:rsidR="00711B34" w:rsidRPr="00DF22D4">
            <w:rPr>
              <w:rFonts w:ascii="Times New Roman" w:hAnsi="Times New Roman" w:cs="Times New Roman"/>
              <w:sz w:val="24"/>
              <w:szCs w:val="24"/>
            </w:rPr>
            <w:fldChar w:fldCharType="end"/>
          </w:r>
        </w:sdtContent>
      </w:sdt>
      <w:r w:rsidR="009326E8" w:rsidRPr="00DF22D4">
        <w:rPr>
          <w:rFonts w:ascii="Times New Roman" w:hAnsi="Times New Roman" w:cs="Times New Roman"/>
          <w:sz w:val="24"/>
          <w:szCs w:val="24"/>
        </w:rPr>
        <w:t>.</w:t>
      </w:r>
      <w:r w:rsidR="006E0D6B" w:rsidRPr="00DF22D4">
        <w:rPr>
          <w:rFonts w:ascii="Times New Roman" w:hAnsi="Times New Roman" w:cs="Times New Roman"/>
          <w:sz w:val="24"/>
          <w:szCs w:val="24"/>
        </w:rPr>
        <w:t xml:space="preserve"> Scotiabank has established itself as Canada’s most international bank through extensive operations throughout Latin America, the Caribbean, Central </w:t>
      </w:r>
      <w:r w:rsidR="006D3954" w:rsidRPr="00DF22D4">
        <w:rPr>
          <w:rFonts w:ascii="Times New Roman" w:hAnsi="Times New Roman" w:cs="Times New Roman"/>
          <w:sz w:val="24"/>
          <w:szCs w:val="24"/>
        </w:rPr>
        <w:t>America,</w:t>
      </w:r>
      <w:r w:rsidR="006E0D6B" w:rsidRPr="00DF22D4">
        <w:rPr>
          <w:rFonts w:ascii="Times New Roman" w:hAnsi="Times New Roman" w:cs="Times New Roman"/>
          <w:sz w:val="24"/>
          <w:szCs w:val="24"/>
        </w:rPr>
        <w:t xml:space="preserve"> and parts of Asia. It is also known as “Canada’s gold bank” because of its dominant position in bullion trading</w:t>
      </w:r>
      <w:sdt>
        <w:sdtPr>
          <w:rPr>
            <w:rFonts w:ascii="Times New Roman" w:hAnsi="Times New Roman" w:cs="Times New Roman"/>
            <w:sz w:val="24"/>
            <w:szCs w:val="24"/>
          </w:rPr>
          <w:id w:val="-273934646"/>
          <w:citation/>
        </w:sdtPr>
        <w:sdtContent>
          <w:r w:rsidR="006E0D6B" w:rsidRPr="00DF22D4">
            <w:rPr>
              <w:rFonts w:ascii="Times New Roman" w:hAnsi="Times New Roman" w:cs="Times New Roman"/>
              <w:sz w:val="24"/>
              <w:szCs w:val="24"/>
            </w:rPr>
            <w:fldChar w:fldCharType="begin"/>
          </w:r>
          <w:r w:rsidR="006E0D6B" w:rsidRPr="00DF22D4">
            <w:rPr>
              <w:rFonts w:ascii="Times New Roman" w:hAnsi="Times New Roman" w:cs="Times New Roman"/>
              <w:sz w:val="24"/>
              <w:szCs w:val="24"/>
            </w:rPr>
            <w:instrText xml:space="preserve"> CITATION Bon221 \l 4105 </w:instrText>
          </w:r>
          <w:r w:rsidR="006E0D6B" w:rsidRPr="00DF22D4">
            <w:rPr>
              <w:rFonts w:ascii="Times New Roman" w:hAnsi="Times New Roman" w:cs="Times New Roman"/>
              <w:sz w:val="24"/>
              <w:szCs w:val="24"/>
            </w:rPr>
            <w:fldChar w:fldCharType="separate"/>
          </w:r>
          <w:r w:rsidR="006E0D6B" w:rsidRPr="00DF22D4">
            <w:rPr>
              <w:rFonts w:ascii="Times New Roman" w:hAnsi="Times New Roman" w:cs="Times New Roman"/>
              <w:noProof/>
              <w:sz w:val="24"/>
              <w:szCs w:val="24"/>
            </w:rPr>
            <w:t xml:space="preserve"> (Bonham, Bank of Nova Scotia (Scotiabank), 2022)</w:t>
          </w:r>
          <w:r w:rsidR="006E0D6B" w:rsidRPr="00DF22D4">
            <w:rPr>
              <w:rFonts w:ascii="Times New Roman" w:hAnsi="Times New Roman" w:cs="Times New Roman"/>
              <w:sz w:val="24"/>
              <w:szCs w:val="24"/>
            </w:rPr>
            <w:fldChar w:fldCharType="end"/>
          </w:r>
        </w:sdtContent>
      </w:sdt>
      <w:r w:rsidR="006E0D6B" w:rsidRPr="00DF22D4">
        <w:rPr>
          <w:rFonts w:ascii="Times New Roman" w:hAnsi="Times New Roman" w:cs="Times New Roman"/>
          <w:sz w:val="24"/>
          <w:szCs w:val="24"/>
        </w:rPr>
        <w:t>.</w:t>
      </w:r>
      <w:r w:rsidR="00585FC9" w:rsidRPr="00DF22D4">
        <w:rPr>
          <w:rFonts w:ascii="Times New Roman" w:hAnsi="Times New Roman" w:cs="Times New Roman"/>
          <w:sz w:val="24"/>
          <w:szCs w:val="24"/>
        </w:rPr>
        <w:t xml:space="preserve"> </w:t>
      </w:r>
    </w:p>
    <w:p w14:paraId="6F25E193" w14:textId="4B54824D" w:rsidR="00585FC9" w:rsidRPr="00DF22D4" w:rsidRDefault="00585FC9" w:rsidP="00854CB8">
      <w:pPr>
        <w:jc w:val="left"/>
        <w:rPr>
          <w:rFonts w:ascii="Times New Roman" w:hAnsi="Times New Roman" w:cs="Times New Roman"/>
          <w:sz w:val="24"/>
          <w:szCs w:val="24"/>
        </w:rPr>
      </w:pPr>
      <w:r w:rsidRPr="00DF22D4">
        <w:rPr>
          <w:rFonts w:ascii="Times New Roman" w:hAnsi="Times New Roman" w:cs="Times New Roman"/>
          <w:sz w:val="24"/>
          <w:szCs w:val="24"/>
        </w:rPr>
        <w:tab/>
        <w:t>Brian J. Porter is the president and the chief executive officer of Scotiabank</w:t>
      </w:r>
      <w:r w:rsidR="00A22C2E" w:rsidRPr="00DF22D4">
        <w:rPr>
          <w:rFonts w:ascii="Times New Roman" w:hAnsi="Times New Roman" w:cs="Times New Roman"/>
          <w:sz w:val="24"/>
          <w:szCs w:val="24"/>
        </w:rPr>
        <w:t xml:space="preserve"> </w:t>
      </w:r>
      <w:sdt>
        <w:sdtPr>
          <w:rPr>
            <w:rFonts w:ascii="Times New Roman" w:hAnsi="Times New Roman" w:cs="Times New Roman"/>
            <w:sz w:val="24"/>
            <w:szCs w:val="24"/>
          </w:rPr>
          <w:id w:val="-76520808"/>
          <w:citation/>
        </w:sdtPr>
        <w:sdtContent>
          <w:r w:rsidR="00A22C2E" w:rsidRPr="00DF22D4">
            <w:rPr>
              <w:rFonts w:ascii="Times New Roman" w:hAnsi="Times New Roman" w:cs="Times New Roman"/>
              <w:sz w:val="24"/>
              <w:szCs w:val="24"/>
            </w:rPr>
            <w:fldChar w:fldCharType="begin"/>
          </w:r>
          <w:r w:rsidR="00A22C2E" w:rsidRPr="00DF22D4">
            <w:rPr>
              <w:rFonts w:ascii="Times New Roman" w:hAnsi="Times New Roman" w:cs="Times New Roman"/>
              <w:sz w:val="24"/>
              <w:szCs w:val="24"/>
            </w:rPr>
            <w:instrText xml:space="preserve">CITATION Scotiabank \p 3 \l 4105 </w:instrText>
          </w:r>
          <w:r w:rsidR="00A22C2E" w:rsidRPr="00DF22D4">
            <w:rPr>
              <w:rFonts w:ascii="Times New Roman" w:hAnsi="Times New Roman" w:cs="Times New Roman"/>
              <w:sz w:val="24"/>
              <w:szCs w:val="24"/>
            </w:rPr>
            <w:fldChar w:fldCharType="separate"/>
          </w:r>
          <w:r w:rsidR="00A22C2E" w:rsidRPr="00DF22D4">
            <w:rPr>
              <w:rFonts w:ascii="Times New Roman" w:hAnsi="Times New Roman" w:cs="Times New Roman"/>
              <w:noProof/>
              <w:sz w:val="24"/>
              <w:szCs w:val="24"/>
            </w:rPr>
            <w:t>(Scotiabank, 2021, p. 3)</w:t>
          </w:r>
          <w:r w:rsidR="00A22C2E"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r w:rsidR="00A22C2E" w:rsidRPr="00DF22D4">
        <w:rPr>
          <w:rFonts w:ascii="Times New Roman" w:hAnsi="Times New Roman" w:cs="Times New Roman"/>
          <w:sz w:val="24"/>
          <w:szCs w:val="24"/>
        </w:rPr>
        <w:t xml:space="preserve"> Same as RBC, the fiscal year of Scotiabank was also ended October 31, 2021, which means Scotiabank’s 2021 annual report has the same fiscal period as RBC’s 2021 annual report which is from October 31, 2020, to October 31, 2021</w:t>
      </w:r>
      <w:sdt>
        <w:sdtPr>
          <w:rPr>
            <w:rFonts w:ascii="Times New Roman" w:hAnsi="Times New Roman" w:cs="Times New Roman"/>
            <w:sz w:val="24"/>
            <w:szCs w:val="24"/>
          </w:rPr>
          <w:id w:val="1462000449"/>
          <w:citation/>
        </w:sdtPr>
        <w:sdtContent>
          <w:r w:rsidR="00A22C2E" w:rsidRPr="00DF22D4">
            <w:rPr>
              <w:rFonts w:ascii="Times New Roman" w:hAnsi="Times New Roman" w:cs="Times New Roman"/>
              <w:sz w:val="24"/>
              <w:szCs w:val="24"/>
            </w:rPr>
            <w:fldChar w:fldCharType="begin"/>
          </w:r>
          <w:r w:rsidR="00A22C2E" w:rsidRPr="00DF22D4">
            <w:rPr>
              <w:rFonts w:ascii="Times New Roman" w:hAnsi="Times New Roman" w:cs="Times New Roman"/>
              <w:sz w:val="24"/>
              <w:szCs w:val="24"/>
            </w:rPr>
            <w:instrText xml:space="preserve">CITATION Scotiabank \p 22 \l 4105 </w:instrText>
          </w:r>
          <w:r w:rsidR="00A22C2E" w:rsidRPr="00DF22D4">
            <w:rPr>
              <w:rFonts w:ascii="Times New Roman" w:hAnsi="Times New Roman" w:cs="Times New Roman"/>
              <w:sz w:val="24"/>
              <w:szCs w:val="24"/>
            </w:rPr>
            <w:fldChar w:fldCharType="separate"/>
          </w:r>
          <w:r w:rsidR="00A22C2E" w:rsidRPr="00DF22D4">
            <w:rPr>
              <w:rFonts w:ascii="Times New Roman" w:hAnsi="Times New Roman" w:cs="Times New Roman"/>
              <w:noProof/>
              <w:sz w:val="24"/>
              <w:szCs w:val="24"/>
            </w:rPr>
            <w:t xml:space="preserve"> (Scotiabank, 2021, p. 22)</w:t>
          </w:r>
          <w:r w:rsidR="00A22C2E" w:rsidRPr="00DF22D4">
            <w:rPr>
              <w:rFonts w:ascii="Times New Roman" w:hAnsi="Times New Roman" w:cs="Times New Roman"/>
              <w:sz w:val="24"/>
              <w:szCs w:val="24"/>
            </w:rPr>
            <w:fldChar w:fldCharType="end"/>
          </w:r>
        </w:sdtContent>
      </w:sdt>
      <w:r w:rsidR="00A22C2E" w:rsidRPr="00DF22D4">
        <w:rPr>
          <w:rFonts w:ascii="Times New Roman" w:hAnsi="Times New Roman" w:cs="Times New Roman"/>
          <w:sz w:val="24"/>
          <w:szCs w:val="24"/>
        </w:rPr>
        <w:t xml:space="preserve">. </w:t>
      </w:r>
    </w:p>
    <w:p w14:paraId="60ADF932" w14:textId="18A448E4" w:rsidR="005F411C" w:rsidRPr="00DF22D4" w:rsidRDefault="00711B34" w:rsidP="00854CB8">
      <w:pPr>
        <w:jc w:val="left"/>
        <w:rPr>
          <w:rFonts w:ascii="Times New Roman" w:hAnsi="Times New Roman" w:cs="Times New Roman"/>
          <w:sz w:val="24"/>
          <w:szCs w:val="24"/>
        </w:rPr>
      </w:pPr>
      <w:r w:rsidRPr="00DF22D4">
        <w:rPr>
          <w:rFonts w:ascii="Times New Roman" w:hAnsi="Times New Roman" w:cs="Times New Roman"/>
          <w:sz w:val="24"/>
          <w:szCs w:val="24"/>
        </w:rPr>
        <w:tab/>
      </w:r>
      <w:r w:rsidR="00966F64" w:rsidRPr="00DF22D4">
        <w:rPr>
          <w:rFonts w:ascii="Times New Roman" w:hAnsi="Times New Roman" w:cs="Times New Roman"/>
          <w:sz w:val="24"/>
          <w:szCs w:val="24"/>
        </w:rPr>
        <w:t xml:space="preserve"> </w:t>
      </w:r>
      <w:r w:rsidR="0041491D" w:rsidRPr="00DF22D4">
        <w:rPr>
          <w:rFonts w:ascii="Times New Roman" w:hAnsi="Times New Roman" w:cs="Times New Roman"/>
          <w:sz w:val="24"/>
          <w:szCs w:val="24"/>
        </w:rPr>
        <w:t>There were four business operating segments for fiscal 2021: Canadian Banking; International Banking; Global Wealth Management; and Global Banking and Markets</w:t>
      </w:r>
      <w:sdt>
        <w:sdtPr>
          <w:rPr>
            <w:rFonts w:ascii="Times New Roman" w:hAnsi="Times New Roman" w:cs="Times New Roman"/>
            <w:sz w:val="24"/>
            <w:szCs w:val="24"/>
          </w:rPr>
          <w:id w:val="-602344431"/>
          <w:citation/>
        </w:sdtPr>
        <w:sdtContent>
          <w:r w:rsidR="00876FBD" w:rsidRPr="00DF22D4">
            <w:rPr>
              <w:rFonts w:ascii="Times New Roman" w:hAnsi="Times New Roman" w:cs="Times New Roman"/>
              <w:sz w:val="24"/>
              <w:szCs w:val="24"/>
            </w:rPr>
            <w:fldChar w:fldCharType="begin"/>
          </w:r>
          <w:r w:rsidR="00876FBD" w:rsidRPr="00DF22D4">
            <w:rPr>
              <w:rFonts w:ascii="Times New Roman" w:hAnsi="Times New Roman" w:cs="Times New Roman"/>
              <w:sz w:val="24"/>
              <w:szCs w:val="24"/>
            </w:rPr>
            <w:instrText xml:space="preserve">CITATION Scotiabank \p 44 \l 4105 </w:instrText>
          </w:r>
          <w:r w:rsidR="00876FBD" w:rsidRPr="00DF22D4">
            <w:rPr>
              <w:rFonts w:ascii="Times New Roman" w:hAnsi="Times New Roman" w:cs="Times New Roman"/>
              <w:sz w:val="24"/>
              <w:szCs w:val="24"/>
            </w:rPr>
            <w:fldChar w:fldCharType="separate"/>
          </w:r>
          <w:r w:rsidR="00876FBD" w:rsidRPr="00DF22D4">
            <w:rPr>
              <w:rFonts w:ascii="Times New Roman" w:hAnsi="Times New Roman" w:cs="Times New Roman"/>
              <w:noProof/>
              <w:sz w:val="24"/>
              <w:szCs w:val="24"/>
            </w:rPr>
            <w:t xml:space="preserve"> (Scotiabank, 2021, p. 44)</w:t>
          </w:r>
          <w:r w:rsidR="00876FBD" w:rsidRPr="00DF22D4">
            <w:rPr>
              <w:rFonts w:ascii="Times New Roman" w:hAnsi="Times New Roman" w:cs="Times New Roman"/>
              <w:sz w:val="24"/>
              <w:szCs w:val="24"/>
            </w:rPr>
            <w:fldChar w:fldCharType="end"/>
          </w:r>
        </w:sdtContent>
      </w:sdt>
      <w:r w:rsidR="0041491D" w:rsidRPr="00DF22D4">
        <w:rPr>
          <w:rFonts w:ascii="Times New Roman" w:hAnsi="Times New Roman" w:cs="Times New Roman"/>
          <w:sz w:val="24"/>
          <w:szCs w:val="24"/>
        </w:rPr>
        <w:t>.</w:t>
      </w:r>
    </w:p>
    <w:p w14:paraId="16039E4A" w14:textId="77777777" w:rsidR="003574C0" w:rsidRPr="00DF22D4" w:rsidRDefault="00876FBD" w:rsidP="00854CB8">
      <w:pPr>
        <w:jc w:val="left"/>
        <w:rPr>
          <w:rFonts w:ascii="Times New Roman" w:hAnsi="Times New Roman" w:cs="Times New Roman"/>
          <w:sz w:val="24"/>
          <w:szCs w:val="24"/>
        </w:rPr>
      </w:pPr>
      <w:r w:rsidRPr="00DF22D4">
        <w:rPr>
          <w:rFonts w:ascii="Times New Roman" w:hAnsi="Times New Roman" w:cs="Times New Roman"/>
          <w:sz w:val="24"/>
          <w:szCs w:val="24"/>
        </w:rPr>
        <w:tab/>
      </w:r>
      <w:r w:rsidR="00DE129D" w:rsidRPr="00DF22D4">
        <w:rPr>
          <w:rFonts w:ascii="Times New Roman" w:hAnsi="Times New Roman" w:cs="Times New Roman"/>
          <w:sz w:val="24"/>
          <w:szCs w:val="24"/>
        </w:rPr>
        <w:t>The independent auditors under Klynveld Peat Marwick Goerdeler LLP, or KPMG LLP, a multinational professional services network, and one of the Big Four accounting organizations, were appointed by the shareholders of Scotiabank, had audited the consolidated financial position of Bank as at October 31, 2021 and October 31, 2020 and its consolidated financial performance and its consolidated cash flows for each of the years in the three-year period ended October 31, 2021 prepared in accordance with International Financial Reporting Standards as issued by the International Accounting Standards Board in accordance with Canadian Generally Accepted Auditing Standards and the standards of the Public Company Accounting Oversight Board (United States) and the effectiveness of internal control over financial reporting and had expressed</w:t>
      </w:r>
      <w:r w:rsidR="003574C0" w:rsidRPr="00DF22D4">
        <w:rPr>
          <w:rFonts w:ascii="Times New Roman" w:hAnsi="Times New Roman" w:cs="Times New Roman"/>
          <w:sz w:val="24"/>
          <w:szCs w:val="24"/>
        </w:rPr>
        <w:t xml:space="preserve"> their opinions upon completion of such audits in the reports to the shareholders</w:t>
      </w:r>
      <w:sdt>
        <w:sdtPr>
          <w:rPr>
            <w:rFonts w:ascii="Times New Roman" w:hAnsi="Times New Roman" w:cs="Times New Roman"/>
            <w:sz w:val="24"/>
            <w:szCs w:val="24"/>
          </w:rPr>
          <w:id w:val="1724101075"/>
          <w:citation/>
        </w:sdtPr>
        <w:sdtContent>
          <w:r w:rsidR="003574C0" w:rsidRPr="00DF22D4">
            <w:rPr>
              <w:rFonts w:ascii="Times New Roman" w:hAnsi="Times New Roman" w:cs="Times New Roman"/>
              <w:sz w:val="24"/>
              <w:szCs w:val="24"/>
            </w:rPr>
            <w:fldChar w:fldCharType="begin"/>
          </w:r>
          <w:r w:rsidR="003574C0" w:rsidRPr="00DF22D4">
            <w:rPr>
              <w:rFonts w:ascii="Times New Roman" w:hAnsi="Times New Roman" w:cs="Times New Roman"/>
              <w:sz w:val="24"/>
              <w:szCs w:val="24"/>
            </w:rPr>
            <w:instrText xml:space="preserve">CITATION Scotiabank \p 148 \l 4105 </w:instrText>
          </w:r>
          <w:r w:rsidR="003574C0" w:rsidRPr="00DF22D4">
            <w:rPr>
              <w:rFonts w:ascii="Times New Roman" w:hAnsi="Times New Roman" w:cs="Times New Roman"/>
              <w:sz w:val="24"/>
              <w:szCs w:val="24"/>
            </w:rPr>
            <w:fldChar w:fldCharType="separate"/>
          </w:r>
          <w:r w:rsidR="003574C0" w:rsidRPr="00DF22D4">
            <w:rPr>
              <w:rFonts w:ascii="Times New Roman" w:hAnsi="Times New Roman" w:cs="Times New Roman"/>
              <w:noProof/>
              <w:sz w:val="24"/>
              <w:szCs w:val="24"/>
            </w:rPr>
            <w:t xml:space="preserve"> (Scotiabank, 2021, p. 148)</w:t>
          </w:r>
          <w:r w:rsidR="003574C0" w:rsidRPr="00DF22D4">
            <w:rPr>
              <w:rFonts w:ascii="Times New Roman" w:hAnsi="Times New Roman" w:cs="Times New Roman"/>
              <w:sz w:val="24"/>
              <w:szCs w:val="24"/>
            </w:rPr>
            <w:fldChar w:fldCharType="end"/>
          </w:r>
        </w:sdtContent>
      </w:sdt>
      <w:r w:rsidR="003574C0" w:rsidRPr="00DF22D4">
        <w:rPr>
          <w:rFonts w:ascii="Times New Roman" w:hAnsi="Times New Roman" w:cs="Times New Roman"/>
          <w:sz w:val="24"/>
          <w:szCs w:val="24"/>
        </w:rPr>
        <w:t xml:space="preserve">. </w:t>
      </w:r>
    </w:p>
    <w:p w14:paraId="718D0A46" w14:textId="0FD35E1D" w:rsidR="00876FBD" w:rsidRPr="00DF22D4" w:rsidRDefault="003574C0" w:rsidP="003574C0">
      <w:pPr>
        <w:ind w:firstLine="720"/>
        <w:jc w:val="left"/>
        <w:rPr>
          <w:rFonts w:ascii="Times New Roman" w:hAnsi="Times New Roman" w:cs="Times New Roman"/>
          <w:sz w:val="24"/>
          <w:szCs w:val="24"/>
        </w:rPr>
      </w:pPr>
      <w:r w:rsidRPr="00DF22D4">
        <w:rPr>
          <w:rFonts w:ascii="Times New Roman" w:hAnsi="Times New Roman" w:cs="Times New Roman"/>
          <w:sz w:val="24"/>
          <w:szCs w:val="24"/>
        </w:rPr>
        <w:t xml:space="preserve">The consolidated financial statements which had audited are the consolidated statements of financial position as at October 31, 2021 and October 31, 2020; the consolidated statements of income for each of the years in the three-year period ended October 31, 2021; the consolidated statements of comprehensive income for each of the years in the three-year-period ended October 31, 2021; the consolidated statements of changes in equity for each of the years in the three-year period ended </w:t>
      </w:r>
      <w:r w:rsidRPr="00DF22D4">
        <w:rPr>
          <w:rFonts w:ascii="Times New Roman" w:hAnsi="Times New Roman" w:cs="Times New Roman"/>
          <w:sz w:val="24"/>
          <w:szCs w:val="24"/>
        </w:rPr>
        <w:lastRenderedPageBreak/>
        <w:t>October 31, 2021; the consolidated statements of cash flows for each of the years in the three-year period ended October 31, 2021; and notes to the consolidated financial statements, including a summary of significant accounting policies</w:t>
      </w:r>
      <w:sdt>
        <w:sdtPr>
          <w:rPr>
            <w:rFonts w:ascii="Times New Roman" w:hAnsi="Times New Roman" w:cs="Times New Roman"/>
            <w:sz w:val="24"/>
            <w:szCs w:val="24"/>
          </w:rPr>
          <w:id w:val="1848897469"/>
          <w:citation/>
        </w:sdtPr>
        <w:sdtContent>
          <w:r w:rsidRPr="00DF22D4">
            <w:rPr>
              <w:rFonts w:ascii="Times New Roman" w:hAnsi="Times New Roman" w:cs="Times New Roman"/>
              <w:sz w:val="24"/>
              <w:szCs w:val="24"/>
            </w:rPr>
            <w:fldChar w:fldCharType="begin"/>
          </w:r>
          <w:r w:rsidRPr="00DF22D4">
            <w:rPr>
              <w:rFonts w:ascii="Times New Roman" w:hAnsi="Times New Roman" w:cs="Times New Roman"/>
              <w:sz w:val="24"/>
              <w:szCs w:val="24"/>
            </w:rPr>
            <w:instrText xml:space="preserve">CITATION Scotiabank \p 149 \l 4105 </w:instrText>
          </w:r>
          <w:r w:rsidRPr="00DF22D4">
            <w:rPr>
              <w:rFonts w:ascii="Times New Roman" w:hAnsi="Times New Roman" w:cs="Times New Roman"/>
              <w:sz w:val="24"/>
              <w:szCs w:val="24"/>
            </w:rPr>
            <w:fldChar w:fldCharType="separate"/>
          </w:r>
          <w:r w:rsidRPr="00DF22D4">
            <w:rPr>
              <w:rFonts w:ascii="Times New Roman" w:hAnsi="Times New Roman" w:cs="Times New Roman"/>
              <w:noProof/>
              <w:sz w:val="24"/>
              <w:szCs w:val="24"/>
            </w:rPr>
            <w:t xml:space="preserve"> (Scotiabank, 2021, p. 149)</w:t>
          </w:r>
          <w:r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p>
    <w:p w14:paraId="3ACE3A8E" w14:textId="0E73D125" w:rsidR="00076359" w:rsidRPr="00DF22D4" w:rsidRDefault="00076359" w:rsidP="003574C0">
      <w:pPr>
        <w:ind w:firstLine="720"/>
        <w:jc w:val="left"/>
        <w:rPr>
          <w:rFonts w:ascii="Times New Roman" w:hAnsi="Times New Roman" w:cs="Times New Roman"/>
          <w:sz w:val="24"/>
          <w:szCs w:val="24"/>
        </w:rPr>
      </w:pPr>
      <w:r w:rsidRPr="00DF22D4">
        <w:rPr>
          <w:rFonts w:ascii="Times New Roman" w:hAnsi="Times New Roman" w:cs="Times New Roman"/>
          <w:sz w:val="24"/>
          <w:szCs w:val="24"/>
        </w:rPr>
        <w:t>The independent auditors under KPMG LLP concluded that the consolidated financial statements present fairly, in all material respects, the consolidated financial position of the Bank as at October 31, 2021 and October 31, 2020, and its consolidated financial performance and its consolidated cash flows for each of the years in the three-year period ended October 31, 2021 in accordance with International Financial Reporting Standards (IFRS) as issued by the International Accounting Standards Board</w:t>
      </w:r>
      <w:sdt>
        <w:sdtPr>
          <w:rPr>
            <w:rFonts w:ascii="Times New Roman" w:hAnsi="Times New Roman" w:cs="Times New Roman"/>
            <w:sz w:val="24"/>
            <w:szCs w:val="24"/>
          </w:rPr>
          <w:id w:val="-1835369652"/>
          <w:citation/>
        </w:sdtPr>
        <w:sdtContent>
          <w:r w:rsidRPr="00DF22D4">
            <w:rPr>
              <w:rFonts w:ascii="Times New Roman" w:hAnsi="Times New Roman" w:cs="Times New Roman"/>
              <w:sz w:val="24"/>
              <w:szCs w:val="24"/>
            </w:rPr>
            <w:fldChar w:fldCharType="begin"/>
          </w:r>
          <w:r w:rsidRPr="00DF22D4">
            <w:rPr>
              <w:rFonts w:ascii="Times New Roman" w:hAnsi="Times New Roman" w:cs="Times New Roman"/>
              <w:sz w:val="24"/>
              <w:szCs w:val="24"/>
            </w:rPr>
            <w:instrText xml:space="preserve">CITATION Scotiabank \p 149 \l 4105 </w:instrText>
          </w:r>
          <w:r w:rsidRPr="00DF22D4">
            <w:rPr>
              <w:rFonts w:ascii="Times New Roman" w:hAnsi="Times New Roman" w:cs="Times New Roman"/>
              <w:sz w:val="24"/>
              <w:szCs w:val="24"/>
            </w:rPr>
            <w:fldChar w:fldCharType="separate"/>
          </w:r>
          <w:r w:rsidRPr="00DF22D4">
            <w:rPr>
              <w:rFonts w:ascii="Times New Roman" w:hAnsi="Times New Roman" w:cs="Times New Roman"/>
              <w:noProof/>
              <w:sz w:val="24"/>
              <w:szCs w:val="24"/>
            </w:rPr>
            <w:t xml:space="preserve"> (Scotiabank, 2021, p. 149)</w:t>
          </w:r>
          <w:r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p>
    <w:p w14:paraId="0C2B380F" w14:textId="77777777" w:rsidR="00E45C09" w:rsidRPr="00DF22D4" w:rsidRDefault="00E45C09" w:rsidP="003574C0">
      <w:pPr>
        <w:ind w:firstLine="720"/>
        <w:jc w:val="left"/>
        <w:rPr>
          <w:rFonts w:ascii="Times New Roman" w:hAnsi="Times New Roman" w:cs="Times New Roman"/>
          <w:sz w:val="24"/>
          <w:szCs w:val="24"/>
        </w:rPr>
      </w:pPr>
    </w:p>
    <w:p w14:paraId="2C784484" w14:textId="77777777" w:rsidR="00DB1CD3" w:rsidRPr="00DF22D4" w:rsidRDefault="00DB1CD3" w:rsidP="00DB1CD3">
      <w:pPr>
        <w:keepNext/>
        <w:ind w:firstLine="720"/>
        <w:jc w:val="center"/>
        <w:rPr>
          <w:rFonts w:ascii="Times New Roman" w:hAnsi="Times New Roman" w:cs="Times New Roman"/>
        </w:rPr>
      </w:pPr>
      <w:r w:rsidRPr="00DF22D4">
        <w:rPr>
          <w:rFonts w:ascii="Times New Roman" w:hAnsi="Times New Roman" w:cs="Times New Roman"/>
          <w:noProof/>
        </w:rPr>
        <w:drawing>
          <wp:inline distT="0" distB="0" distL="0" distR="0" wp14:anchorId="72129C26" wp14:editId="525EA82F">
            <wp:extent cx="2862658" cy="3601843"/>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1"/>
                    <a:stretch>
                      <a:fillRect/>
                    </a:stretch>
                  </pic:blipFill>
                  <pic:spPr>
                    <a:xfrm>
                      <a:off x="0" y="0"/>
                      <a:ext cx="2870045" cy="3611137"/>
                    </a:xfrm>
                    <a:prstGeom prst="rect">
                      <a:avLst/>
                    </a:prstGeom>
                  </pic:spPr>
                </pic:pic>
              </a:graphicData>
            </a:graphic>
          </wp:inline>
        </w:drawing>
      </w:r>
    </w:p>
    <w:p w14:paraId="4DA61478" w14:textId="2196CA12" w:rsidR="00654CF7" w:rsidRPr="00DF22D4" w:rsidRDefault="00DB1CD3" w:rsidP="00DB1CD3">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Bank of Nova Scotia, 2021. Excludes corporate segment.</w:t>
      </w:r>
    </w:p>
    <w:p w14:paraId="670A89AC" w14:textId="77777777" w:rsidR="00E45C09" w:rsidRPr="00DF22D4" w:rsidRDefault="00E45C09" w:rsidP="00E45C09">
      <w:pPr>
        <w:rPr>
          <w:rFonts w:ascii="Times New Roman" w:hAnsi="Times New Roman" w:cs="Times New Roman"/>
        </w:rPr>
      </w:pPr>
    </w:p>
    <w:p w14:paraId="0CC0E4B0" w14:textId="7888ADCC" w:rsidR="00DB1CD3" w:rsidRPr="00DF22D4" w:rsidRDefault="00DB1CD3" w:rsidP="00DB1CD3">
      <w:pPr>
        <w:ind w:firstLine="720"/>
        <w:jc w:val="left"/>
        <w:rPr>
          <w:rFonts w:ascii="Times New Roman" w:hAnsi="Times New Roman" w:cs="Times New Roman"/>
        </w:rPr>
      </w:pPr>
      <w:r w:rsidRPr="00DF22D4">
        <w:rPr>
          <w:rFonts w:ascii="Times New Roman" w:hAnsi="Times New Roman" w:cs="Times New Roman"/>
        </w:rPr>
        <w:t xml:space="preserve">As shown in Figure 2, the first major source of </w:t>
      </w:r>
      <w:r w:rsidR="000E5146">
        <w:rPr>
          <w:rFonts w:ascii="Times New Roman" w:hAnsi="Times New Roman" w:cs="Times New Roman"/>
        </w:rPr>
        <w:t>earnings</w:t>
      </w:r>
      <w:r w:rsidRPr="00DF22D4">
        <w:rPr>
          <w:rFonts w:ascii="Times New Roman" w:hAnsi="Times New Roman" w:cs="Times New Roman"/>
        </w:rPr>
        <w:t xml:space="preserve"> of Scotiabank’s fiscal 2021 was Canadian Banking</w:t>
      </w:r>
      <w:r w:rsidR="005B152B" w:rsidRPr="00DF22D4">
        <w:rPr>
          <w:rFonts w:ascii="Times New Roman" w:hAnsi="Times New Roman" w:cs="Times New Roman"/>
        </w:rPr>
        <w:t xml:space="preserve"> 43%</w:t>
      </w:r>
      <w:r w:rsidRPr="00DF22D4">
        <w:rPr>
          <w:rFonts w:ascii="Times New Roman" w:hAnsi="Times New Roman" w:cs="Times New Roman"/>
        </w:rPr>
        <w:t>, second was Global Banking and Markets</w:t>
      </w:r>
      <w:r w:rsidR="005B152B" w:rsidRPr="00DF22D4">
        <w:rPr>
          <w:rFonts w:ascii="Times New Roman" w:hAnsi="Times New Roman" w:cs="Times New Roman"/>
        </w:rPr>
        <w:t xml:space="preserve"> 21%</w:t>
      </w:r>
      <w:r w:rsidRPr="00DF22D4">
        <w:rPr>
          <w:rFonts w:ascii="Times New Roman" w:hAnsi="Times New Roman" w:cs="Times New Roman"/>
        </w:rPr>
        <w:t>, third was International Banking</w:t>
      </w:r>
      <w:r w:rsidR="005B152B" w:rsidRPr="00DF22D4">
        <w:rPr>
          <w:rFonts w:ascii="Times New Roman" w:hAnsi="Times New Roman" w:cs="Times New Roman"/>
        </w:rPr>
        <w:t xml:space="preserve"> 19%</w:t>
      </w:r>
      <w:r w:rsidRPr="00DF22D4">
        <w:rPr>
          <w:rFonts w:ascii="Times New Roman" w:hAnsi="Times New Roman" w:cs="Times New Roman"/>
        </w:rPr>
        <w:t>, and fourth was Global Wealth Management</w:t>
      </w:r>
      <w:r w:rsidR="005B152B" w:rsidRPr="00DF22D4">
        <w:rPr>
          <w:rFonts w:ascii="Times New Roman" w:hAnsi="Times New Roman" w:cs="Times New Roman"/>
        </w:rPr>
        <w:t xml:space="preserve"> 17%</w:t>
      </w:r>
      <w:r w:rsidRPr="00DF22D4">
        <w:rPr>
          <w:rFonts w:ascii="Times New Roman" w:hAnsi="Times New Roman" w:cs="Times New Roman"/>
        </w:rPr>
        <w:t>.</w:t>
      </w:r>
    </w:p>
    <w:p w14:paraId="02C03BD8" w14:textId="10B459A2" w:rsidR="0026219C" w:rsidRPr="00DF22D4" w:rsidRDefault="0026219C" w:rsidP="00DB1CD3">
      <w:pPr>
        <w:ind w:firstLine="720"/>
        <w:jc w:val="left"/>
        <w:rPr>
          <w:rFonts w:ascii="Times New Roman" w:hAnsi="Times New Roman" w:cs="Times New Roman"/>
        </w:rPr>
      </w:pPr>
      <w:r w:rsidRPr="00DF22D4">
        <w:rPr>
          <w:rFonts w:ascii="Times New Roman" w:hAnsi="Times New Roman" w:cs="Times New Roman"/>
        </w:rPr>
        <w:t xml:space="preserve">The best evidence of fair value for a financial instrument used by Scotiabank was the quoted price in an active market. Fair value based on unadjusted quoted market prices for identical instruments in active markets represented a Level 1 valuation. Quoted prices were not always available for over-the-counter (OTC) transactions, as well as transactions in inactive or illiquid markets. OTC transactions were valued using internal models that maximize the use of observable inputs were used to estimate fair value. The chose valuation technique incorporates all the factors that market participants would </w:t>
      </w:r>
      <w:proofErr w:type="gramStart"/>
      <w:r w:rsidRPr="00DF22D4">
        <w:rPr>
          <w:rFonts w:ascii="Times New Roman" w:hAnsi="Times New Roman" w:cs="Times New Roman"/>
        </w:rPr>
        <w:t>take into account</w:t>
      </w:r>
      <w:proofErr w:type="gramEnd"/>
      <w:r w:rsidRPr="00DF22D4">
        <w:rPr>
          <w:rFonts w:ascii="Times New Roman" w:hAnsi="Times New Roman" w:cs="Times New Roman"/>
        </w:rPr>
        <w:t xml:space="preserve"> in pricing a transaction. When a fair value is based on all significant market observable inputs, </w:t>
      </w:r>
      <w:r w:rsidRPr="00DF22D4">
        <w:rPr>
          <w:rFonts w:ascii="Times New Roman" w:hAnsi="Times New Roman" w:cs="Times New Roman"/>
        </w:rPr>
        <w:lastRenderedPageBreak/>
        <w:t>the valuation is classified as Level 2. Financial instruments traded in a less active market had been valued using indicative market prices, the present value of cash flows or other valuation techniques. Fair value estimates normally did not consider forced or liquidation sales. Where financial instruments trade in inactive markets or when using models where observable parameters did not exist, significant management judgement was required for valuation methodologies and model inputs. Valuation that required the significant use of unobservable inputs were considered Level 3. The calculation of estimated fair value was based on market conditions at a specific point in time and therefore may not be reflective of future fair values</w:t>
      </w:r>
      <w:sdt>
        <w:sdtPr>
          <w:rPr>
            <w:rFonts w:ascii="Times New Roman" w:hAnsi="Times New Roman" w:cs="Times New Roman"/>
          </w:rPr>
          <w:id w:val="-99105485"/>
          <w:citation/>
        </w:sdtPr>
        <w:sdtContent>
          <w:r w:rsidR="00E9410C" w:rsidRPr="00DF22D4">
            <w:rPr>
              <w:rFonts w:ascii="Times New Roman" w:hAnsi="Times New Roman" w:cs="Times New Roman"/>
            </w:rPr>
            <w:fldChar w:fldCharType="begin"/>
          </w:r>
          <w:r w:rsidR="00E9410C" w:rsidRPr="00DF22D4">
            <w:rPr>
              <w:rFonts w:ascii="Times New Roman" w:hAnsi="Times New Roman" w:cs="Times New Roman"/>
            </w:rPr>
            <w:instrText xml:space="preserve">CITATION Scotiabank \p 121 \l 4105 </w:instrText>
          </w:r>
          <w:r w:rsidR="00E9410C" w:rsidRPr="00DF22D4">
            <w:rPr>
              <w:rFonts w:ascii="Times New Roman" w:hAnsi="Times New Roman" w:cs="Times New Roman"/>
            </w:rPr>
            <w:fldChar w:fldCharType="separate"/>
          </w:r>
          <w:r w:rsidR="00E9410C" w:rsidRPr="00DF22D4">
            <w:rPr>
              <w:rFonts w:ascii="Times New Roman" w:hAnsi="Times New Roman" w:cs="Times New Roman"/>
              <w:noProof/>
            </w:rPr>
            <w:t xml:space="preserve"> (Scotiabank, 2021, p. 121)</w:t>
          </w:r>
          <w:r w:rsidR="00E9410C" w:rsidRPr="00DF22D4">
            <w:rPr>
              <w:rFonts w:ascii="Times New Roman" w:hAnsi="Times New Roman" w:cs="Times New Roman"/>
            </w:rPr>
            <w:fldChar w:fldCharType="end"/>
          </w:r>
        </w:sdtContent>
      </w:sdt>
      <w:r w:rsidRPr="00DF22D4">
        <w:rPr>
          <w:rFonts w:ascii="Times New Roman" w:hAnsi="Times New Roman" w:cs="Times New Roman"/>
        </w:rPr>
        <w:t>.</w:t>
      </w:r>
    </w:p>
    <w:p w14:paraId="7E8760FA" w14:textId="7372A699" w:rsidR="00C22B94" w:rsidRPr="00DF22D4" w:rsidRDefault="00C22B94" w:rsidP="00DB1CD3">
      <w:pPr>
        <w:ind w:firstLine="720"/>
        <w:jc w:val="left"/>
        <w:rPr>
          <w:rFonts w:ascii="Times New Roman" w:hAnsi="Times New Roman" w:cs="Times New Roman"/>
        </w:rPr>
      </w:pPr>
      <w:r w:rsidRPr="00DF22D4">
        <w:rPr>
          <w:rFonts w:ascii="Times New Roman" w:hAnsi="Times New Roman" w:cs="Times New Roman"/>
        </w:rPr>
        <w:t>The estimated fair value of loans carried at amortized cost reflects changes in the general level of interest rates and credit worthiness of borrowers that have occurred since the leans were originated or purchased.</w:t>
      </w:r>
      <w:r w:rsidR="00313B29" w:rsidRPr="00DF22D4">
        <w:rPr>
          <w:rFonts w:ascii="Times New Roman" w:hAnsi="Times New Roman" w:cs="Times New Roman"/>
        </w:rPr>
        <w:t xml:space="preserve"> The particular valuation methods used were as follows: Canadian fixed rate residential mortgages are fair valued by discounting the expected future contractual cash flows, taking into account expected prepayments and using management’s best estimate of average market interest rates currently offered for mortgages with similar remaining terms</w:t>
      </w:r>
      <w:r w:rsidR="00624698" w:rsidRPr="00DF22D4">
        <w:rPr>
          <w:rFonts w:ascii="Times New Roman" w:hAnsi="Times New Roman" w:cs="Times New Roman"/>
        </w:rPr>
        <w:t xml:space="preserve"> (Level 3)</w:t>
      </w:r>
      <w:r w:rsidR="00313B29" w:rsidRPr="00DF22D4">
        <w:rPr>
          <w:rFonts w:ascii="Times New Roman" w:hAnsi="Times New Roman" w:cs="Times New Roman"/>
        </w:rPr>
        <w:t>; for fixed rate business and government loans, fair value is determined by discounting the expected future contractual cash flows of these loans at interest rates estimated by using the appropriate currency swap curves for the remaining term, adjusted for a credit mark of the expected losses in the portfolio</w:t>
      </w:r>
      <w:r w:rsidR="00624698" w:rsidRPr="00DF22D4">
        <w:rPr>
          <w:rFonts w:ascii="Times New Roman" w:hAnsi="Times New Roman" w:cs="Times New Roman"/>
        </w:rPr>
        <w:t xml:space="preserve"> (Level 3)</w:t>
      </w:r>
      <w:r w:rsidR="00313B29" w:rsidRPr="00DF22D4">
        <w:rPr>
          <w:rFonts w:ascii="Times New Roman" w:hAnsi="Times New Roman" w:cs="Times New Roman"/>
        </w:rPr>
        <w:t>; for all other fixed rate loans, fair value is determined by discounting the expected future contractual cash flows of these loans at interest rates estimated by using the appropriate currency swap curves for the remaining term</w:t>
      </w:r>
      <w:r w:rsidR="00624698" w:rsidRPr="00DF22D4">
        <w:rPr>
          <w:rFonts w:ascii="Times New Roman" w:hAnsi="Times New Roman" w:cs="Times New Roman"/>
        </w:rPr>
        <w:t xml:space="preserve"> (Level 3)</w:t>
      </w:r>
      <w:r w:rsidR="00313B29" w:rsidRPr="00DF22D4">
        <w:rPr>
          <w:rFonts w:ascii="Times New Roman" w:hAnsi="Times New Roman" w:cs="Times New Roman"/>
        </w:rPr>
        <w:t>; and for all floating rate loans fair value is assumed to equal book value</w:t>
      </w:r>
      <w:sdt>
        <w:sdtPr>
          <w:rPr>
            <w:rFonts w:ascii="Times New Roman" w:hAnsi="Times New Roman" w:cs="Times New Roman"/>
          </w:rPr>
          <w:id w:val="-507067845"/>
          <w:citation/>
        </w:sdtPr>
        <w:sdtContent>
          <w:r w:rsidR="00313B29" w:rsidRPr="00DF22D4">
            <w:rPr>
              <w:rFonts w:ascii="Times New Roman" w:hAnsi="Times New Roman" w:cs="Times New Roman"/>
            </w:rPr>
            <w:fldChar w:fldCharType="begin"/>
          </w:r>
          <w:r w:rsidR="00313B29" w:rsidRPr="00DF22D4">
            <w:rPr>
              <w:rFonts w:ascii="Times New Roman" w:hAnsi="Times New Roman" w:cs="Times New Roman"/>
            </w:rPr>
            <w:instrText xml:space="preserve">CITATION Scotiabank \p 178 \l 4105 </w:instrText>
          </w:r>
          <w:r w:rsidR="00313B29" w:rsidRPr="00DF22D4">
            <w:rPr>
              <w:rFonts w:ascii="Times New Roman" w:hAnsi="Times New Roman" w:cs="Times New Roman"/>
            </w:rPr>
            <w:fldChar w:fldCharType="separate"/>
          </w:r>
          <w:r w:rsidR="00313B29" w:rsidRPr="00DF22D4">
            <w:rPr>
              <w:rFonts w:ascii="Times New Roman" w:hAnsi="Times New Roman" w:cs="Times New Roman"/>
              <w:noProof/>
            </w:rPr>
            <w:t xml:space="preserve"> (Scotiabank, 2021, p. 178)</w:t>
          </w:r>
          <w:r w:rsidR="00313B29" w:rsidRPr="00DF22D4">
            <w:rPr>
              <w:rFonts w:ascii="Times New Roman" w:hAnsi="Times New Roman" w:cs="Times New Roman"/>
            </w:rPr>
            <w:fldChar w:fldCharType="end"/>
          </w:r>
        </w:sdtContent>
      </w:sdt>
      <w:r w:rsidR="00313B29" w:rsidRPr="00DF22D4">
        <w:rPr>
          <w:rFonts w:ascii="Times New Roman" w:hAnsi="Times New Roman" w:cs="Times New Roman"/>
        </w:rPr>
        <w:t>.</w:t>
      </w:r>
    </w:p>
    <w:p w14:paraId="106E3C76" w14:textId="20E5EEAE" w:rsidR="00F160E8" w:rsidRPr="00DF22D4" w:rsidRDefault="00F160E8" w:rsidP="00DB1CD3">
      <w:pPr>
        <w:ind w:firstLine="720"/>
        <w:jc w:val="left"/>
        <w:rPr>
          <w:rFonts w:ascii="Times New Roman" w:hAnsi="Times New Roman" w:cs="Times New Roman"/>
        </w:rPr>
      </w:pPr>
      <w:r w:rsidRPr="00DF22D4">
        <w:rPr>
          <w:rFonts w:ascii="Times New Roman" w:hAnsi="Times New Roman" w:cs="Times New Roman"/>
        </w:rPr>
        <w:t xml:space="preserve">Depreciation was calculated using the straight-line method over the estimated useful life of the related asset less any residual value as follows: buildings – 40 years, building fittings – 15 years, equipment 3 to 10 years, and leasehold improvements – lease term determined by the Bank Depreciation expense is included in the Consolidated Statement of Income under non-interest expenses – depreciation and amortization. Depreciation methods, useful lives and residual values were reassessed at each financial year-end and adjusted as appropriate </w:t>
      </w:r>
      <w:sdt>
        <w:sdtPr>
          <w:rPr>
            <w:rFonts w:ascii="Times New Roman" w:hAnsi="Times New Roman" w:cs="Times New Roman"/>
          </w:rPr>
          <w:id w:val="17371854"/>
          <w:citation/>
        </w:sdtPr>
        <w:sdtContent>
          <w:r w:rsidRPr="00DF22D4">
            <w:rPr>
              <w:rFonts w:ascii="Times New Roman" w:hAnsi="Times New Roman" w:cs="Times New Roman"/>
            </w:rPr>
            <w:fldChar w:fldCharType="begin"/>
          </w:r>
          <w:r w:rsidRPr="00DF22D4">
            <w:rPr>
              <w:rFonts w:ascii="Times New Roman" w:hAnsi="Times New Roman" w:cs="Times New Roman"/>
            </w:rPr>
            <w:instrText xml:space="preserve">CITATION Scotiabank \p 170 \l 4105 </w:instrText>
          </w:r>
          <w:r w:rsidRPr="00DF22D4">
            <w:rPr>
              <w:rFonts w:ascii="Times New Roman" w:hAnsi="Times New Roman" w:cs="Times New Roman"/>
            </w:rPr>
            <w:fldChar w:fldCharType="separate"/>
          </w:r>
          <w:r w:rsidRPr="00DF22D4">
            <w:rPr>
              <w:rFonts w:ascii="Times New Roman" w:hAnsi="Times New Roman" w:cs="Times New Roman"/>
              <w:noProof/>
            </w:rPr>
            <w:t>(Scotiabank, 2021, p. 170)</w:t>
          </w:r>
          <w:r w:rsidRPr="00DF22D4">
            <w:rPr>
              <w:rFonts w:ascii="Times New Roman" w:hAnsi="Times New Roman" w:cs="Times New Roman"/>
            </w:rPr>
            <w:fldChar w:fldCharType="end"/>
          </w:r>
        </w:sdtContent>
      </w:sdt>
      <w:r w:rsidRPr="00DF22D4">
        <w:rPr>
          <w:rFonts w:ascii="Times New Roman" w:hAnsi="Times New Roman" w:cs="Times New Roman"/>
        </w:rPr>
        <w:t>.</w:t>
      </w:r>
    </w:p>
    <w:p w14:paraId="30025783" w14:textId="614438E9" w:rsidR="00B05755" w:rsidRPr="00DF22D4" w:rsidRDefault="00B05755" w:rsidP="00DB1CD3">
      <w:pPr>
        <w:ind w:firstLine="720"/>
        <w:jc w:val="left"/>
        <w:rPr>
          <w:rFonts w:ascii="Times New Roman" w:hAnsi="Times New Roman" w:cs="Times New Roman"/>
        </w:rPr>
      </w:pPr>
      <w:r w:rsidRPr="00DF22D4">
        <w:rPr>
          <w:rFonts w:ascii="Times New Roman" w:hAnsi="Times New Roman" w:cs="Times New Roman"/>
        </w:rPr>
        <w:t xml:space="preserve">There were some extraordinary items that appeared on the Ten-Year Consolidated Statement of Change in Equity. IFRS adjustment under Retained Earnings, </w:t>
      </w:r>
      <w:r w:rsidR="00C02E34" w:rsidRPr="00DF22D4">
        <w:rPr>
          <w:rFonts w:ascii="Times New Roman" w:hAnsi="Times New Roman" w:cs="Times New Roman"/>
        </w:rPr>
        <w:t>accumulated</w:t>
      </w:r>
      <w:r w:rsidRPr="00DF22D4">
        <w:rPr>
          <w:rFonts w:ascii="Times New Roman" w:hAnsi="Times New Roman" w:cs="Times New Roman"/>
        </w:rPr>
        <w:t xml:space="preserve"> other comprehensive income (loss) and </w:t>
      </w:r>
      <w:r w:rsidR="00C02E34" w:rsidRPr="00DF22D4">
        <w:rPr>
          <w:rFonts w:ascii="Times New Roman" w:hAnsi="Times New Roman" w:cs="Times New Roman"/>
        </w:rPr>
        <w:t>non-controlling</w:t>
      </w:r>
      <w:r w:rsidRPr="00DF22D4">
        <w:rPr>
          <w:rFonts w:ascii="Times New Roman" w:hAnsi="Times New Roman" w:cs="Times New Roman"/>
        </w:rPr>
        <w:t xml:space="preserve"> interests, and Cumulative effect of adopting new accounting policies under Accumulated other comprehensive income (loss). The Ten-year Consolidated Statement of Comprehensive Income also had 2 extraordinary items: net change in unrealized gains (losses) on available-for-sale securities (debit and equity) an</w:t>
      </w:r>
      <w:r w:rsidR="007C7CC4" w:rsidRPr="00DF22D4">
        <w:rPr>
          <w:rFonts w:ascii="Times New Roman" w:hAnsi="Times New Roman" w:cs="Times New Roman"/>
        </w:rPr>
        <w:t>d other comprehensive income</w:t>
      </w:r>
      <w:sdt>
        <w:sdtPr>
          <w:rPr>
            <w:rFonts w:ascii="Times New Roman" w:hAnsi="Times New Roman" w:cs="Times New Roman"/>
          </w:rPr>
          <w:id w:val="-748963936"/>
          <w:citation/>
        </w:sdtPr>
        <w:sdtContent>
          <w:r w:rsidR="00CF1EE7" w:rsidRPr="00DF22D4">
            <w:rPr>
              <w:rFonts w:ascii="Times New Roman" w:hAnsi="Times New Roman" w:cs="Times New Roman"/>
            </w:rPr>
            <w:fldChar w:fldCharType="begin"/>
          </w:r>
          <w:r w:rsidR="00CF1EE7" w:rsidRPr="00DF22D4">
            <w:rPr>
              <w:rFonts w:ascii="Times New Roman" w:hAnsi="Times New Roman" w:cs="Times New Roman"/>
            </w:rPr>
            <w:instrText xml:space="preserve">CITATION Scotiabank \p 137 \l 4105 </w:instrText>
          </w:r>
          <w:r w:rsidR="00CF1EE7" w:rsidRPr="00DF22D4">
            <w:rPr>
              <w:rFonts w:ascii="Times New Roman" w:hAnsi="Times New Roman" w:cs="Times New Roman"/>
            </w:rPr>
            <w:fldChar w:fldCharType="separate"/>
          </w:r>
          <w:r w:rsidR="00CF1EE7" w:rsidRPr="00DF22D4">
            <w:rPr>
              <w:rFonts w:ascii="Times New Roman" w:hAnsi="Times New Roman" w:cs="Times New Roman"/>
              <w:noProof/>
            </w:rPr>
            <w:t xml:space="preserve"> (Scotiabank, 2021, p. 137)</w:t>
          </w:r>
          <w:r w:rsidR="00CF1EE7" w:rsidRPr="00DF22D4">
            <w:rPr>
              <w:rFonts w:ascii="Times New Roman" w:hAnsi="Times New Roman" w:cs="Times New Roman"/>
            </w:rPr>
            <w:fldChar w:fldCharType="end"/>
          </w:r>
        </w:sdtContent>
      </w:sdt>
      <w:r w:rsidR="007C7CC4" w:rsidRPr="00DF22D4">
        <w:rPr>
          <w:rFonts w:ascii="Times New Roman" w:hAnsi="Times New Roman" w:cs="Times New Roman"/>
        </w:rPr>
        <w:t>.</w:t>
      </w:r>
    </w:p>
    <w:p w14:paraId="0C7C4F1C" w14:textId="2597369E" w:rsidR="00CF1EE7" w:rsidRPr="00DF22D4" w:rsidRDefault="00280DB8" w:rsidP="00DB1CD3">
      <w:pPr>
        <w:ind w:firstLine="720"/>
        <w:jc w:val="left"/>
        <w:rPr>
          <w:rFonts w:ascii="Times New Roman" w:hAnsi="Times New Roman" w:cs="Times New Roman"/>
        </w:rPr>
      </w:pPr>
      <w:r w:rsidRPr="00DF22D4">
        <w:rPr>
          <w:rFonts w:ascii="Times New Roman" w:hAnsi="Times New Roman" w:cs="Times New Roman"/>
        </w:rPr>
        <w:t>There were only one type of Preferred Shares and one type of Common Shares, both were authorized that an unlimited number without nominal or par value issued and fully paid.</w:t>
      </w:r>
      <w:r w:rsidR="003C5076" w:rsidRPr="00DF22D4">
        <w:rPr>
          <w:rFonts w:ascii="Times New Roman" w:hAnsi="Times New Roman" w:cs="Times New Roman"/>
        </w:rPr>
        <w:t xml:space="preserve"> Preferred shares were </w:t>
      </w:r>
      <w:r w:rsidR="003C5076" w:rsidRPr="00DF22D4">
        <w:rPr>
          <w:rFonts w:ascii="Times New Roman" w:hAnsi="Times New Roman" w:cs="Times New Roman"/>
          <w:sz w:val="24"/>
          <w:szCs w:val="24"/>
        </w:rPr>
        <w:t>issuable in series.</w:t>
      </w:r>
      <w:r w:rsidRPr="00DF22D4">
        <w:rPr>
          <w:rFonts w:ascii="Times New Roman" w:hAnsi="Times New Roman" w:cs="Times New Roman"/>
        </w:rPr>
        <w:t xml:space="preserve"> There were also some other equity instruments including</w:t>
      </w:r>
      <w:r w:rsidR="003C5076" w:rsidRPr="00DF22D4">
        <w:rPr>
          <w:rFonts w:ascii="Times New Roman" w:hAnsi="Times New Roman" w:cs="Times New Roman"/>
        </w:rPr>
        <w:t xml:space="preserve"> NVCC additional Tier 1 qualifying regulatory capital notes </w:t>
      </w:r>
      <w:sdt>
        <w:sdtPr>
          <w:rPr>
            <w:rFonts w:ascii="Times New Roman" w:hAnsi="Times New Roman" w:cs="Times New Roman"/>
          </w:rPr>
          <w:id w:val="-470366891"/>
          <w:citation/>
        </w:sdtPr>
        <w:sdtContent>
          <w:r w:rsidR="003C5076" w:rsidRPr="00DF22D4">
            <w:rPr>
              <w:rFonts w:ascii="Times New Roman" w:hAnsi="Times New Roman" w:cs="Times New Roman"/>
            </w:rPr>
            <w:fldChar w:fldCharType="begin"/>
          </w:r>
          <w:r w:rsidR="003C5076" w:rsidRPr="00DF22D4">
            <w:rPr>
              <w:rFonts w:ascii="Times New Roman" w:hAnsi="Times New Roman" w:cs="Times New Roman"/>
            </w:rPr>
            <w:instrText xml:space="preserve">CITATION Scotiabank \p 217 \l 4105 </w:instrText>
          </w:r>
          <w:r w:rsidR="003C5076" w:rsidRPr="00DF22D4">
            <w:rPr>
              <w:rFonts w:ascii="Times New Roman" w:hAnsi="Times New Roman" w:cs="Times New Roman"/>
            </w:rPr>
            <w:fldChar w:fldCharType="separate"/>
          </w:r>
          <w:r w:rsidR="003C5076" w:rsidRPr="00DF22D4">
            <w:rPr>
              <w:rFonts w:ascii="Times New Roman" w:hAnsi="Times New Roman" w:cs="Times New Roman"/>
              <w:noProof/>
            </w:rPr>
            <w:t>(Scotiabank, 2021, p. 217)</w:t>
          </w:r>
          <w:r w:rsidR="003C5076" w:rsidRPr="00DF22D4">
            <w:rPr>
              <w:rFonts w:ascii="Times New Roman" w:hAnsi="Times New Roman" w:cs="Times New Roman"/>
            </w:rPr>
            <w:fldChar w:fldCharType="end"/>
          </w:r>
        </w:sdtContent>
      </w:sdt>
      <w:r w:rsidR="003C5076" w:rsidRPr="00DF22D4">
        <w:rPr>
          <w:rFonts w:ascii="Times New Roman" w:hAnsi="Times New Roman" w:cs="Times New Roman"/>
        </w:rPr>
        <w:t>.</w:t>
      </w:r>
      <w:r w:rsidR="007111DF" w:rsidRPr="00DF22D4">
        <w:rPr>
          <w:rFonts w:ascii="Times New Roman" w:hAnsi="Times New Roman" w:cs="Times New Roman"/>
        </w:rPr>
        <w:t xml:space="preserve"> </w:t>
      </w:r>
    </w:p>
    <w:p w14:paraId="35170D1D" w14:textId="106A5615" w:rsidR="007111DF" w:rsidRPr="00DF22D4" w:rsidRDefault="007111DF" w:rsidP="00DB1CD3">
      <w:pPr>
        <w:ind w:firstLine="720"/>
        <w:jc w:val="left"/>
        <w:rPr>
          <w:rFonts w:ascii="Times New Roman" w:hAnsi="Times New Roman" w:cs="Times New Roman"/>
        </w:rPr>
      </w:pPr>
      <w:r w:rsidRPr="00DF22D4">
        <w:rPr>
          <w:rFonts w:ascii="Times New Roman" w:hAnsi="Times New Roman" w:cs="Times New Roman"/>
        </w:rPr>
        <w:t xml:space="preserve">Overall Scotiabank did have a successful fiscal 2021 according to the 2021 annual report compared to 2020 and previous years. </w:t>
      </w:r>
      <w:r w:rsidR="00C13406" w:rsidRPr="00DF22D4">
        <w:rPr>
          <w:rFonts w:ascii="Times New Roman" w:hAnsi="Times New Roman" w:cs="Times New Roman"/>
        </w:rPr>
        <w:t>During the year, Scotiabank made $9.6 billion earnings</w:t>
      </w:r>
      <w:r w:rsidR="00CC5326" w:rsidRPr="00DF22D4">
        <w:rPr>
          <w:rFonts w:ascii="Times New Roman" w:hAnsi="Times New Roman" w:cs="Times New Roman"/>
        </w:rPr>
        <w:t xml:space="preserve"> and a return on equity (ROE) of 15.0% from 10.4%. </w:t>
      </w:r>
      <w:r w:rsidR="003405D6" w:rsidRPr="00DF22D4">
        <w:rPr>
          <w:rFonts w:ascii="Times New Roman" w:hAnsi="Times New Roman" w:cs="Times New Roman"/>
        </w:rPr>
        <w:t>The Common Equity Tier 1 (CET1) capital ratio increased from 11.8% to 12.3%, which indicated Scotiabank was at a strong capital position</w:t>
      </w:r>
      <w:sdt>
        <w:sdtPr>
          <w:rPr>
            <w:rFonts w:ascii="Times New Roman" w:hAnsi="Times New Roman" w:cs="Times New Roman"/>
          </w:rPr>
          <w:id w:val="95916568"/>
          <w:citation/>
        </w:sdtPr>
        <w:sdtContent>
          <w:r w:rsidR="00425740" w:rsidRPr="00DF22D4">
            <w:rPr>
              <w:rFonts w:ascii="Times New Roman" w:hAnsi="Times New Roman" w:cs="Times New Roman"/>
            </w:rPr>
            <w:fldChar w:fldCharType="begin"/>
          </w:r>
          <w:r w:rsidR="00425740" w:rsidRPr="00DF22D4">
            <w:rPr>
              <w:rFonts w:ascii="Times New Roman" w:hAnsi="Times New Roman" w:cs="Times New Roman"/>
            </w:rPr>
            <w:instrText xml:space="preserve"> CITATION Scotiabank \l 4105 </w:instrText>
          </w:r>
          <w:r w:rsidR="00425740" w:rsidRPr="00DF22D4">
            <w:rPr>
              <w:rFonts w:ascii="Times New Roman" w:hAnsi="Times New Roman" w:cs="Times New Roman"/>
            </w:rPr>
            <w:fldChar w:fldCharType="separate"/>
          </w:r>
          <w:r w:rsidR="00425740" w:rsidRPr="00DF22D4">
            <w:rPr>
              <w:rFonts w:ascii="Times New Roman" w:hAnsi="Times New Roman" w:cs="Times New Roman"/>
              <w:noProof/>
            </w:rPr>
            <w:t xml:space="preserve"> (Scotiabank, 2021)</w:t>
          </w:r>
          <w:r w:rsidR="00425740" w:rsidRPr="00DF22D4">
            <w:rPr>
              <w:rFonts w:ascii="Times New Roman" w:hAnsi="Times New Roman" w:cs="Times New Roman"/>
            </w:rPr>
            <w:fldChar w:fldCharType="end"/>
          </w:r>
        </w:sdtContent>
      </w:sdt>
      <w:r w:rsidR="003405D6" w:rsidRPr="00DF22D4">
        <w:rPr>
          <w:rFonts w:ascii="Times New Roman" w:hAnsi="Times New Roman" w:cs="Times New Roman"/>
        </w:rPr>
        <w:t>.</w:t>
      </w:r>
    </w:p>
    <w:p w14:paraId="28FAD665" w14:textId="32A0970C" w:rsidR="00EE59CA" w:rsidRPr="00DF22D4" w:rsidRDefault="009C62DA" w:rsidP="009C62DA">
      <w:pPr>
        <w:ind w:firstLine="720"/>
        <w:jc w:val="left"/>
        <w:rPr>
          <w:rFonts w:ascii="Times New Roman" w:hAnsi="Times New Roman" w:cs="Times New Roman"/>
          <w:sz w:val="24"/>
          <w:szCs w:val="24"/>
        </w:rPr>
      </w:pPr>
      <w:r w:rsidRPr="00DF22D4">
        <w:rPr>
          <w:rFonts w:ascii="Times New Roman" w:hAnsi="Times New Roman" w:cs="Times New Roman"/>
        </w:rPr>
        <w:lastRenderedPageBreak/>
        <w:t>“This year, the Bank’s earnings demonstrated the power of our repositioned, well-diversified businesses, and we exceeded our medium-term objectives, rebounding strongly in EPS growth, return on equity, operating leverage, and capital ratios. Our performance validates the benefits of the significant investments we have made in our businesses over the last few years.” As written by the CEO of Scotiabank, Brian J. Porter</w:t>
      </w:r>
      <w:sdt>
        <w:sdtPr>
          <w:rPr>
            <w:rFonts w:ascii="Times New Roman" w:hAnsi="Times New Roman" w:cs="Times New Roman"/>
          </w:rPr>
          <w:id w:val="-1779864624"/>
          <w:citation/>
        </w:sdtPr>
        <w:sdtContent>
          <w:r w:rsidRPr="00DF22D4">
            <w:rPr>
              <w:rFonts w:ascii="Times New Roman" w:hAnsi="Times New Roman" w:cs="Times New Roman"/>
            </w:rPr>
            <w:fldChar w:fldCharType="begin"/>
          </w:r>
          <w:r w:rsidRPr="00DF22D4">
            <w:rPr>
              <w:rFonts w:ascii="Times New Roman" w:hAnsi="Times New Roman" w:cs="Times New Roman"/>
            </w:rPr>
            <w:instrText xml:space="preserve">CITATION Scotiabank \p 4 \l 4105 </w:instrText>
          </w:r>
          <w:r w:rsidRPr="00DF22D4">
            <w:rPr>
              <w:rFonts w:ascii="Times New Roman" w:hAnsi="Times New Roman" w:cs="Times New Roman"/>
            </w:rPr>
            <w:fldChar w:fldCharType="separate"/>
          </w:r>
          <w:r w:rsidRPr="00DF22D4">
            <w:rPr>
              <w:rFonts w:ascii="Times New Roman" w:hAnsi="Times New Roman" w:cs="Times New Roman"/>
              <w:noProof/>
            </w:rPr>
            <w:t xml:space="preserve"> (Scotiabank, 2021, p. 4)</w:t>
          </w:r>
          <w:r w:rsidRPr="00DF22D4">
            <w:rPr>
              <w:rFonts w:ascii="Times New Roman" w:hAnsi="Times New Roman" w:cs="Times New Roman"/>
            </w:rPr>
            <w:fldChar w:fldCharType="end"/>
          </w:r>
        </w:sdtContent>
      </w:sdt>
      <w:r w:rsidRPr="00DF22D4">
        <w:rPr>
          <w:rFonts w:ascii="Times New Roman" w:hAnsi="Times New Roman" w:cs="Times New Roman"/>
        </w:rPr>
        <w:t xml:space="preserve">, all </w:t>
      </w:r>
      <w:r w:rsidRPr="00DF22D4">
        <w:rPr>
          <w:rFonts w:ascii="Times New Roman" w:hAnsi="Times New Roman" w:cs="Times New Roman"/>
          <w:sz w:val="24"/>
          <w:szCs w:val="24"/>
        </w:rPr>
        <w:t>four business operating segments resulted in a positive financial performance. The Canadian Banking segment continued to deliver strong results for Scotiabank, with strong performance in business banking, a high-</w:t>
      </w:r>
      <w:r w:rsidR="00EE59CA" w:rsidRPr="00DF22D4">
        <w:rPr>
          <w:rFonts w:ascii="Times New Roman" w:hAnsi="Times New Roman" w:cs="Times New Roman"/>
          <w:sz w:val="24"/>
          <w:szCs w:val="24"/>
        </w:rPr>
        <w:t>quality residential mortgage portfolio, and a market-leading position in automotive finance</w:t>
      </w:r>
      <w:sdt>
        <w:sdtPr>
          <w:rPr>
            <w:rFonts w:ascii="Times New Roman" w:hAnsi="Times New Roman" w:cs="Times New Roman"/>
            <w:sz w:val="24"/>
            <w:szCs w:val="24"/>
          </w:rPr>
          <w:id w:val="-2137554264"/>
          <w:citation/>
        </w:sdtPr>
        <w:sdtContent>
          <w:r w:rsidR="00EE78BD" w:rsidRPr="00DF22D4">
            <w:rPr>
              <w:rFonts w:ascii="Times New Roman" w:hAnsi="Times New Roman" w:cs="Times New Roman"/>
              <w:sz w:val="24"/>
              <w:szCs w:val="24"/>
            </w:rPr>
            <w:fldChar w:fldCharType="begin"/>
          </w:r>
          <w:r w:rsidR="00EE78BD" w:rsidRPr="00DF22D4">
            <w:rPr>
              <w:rFonts w:ascii="Times New Roman" w:hAnsi="Times New Roman" w:cs="Times New Roman"/>
              <w:sz w:val="24"/>
              <w:szCs w:val="24"/>
            </w:rPr>
            <w:instrText xml:space="preserve">CITATION Scotiabank \p 4 \l 4105 </w:instrText>
          </w:r>
          <w:r w:rsidR="00EE78BD" w:rsidRPr="00DF22D4">
            <w:rPr>
              <w:rFonts w:ascii="Times New Roman" w:hAnsi="Times New Roman" w:cs="Times New Roman"/>
              <w:sz w:val="24"/>
              <w:szCs w:val="24"/>
            </w:rPr>
            <w:fldChar w:fldCharType="separate"/>
          </w:r>
          <w:r w:rsidR="00EE78BD" w:rsidRPr="00DF22D4">
            <w:rPr>
              <w:rFonts w:ascii="Times New Roman" w:hAnsi="Times New Roman" w:cs="Times New Roman"/>
              <w:noProof/>
              <w:sz w:val="24"/>
              <w:szCs w:val="24"/>
            </w:rPr>
            <w:t xml:space="preserve"> (Scotiabank, 2021, p. 4)</w:t>
          </w:r>
          <w:r w:rsidR="00EE78BD" w:rsidRPr="00DF22D4">
            <w:rPr>
              <w:rFonts w:ascii="Times New Roman" w:hAnsi="Times New Roman" w:cs="Times New Roman"/>
              <w:sz w:val="24"/>
              <w:szCs w:val="24"/>
            </w:rPr>
            <w:fldChar w:fldCharType="end"/>
          </w:r>
        </w:sdtContent>
      </w:sdt>
      <w:r w:rsidR="00EE59CA" w:rsidRPr="00DF22D4">
        <w:rPr>
          <w:rFonts w:ascii="Times New Roman" w:hAnsi="Times New Roman" w:cs="Times New Roman"/>
          <w:sz w:val="24"/>
          <w:szCs w:val="24"/>
        </w:rPr>
        <w:t xml:space="preserve">. </w:t>
      </w:r>
    </w:p>
    <w:p w14:paraId="776F2BF0" w14:textId="56B5F2BF" w:rsidR="00991A01" w:rsidRPr="00DF22D4" w:rsidRDefault="00EE59CA" w:rsidP="009C62DA">
      <w:pPr>
        <w:ind w:firstLine="720"/>
        <w:jc w:val="left"/>
        <w:rPr>
          <w:rFonts w:ascii="Times New Roman" w:hAnsi="Times New Roman" w:cs="Times New Roman"/>
          <w:sz w:val="24"/>
          <w:szCs w:val="24"/>
        </w:rPr>
      </w:pPr>
      <w:r w:rsidRPr="00DF22D4">
        <w:rPr>
          <w:rFonts w:ascii="Times New Roman" w:hAnsi="Times New Roman" w:cs="Times New Roman"/>
          <w:sz w:val="24"/>
          <w:szCs w:val="24"/>
        </w:rPr>
        <w:t>Canadian Banking reported adjusted earnings of $4,171 million in 2021, an increase of 60% compared to the prior year dur to lower provision for credit losses and higher revenues driven by strong asset growth, which was expected to remain strong into 2022</w:t>
      </w:r>
      <w:sdt>
        <w:sdtPr>
          <w:rPr>
            <w:rFonts w:ascii="Times New Roman" w:hAnsi="Times New Roman" w:cs="Times New Roman"/>
            <w:sz w:val="24"/>
            <w:szCs w:val="24"/>
          </w:rPr>
          <w:id w:val="-1557928082"/>
          <w:citation/>
        </w:sdtPr>
        <w:sdtContent>
          <w:r w:rsidR="006C727C" w:rsidRPr="00DF22D4">
            <w:rPr>
              <w:rFonts w:ascii="Times New Roman" w:hAnsi="Times New Roman" w:cs="Times New Roman"/>
              <w:sz w:val="24"/>
              <w:szCs w:val="24"/>
            </w:rPr>
            <w:fldChar w:fldCharType="begin"/>
          </w:r>
          <w:r w:rsidR="006C727C" w:rsidRPr="00DF22D4">
            <w:rPr>
              <w:rFonts w:ascii="Times New Roman" w:hAnsi="Times New Roman" w:cs="Times New Roman"/>
              <w:sz w:val="24"/>
              <w:szCs w:val="24"/>
            </w:rPr>
            <w:instrText xml:space="preserve">CITATION Scotiabank \p 4 \l 4105 </w:instrText>
          </w:r>
          <w:r w:rsidR="006C727C" w:rsidRPr="00DF22D4">
            <w:rPr>
              <w:rFonts w:ascii="Times New Roman" w:hAnsi="Times New Roman" w:cs="Times New Roman"/>
              <w:sz w:val="24"/>
              <w:szCs w:val="24"/>
            </w:rPr>
            <w:fldChar w:fldCharType="separate"/>
          </w:r>
          <w:r w:rsidR="006C727C" w:rsidRPr="00DF22D4">
            <w:rPr>
              <w:rFonts w:ascii="Times New Roman" w:hAnsi="Times New Roman" w:cs="Times New Roman"/>
              <w:noProof/>
              <w:sz w:val="24"/>
              <w:szCs w:val="24"/>
            </w:rPr>
            <w:t xml:space="preserve"> (Scotiabank, 2021, p. 4)</w:t>
          </w:r>
          <w:r w:rsidR="006C727C"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p>
    <w:p w14:paraId="1FA167BD" w14:textId="1C9E7333" w:rsidR="00EE59CA" w:rsidRPr="00DF22D4" w:rsidRDefault="00EE59CA" w:rsidP="009C62DA">
      <w:pPr>
        <w:ind w:firstLine="720"/>
        <w:jc w:val="left"/>
        <w:rPr>
          <w:rFonts w:ascii="Times New Roman" w:hAnsi="Times New Roman" w:cs="Times New Roman"/>
          <w:sz w:val="24"/>
          <w:szCs w:val="24"/>
        </w:rPr>
      </w:pPr>
      <w:r w:rsidRPr="00DF22D4">
        <w:rPr>
          <w:rFonts w:ascii="Times New Roman" w:hAnsi="Times New Roman" w:cs="Times New Roman"/>
          <w:sz w:val="24"/>
          <w:szCs w:val="24"/>
        </w:rPr>
        <w:t xml:space="preserve">Global Wealth Management </w:t>
      </w:r>
      <w:r w:rsidR="00C97B8B" w:rsidRPr="00DF22D4">
        <w:rPr>
          <w:rFonts w:ascii="Times New Roman" w:hAnsi="Times New Roman" w:cs="Times New Roman"/>
          <w:sz w:val="24"/>
          <w:szCs w:val="24"/>
        </w:rPr>
        <w:t>reported adjusted earnings of $1,592 million in 2021, which increased 23% compared to 2022. This was driven by strong results across its Canadian advisory and asset management businesses</w:t>
      </w:r>
      <w:sdt>
        <w:sdtPr>
          <w:rPr>
            <w:rFonts w:ascii="Times New Roman" w:hAnsi="Times New Roman" w:cs="Times New Roman"/>
            <w:sz w:val="24"/>
            <w:szCs w:val="24"/>
          </w:rPr>
          <w:id w:val="-1430197967"/>
          <w:citation/>
        </w:sdtPr>
        <w:sdtContent>
          <w:r w:rsidR="006C727C" w:rsidRPr="00DF22D4">
            <w:rPr>
              <w:rFonts w:ascii="Times New Roman" w:hAnsi="Times New Roman" w:cs="Times New Roman"/>
              <w:sz w:val="24"/>
              <w:szCs w:val="24"/>
            </w:rPr>
            <w:fldChar w:fldCharType="begin"/>
          </w:r>
          <w:r w:rsidR="006C727C" w:rsidRPr="00DF22D4">
            <w:rPr>
              <w:rFonts w:ascii="Times New Roman" w:hAnsi="Times New Roman" w:cs="Times New Roman"/>
              <w:sz w:val="24"/>
              <w:szCs w:val="24"/>
            </w:rPr>
            <w:instrText xml:space="preserve">CITATION Scotiabank \p 4 \l 4105 </w:instrText>
          </w:r>
          <w:r w:rsidR="006C727C" w:rsidRPr="00DF22D4">
            <w:rPr>
              <w:rFonts w:ascii="Times New Roman" w:hAnsi="Times New Roman" w:cs="Times New Roman"/>
              <w:sz w:val="24"/>
              <w:szCs w:val="24"/>
            </w:rPr>
            <w:fldChar w:fldCharType="separate"/>
          </w:r>
          <w:r w:rsidR="006C727C" w:rsidRPr="00DF22D4">
            <w:rPr>
              <w:rFonts w:ascii="Times New Roman" w:hAnsi="Times New Roman" w:cs="Times New Roman"/>
              <w:noProof/>
              <w:sz w:val="24"/>
              <w:szCs w:val="24"/>
            </w:rPr>
            <w:t xml:space="preserve"> (Scotiabank, 2021, p. 4)</w:t>
          </w:r>
          <w:r w:rsidR="006C727C" w:rsidRPr="00DF22D4">
            <w:rPr>
              <w:rFonts w:ascii="Times New Roman" w:hAnsi="Times New Roman" w:cs="Times New Roman"/>
              <w:sz w:val="24"/>
              <w:szCs w:val="24"/>
            </w:rPr>
            <w:fldChar w:fldCharType="end"/>
          </w:r>
        </w:sdtContent>
      </w:sdt>
      <w:r w:rsidR="00C97B8B" w:rsidRPr="00DF22D4">
        <w:rPr>
          <w:rFonts w:ascii="Times New Roman" w:hAnsi="Times New Roman" w:cs="Times New Roman"/>
          <w:sz w:val="24"/>
          <w:szCs w:val="24"/>
        </w:rPr>
        <w:t>.</w:t>
      </w:r>
    </w:p>
    <w:p w14:paraId="42DA4A08" w14:textId="7F4A726A" w:rsidR="00C97B8B" w:rsidRPr="00DF22D4" w:rsidRDefault="00C97B8B" w:rsidP="009C62DA">
      <w:pPr>
        <w:ind w:firstLine="720"/>
        <w:jc w:val="left"/>
        <w:rPr>
          <w:rFonts w:ascii="Times New Roman" w:hAnsi="Times New Roman" w:cs="Times New Roman"/>
          <w:sz w:val="24"/>
          <w:szCs w:val="24"/>
        </w:rPr>
      </w:pPr>
      <w:r w:rsidRPr="00DF22D4">
        <w:rPr>
          <w:rFonts w:ascii="Times New Roman" w:hAnsi="Times New Roman" w:cs="Times New Roman"/>
          <w:sz w:val="24"/>
          <w:szCs w:val="24"/>
        </w:rPr>
        <w:t>Global Banking and Markets</w:t>
      </w:r>
      <w:r w:rsidR="001B0683" w:rsidRPr="00DF22D4">
        <w:rPr>
          <w:rFonts w:ascii="Times New Roman" w:hAnsi="Times New Roman" w:cs="Times New Roman"/>
          <w:sz w:val="24"/>
          <w:szCs w:val="24"/>
        </w:rPr>
        <w:t xml:space="preserve"> delivered another strong year with earnings of $2,075 million, with strong performance in corporate banking and capital markets</w:t>
      </w:r>
      <w:sdt>
        <w:sdtPr>
          <w:rPr>
            <w:rFonts w:ascii="Times New Roman" w:hAnsi="Times New Roman" w:cs="Times New Roman"/>
            <w:sz w:val="24"/>
            <w:szCs w:val="24"/>
          </w:rPr>
          <w:id w:val="-766148188"/>
          <w:citation/>
        </w:sdtPr>
        <w:sdtContent>
          <w:r w:rsidR="006C727C" w:rsidRPr="00DF22D4">
            <w:rPr>
              <w:rFonts w:ascii="Times New Roman" w:hAnsi="Times New Roman" w:cs="Times New Roman"/>
              <w:sz w:val="24"/>
              <w:szCs w:val="24"/>
            </w:rPr>
            <w:fldChar w:fldCharType="begin"/>
          </w:r>
          <w:r w:rsidR="006C727C" w:rsidRPr="00DF22D4">
            <w:rPr>
              <w:rFonts w:ascii="Times New Roman" w:hAnsi="Times New Roman" w:cs="Times New Roman"/>
              <w:sz w:val="24"/>
              <w:szCs w:val="24"/>
            </w:rPr>
            <w:instrText xml:space="preserve">CITATION Scotiabank \p 4 \l 4105 </w:instrText>
          </w:r>
          <w:r w:rsidR="006C727C" w:rsidRPr="00DF22D4">
            <w:rPr>
              <w:rFonts w:ascii="Times New Roman" w:hAnsi="Times New Roman" w:cs="Times New Roman"/>
              <w:sz w:val="24"/>
              <w:szCs w:val="24"/>
            </w:rPr>
            <w:fldChar w:fldCharType="separate"/>
          </w:r>
          <w:r w:rsidR="006C727C" w:rsidRPr="00DF22D4">
            <w:rPr>
              <w:rFonts w:ascii="Times New Roman" w:hAnsi="Times New Roman" w:cs="Times New Roman"/>
              <w:noProof/>
              <w:sz w:val="24"/>
              <w:szCs w:val="24"/>
            </w:rPr>
            <w:t xml:space="preserve"> (Scotiabank, 2021, p. 4)</w:t>
          </w:r>
          <w:r w:rsidR="006C727C" w:rsidRPr="00DF22D4">
            <w:rPr>
              <w:rFonts w:ascii="Times New Roman" w:hAnsi="Times New Roman" w:cs="Times New Roman"/>
              <w:sz w:val="24"/>
              <w:szCs w:val="24"/>
            </w:rPr>
            <w:fldChar w:fldCharType="end"/>
          </w:r>
        </w:sdtContent>
      </w:sdt>
      <w:r w:rsidR="001B0683" w:rsidRPr="00DF22D4">
        <w:rPr>
          <w:rFonts w:ascii="Times New Roman" w:hAnsi="Times New Roman" w:cs="Times New Roman"/>
          <w:sz w:val="24"/>
          <w:szCs w:val="24"/>
        </w:rPr>
        <w:t>.</w:t>
      </w:r>
    </w:p>
    <w:p w14:paraId="28E58737" w14:textId="3799B39F" w:rsidR="001B0683" w:rsidRPr="00DF22D4" w:rsidRDefault="001B0683" w:rsidP="009C62DA">
      <w:pPr>
        <w:ind w:firstLine="720"/>
        <w:jc w:val="left"/>
        <w:rPr>
          <w:rFonts w:ascii="Times New Roman" w:hAnsi="Times New Roman" w:cs="Times New Roman"/>
          <w:sz w:val="24"/>
          <w:szCs w:val="24"/>
        </w:rPr>
      </w:pPr>
      <w:r w:rsidRPr="00DF22D4">
        <w:rPr>
          <w:rFonts w:ascii="Times New Roman" w:hAnsi="Times New Roman" w:cs="Times New Roman"/>
          <w:sz w:val="24"/>
          <w:szCs w:val="24"/>
        </w:rPr>
        <w:t>International Banking also reported adjusted earnings of $1,855 million, which was an increase of 62% compared to 2020 due to lower provision for credit losses and prudent expense management</w:t>
      </w:r>
      <w:sdt>
        <w:sdtPr>
          <w:rPr>
            <w:rFonts w:ascii="Times New Roman" w:hAnsi="Times New Roman" w:cs="Times New Roman"/>
            <w:sz w:val="24"/>
            <w:szCs w:val="24"/>
          </w:rPr>
          <w:id w:val="2098140785"/>
          <w:citation/>
        </w:sdtPr>
        <w:sdtContent>
          <w:r w:rsidR="006C727C" w:rsidRPr="00DF22D4">
            <w:rPr>
              <w:rFonts w:ascii="Times New Roman" w:hAnsi="Times New Roman" w:cs="Times New Roman"/>
              <w:sz w:val="24"/>
              <w:szCs w:val="24"/>
            </w:rPr>
            <w:fldChar w:fldCharType="begin"/>
          </w:r>
          <w:r w:rsidR="006C727C" w:rsidRPr="00DF22D4">
            <w:rPr>
              <w:rFonts w:ascii="Times New Roman" w:hAnsi="Times New Roman" w:cs="Times New Roman"/>
              <w:sz w:val="24"/>
              <w:szCs w:val="24"/>
            </w:rPr>
            <w:instrText xml:space="preserve">CITATION Scotiabank \p 4 \l 4105 </w:instrText>
          </w:r>
          <w:r w:rsidR="006C727C" w:rsidRPr="00DF22D4">
            <w:rPr>
              <w:rFonts w:ascii="Times New Roman" w:hAnsi="Times New Roman" w:cs="Times New Roman"/>
              <w:sz w:val="24"/>
              <w:szCs w:val="24"/>
            </w:rPr>
            <w:fldChar w:fldCharType="separate"/>
          </w:r>
          <w:r w:rsidR="006C727C" w:rsidRPr="00DF22D4">
            <w:rPr>
              <w:rFonts w:ascii="Times New Roman" w:hAnsi="Times New Roman" w:cs="Times New Roman"/>
              <w:noProof/>
              <w:sz w:val="24"/>
              <w:szCs w:val="24"/>
            </w:rPr>
            <w:t xml:space="preserve"> (Scotiabank, 2021, p. 4)</w:t>
          </w:r>
          <w:r w:rsidR="006C727C" w:rsidRPr="00DF22D4">
            <w:rPr>
              <w:rFonts w:ascii="Times New Roman" w:hAnsi="Times New Roman" w:cs="Times New Roman"/>
              <w:sz w:val="24"/>
              <w:szCs w:val="24"/>
            </w:rPr>
            <w:fldChar w:fldCharType="end"/>
          </w:r>
        </w:sdtContent>
      </w:sdt>
      <w:r w:rsidRPr="00DF22D4">
        <w:rPr>
          <w:rFonts w:ascii="Times New Roman" w:hAnsi="Times New Roman" w:cs="Times New Roman"/>
          <w:sz w:val="24"/>
          <w:szCs w:val="24"/>
        </w:rPr>
        <w:t>.</w:t>
      </w:r>
    </w:p>
    <w:p w14:paraId="1C6E69D7" w14:textId="6378BAB7" w:rsidR="000D750D" w:rsidRPr="00DF22D4" w:rsidRDefault="007956F5" w:rsidP="000D750D">
      <w:pPr>
        <w:ind w:firstLine="720"/>
        <w:jc w:val="left"/>
        <w:rPr>
          <w:rFonts w:ascii="Times New Roman" w:hAnsi="Times New Roman" w:cs="Times New Roman"/>
          <w:sz w:val="24"/>
          <w:szCs w:val="24"/>
        </w:rPr>
      </w:pPr>
      <w:r w:rsidRPr="00DF22D4">
        <w:rPr>
          <w:rFonts w:ascii="Times New Roman" w:hAnsi="Times New Roman" w:cs="Times New Roman"/>
          <w:sz w:val="24"/>
          <w:szCs w:val="24"/>
        </w:rPr>
        <w:t>Here are some of the outlooks outlined by the CEO: Scotiabank introduced new and improved ways to connect its customers to a dedicated Scotiabank advisor through its mobile app and online banking platforms, to discuss the banking needs; introduced new products and services to support how and where our customers want to bank; launched solutions to help clients manage through the low interest rate environment</w:t>
      </w:r>
      <w:r w:rsidR="00C6634C" w:rsidRPr="00DF22D4">
        <w:rPr>
          <w:rFonts w:ascii="Times New Roman" w:hAnsi="Times New Roman" w:cs="Times New Roman"/>
          <w:sz w:val="24"/>
          <w:szCs w:val="24"/>
        </w:rPr>
        <w:t>; and introduced ScotiaRED – a series of state-of the-art electronic</w:t>
      </w:r>
      <w:r w:rsidR="00651E0B" w:rsidRPr="00DF22D4">
        <w:rPr>
          <w:rFonts w:ascii="Times New Roman" w:hAnsi="Times New Roman" w:cs="Times New Roman"/>
          <w:sz w:val="24"/>
          <w:szCs w:val="24"/>
        </w:rPr>
        <w:t xml:space="preserve"> trading tools that deliver high-quality execution using advanced analytics and artificial intelligence</w:t>
      </w:r>
      <w:sdt>
        <w:sdtPr>
          <w:rPr>
            <w:rFonts w:ascii="Times New Roman" w:hAnsi="Times New Roman" w:cs="Times New Roman"/>
            <w:sz w:val="24"/>
            <w:szCs w:val="24"/>
          </w:rPr>
          <w:id w:val="-357049188"/>
          <w:citation/>
        </w:sdtPr>
        <w:sdtContent>
          <w:r w:rsidR="0023721B" w:rsidRPr="00DF22D4">
            <w:rPr>
              <w:rFonts w:ascii="Times New Roman" w:hAnsi="Times New Roman" w:cs="Times New Roman"/>
              <w:sz w:val="24"/>
              <w:szCs w:val="24"/>
            </w:rPr>
            <w:fldChar w:fldCharType="begin"/>
          </w:r>
          <w:r w:rsidR="0023721B" w:rsidRPr="00DF22D4">
            <w:rPr>
              <w:rFonts w:ascii="Times New Roman" w:hAnsi="Times New Roman" w:cs="Times New Roman"/>
              <w:sz w:val="24"/>
              <w:szCs w:val="24"/>
            </w:rPr>
            <w:instrText xml:space="preserve">CITATION Scotiabank \p 6 \l 4105 </w:instrText>
          </w:r>
          <w:r w:rsidR="0023721B" w:rsidRPr="00DF22D4">
            <w:rPr>
              <w:rFonts w:ascii="Times New Roman" w:hAnsi="Times New Roman" w:cs="Times New Roman"/>
              <w:sz w:val="24"/>
              <w:szCs w:val="24"/>
            </w:rPr>
            <w:fldChar w:fldCharType="separate"/>
          </w:r>
          <w:r w:rsidR="0023721B" w:rsidRPr="00DF22D4">
            <w:rPr>
              <w:rFonts w:ascii="Times New Roman" w:hAnsi="Times New Roman" w:cs="Times New Roman"/>
              <w:noProof/>
              <w:sz w:val="24"/>
              <w:szCs w:val="24"/>
            </w:rPr>
            <w:t xml:space="preserve"> (Scotiabank, 2021, p. 6)</w:t>
          </w:r>
          <w:r w:rsidR="0023721B" w:rsidRPr="00DF22D4">
            <w:rPr>
              <w:rFonts w:ascii="Times New Roman" w:hAnsi="Times New Roman" w:cs="Times New Roman"/>
              <w:sz w:val="24"/>
              <w:szCs w:val="24"/>
            </w:rPr>
            <w:fldChar w:fldCharType="end"/>
          </w:r>
        </w:sdtContent>
      </w:sdt>
      <w:r w:rsidR="00651E0B" w:rsidRPr="00DF22D4">
        <w:rPr>
          <w:rFonts w:ascii="Times New Roman" w:hAnsi="Times New Roman" w:cs="Times New Roman"/>
          <w:sz w:val="24"/>
          <w:szCs w:val="24"/>
        </w:rPr>
        <w:t>.</w:t>
      </w:r>
    </w:p>
    <w:p w14:paraId="2486D3D1" w14:textId="09E55DBF" w:rsidR="000D750D" w:rsidRPr="00DF22D4" w:rsidRDefault="000D750D" w:rsidP="00A71A19">
      <w:pPr>
        <w:widowControl/>
        <w:jc w:val="left"/>
        <w:rPr>
          <w:rFonts w:ascii="Times New Roman" w:hAnsi="Times New Roman" w:cs="Times New Roman"/>
          <w:sz w:val="24"/>
          <w:szCs w:val="24"/>
        </w:rPr>
      </w:pPr>
      <w:r w:rsidRPr="00DF22D4">
        <w:rPr>
          <w:rFonts w:ascii="Times New Roman" w:hAnsi="Times New Roman" w:cs="Times New Roman"/>
          <w:sz w:val="24"/>
          <w:szCs w:val="24"/>
        </w:rPr>
        <w:br w:type="page"/>
      </w:r>
    </w:p>
    <w:p w14:paraId="00055F2E" w14:textId="50DB380B" w:rsidR="00A03FC1" w:rsidRPr="00DF22D4" w:rsidRDefault="00A90AE1" w:rsidP="00A71A19">
      <w:pPr>
        <w:pStyle w:val="Heading1"/>
        <w:jc w:val="center"/>
        <w:rPr>
          <w:rFonts w:ascii="Times New Roman" w:hAnsi="Times New Roman" w:cs="Times New Roman"/>
        </w:rPr>
      </w:pPr>
      <w:bookmarkStart w:id="3" w:name="_Toc109731576"/>
      <w:r w:rsidRPr="00DF22D4">
        <w:rPr>
          <w:rFonts w:ascii="Times New Roman" w:hAnsi="Times New Roman" w:cs="Times New Roman"/>
        </w:rPr>
        <w:lastRenderedPageBreak/>
        <w:t>Horizontal Analysis</w:t>
      </w:r>
      <w:bookmarkEnd w:id="3"/>
    </w:p>
    <w:p w14:paraId="0501D870" w14:textId="32D8FD61" w:rsidR="0090119B" w:rsidRPr="00DF22D4" w:rsidRDefault="0090119B" w:rsidP="0090119B">
      <w:pPr>
        <w:rPr>
          <w:rFonts w:ascii="Times New Roman" w:hAnsi="Times New Roman" w:cs="Times New Roman"/>
        </w:rPr>
      </w:pPr>
    </w:p>
    <w:p w14:paraId="1C351B44" w14:textId="55622DB9" w:rsidR="00A71A19" w:rsidRPr="00DF22D4" w:rsidRDefault="0090119B" w:rsidP="0090119B">
      <w:pPr>
        <w:keepNext/>
        <w:ind w:firstLine="720"/>
        <w:rPr>
          <w:rFonts w:ascii="Times New Roman" w:hAnsi="Times New Roman" w:cs="Times New Roman"/>
        </w:rPr>
      </w:pPr>
      <w:r w:rsidRPr="00DF22D4">
        <w:rPr>
          <w:rFonts w:ascii="Times New Roman" w:hAnsi="Times New Roman" w:cs="Times New Roman"/>
        </w:rPr>
        <w:t xml:space="preserve">In Figure </w:t>
      </w:r>
      <w:r w:rsidRPr="00DF22D4">
        <w:rPr>
          <w:rFonts w:ascii="Times New Roman" w:hAnsi="Times New Roman" w:cs="Times New Roman"/>
        </w:rPr>
        <w:t>3</w:t>
      </w:r>
      <w:r w:rsidRPr="00DF22D4">
        <w:rPr>
          <w:rFonts w:ascii="Times New Roman" w:hAnsi="Times New Roman" w:cs="Times New Roman"/>
        </w:rPr>
        <w:t xml:space="preserve"> and Figure </w:t>
      </w:r>
      <w:r w:rsidRPr="00DF22D4">
        <w:rPr>
          <w:rFonts w:ascii="Times New Roman" w:hAnsi="Times New Roman" w:cs="Times New Roman"/>
        </w:rPr>
        <w:t>4</w:t>
      </w:r>
      <w:r w:rsidRPr="00DF22D4">
        <w:rPr>
          <w:rFonts w:ascii="Times New Roman" w:hAnsi="Times New Roman" w:cs="Times New Roman"/>
        </w:rPr>
        <w:t xml:space="preserve"> below, horizontal analysis of Condensed </w:t>
      </w:r>
      <w:r w:rsidRPr="00DF22D4">
        <w:rPr>
          <w:rFonts w:ascii="Times New Roman" w:hAnsi="Times New Roman" w:cs="Times New Roman"/>
        </w:rPr>
        <w:t>Balance Sheets</w:t>
      </w:r>
      <w:r w:rsidRPr="00DF22D4">
        <w:rPr>
          <w:rFonts w:ascii="Times New Roman" w:hAnsi="Times New Roman" w:cs="Times New Roman"/>
        </w:rPr>
        <w:t xml:space="preserve"> had been done for Royal Bank of Canada and Bank of Nova Scotia for both 2021 and 2020, respectively. Further analysis will be shown at the conclusion section.</w:t>
      </w:r>
    </w:p>
    <w:p w14:paraId="5E2F5358" w14:textId="77777777" w:rsidR="0090119B" w:rsidRPr="00DF22D4" w:rsidRDefault="0090119B" w:rsidP="0090119B">
      <w:pPr>
        <w:keepNext/>
        <w:ind w:firstLine="720"/>
        <w:rPr>
          <w:rFonts w:ascii="Times New Roman" w:hAnsi="Times New Roman" w:cs="Times New Roman"/>
        </w:rPr>
      </w:pPr>
    </w:p>
    <w:bookmarkStart w:id="4" w:name="_MON_1720281205"/>
    <w:bookmarkEnd w:id="4"/>
    <w:p w14:paraId="497A170C" w14:textId="77777777" w:rsidR="00F94C1A" w:rsidRPr="00DF22D4" w:rsidRDefault="002A2986" w:rsidP="00F94C1A">
      <w:pPr>
        <w:keepNext/>
        <w:jc w:val="center"/>
        <w:rPr>
          <w:rFonts w:ascii="Times New Roman" w:hAnsi="Times New Roman" w:cs="Times New Roman"/>
        </w:rPr>
      </w:pPr>
      <w:r w:rsidRPr="00DF22D4">
        <w:rPr>
          <w:rFonts w:ascii="Times New Roman" w:hAnsi="Times New Roman" w:cs="Times New Roman"/>
        </w:rPr>
        <w:object w:dxaOrig="8874" w:dyaOrig="9371" w14:anchorId="34FE1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7pt;height:468.55pt" o:ole="">
            <v:imagedata r:id="rId12" o:title=""/>
          </v:shape>
          <o:OLEObject Type="Embed" ProgID="Excel.Sheet.12" ShapeID="_x0000_i1025" DrawAspect="Content" ObjectID="_1720348506" r:id="rId13"/>
        </w:object>
      </w:r>
    </w:p>
    <w:p w14:paraId="6F882CEE" w14:textId="672150BA" w:rsidR="00FD21C1" w:rsidRPr="00DF22D4" w:rsidRDefault="00F94C1A" w:rsidP="00F94C1A">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3</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Royal Bank of Canada, 2021. Page 51</w:t>
      </w:r>
      <w:r w:rsidR="005604FC" w:rsidRPr="00DF22D4">
        <w:rPr>
          <w:rFonts w:ascii="Times New Roman" w:hAnsi="Times New Roman" w:cs="Times New Roman"/>
        </w:rPr>
        <w:t xml:space="preserve"> / 135</w:t>
      </w:r>
      <w:r w:rsidRPr="00DF22D4">
        <w:rPr>
          <w:rFonts w:ascii="Times New Roman" w:hAnsi="Times New Roman" w:cs="Times New Roman"/>
        </w:rPr>
        <w:t>.</w:t>
      </w:r>
    </w:p>
    <w:bookmarkStart w:id="5" w:name="_MON_1720322347"/>
    <w:bookmarkEnd w:id="5"/>
    <w:p w14:paraId="0641D374" w14:textId="4186CC44" w:rsidR="00706A1B" w:rsidRPr="00DF22D4" w:rsidRDefault="0083666F" w:rsidP="00706A1B">
      <w:pPr>
        <w:keepNext/>
        <w:jc w:val="center"/>
        <w:rPr>
          <w:rFonts w:ascii="Times New Roman" w:hAnsi="Times New Roman" w:cs="Times New Roman"/>
        </w:rPr>
      </w:pPr>
      <w:r w:rsidRPr="00DF22D4">
        <w:rPr>
          <w:rFonts w:ascii="Times New Roman" w:hAnsi="Times New Roman" w:cs="Times New Roman"/>
        </w:rPr>
        <w:object w:dxaOrig="8874" w:dyaOrig="9996" w14:anchorId="7DAC390B">
          <v:shape id="_x0000_i1227" type="#_x0000_t75" style="width:414.85pt;height:467.3pt" o:ole="">
            <v:imagedata r:id="rId14" o:title=""/>
          </v:shape>
          <o:OLEObject Type="Embed" ProgID="Excel.Sheet.12" ShapeID="_x0000_i1227" DrawAspect="Content" ObjectID="_1720348507" r:id="rId15"/>
        </w:object>
      </w:r>
    </w:p>
    <w:p w14:paraId="0F81B292" w14:textId="78388083" w:rsidR="00A03FC1" w:rsidRPr="00DF22D4" w:rsidRDefault="00706A1B" w:rsidP="00706A1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4</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Bank of Nova Scotia, 2021. Page 63</w:t>
      </w:r>
      <w:r w:rsidR="0083666F" w:rsidRPr="00DF22D4">
        <w:rPr>
          <w:rFonts w:ascii="Times New Roman" w:hAnsi="Times New Roman" w:cs="Times New Roman"/>
        </w:rPr>
        <w:t xml:space="preserve"> / 137</w:t>
      </w:r>
      <w:r w:rsidRPr="00DF22D4">
        <w:rPr>
          <w:rFonts w:ascii="Times New Roman" w:hAnsi="Times New Roman" w:cs="Times New Roman"/>
        </w:rPr>
        <w:t>.</w:t>
      </w:r>
    </w:p>
    <w:p w14:paraId="23C53C64" w14:textId="60AA9427" w:rsidR="00706A1B" w:rsidRPr="00DF22D4" w:rsidRDefault="00667237" w:rsidP="00667237">
      <w:pPr>
        <w:widowControl/>
        <w:jc w:val="left"/>
        <w:rPr>
          <w:rFonts w:ascii="Times New Roman" w:hAnsi="Times New Roman" w:cs="Times New Roman"/>
        </w:rPr>
      </w:pPr>
      <w:r w:rsidRPr="00DF22D4">
        <w:rPr>
          <w:rFonts w:ascii="Times New Roman" w:hAnsi="Times New Roman" w:cs="Times New Roman"/>
        </w:rPr>
        <w:br w:type="page"/>
      </w:r>
    </w:p>
    <w:p w14:paraId="3427DD2E" w14:textId="42CA0EC6" w:rsidR="00667237" w:rsidRPr="00DF22D4" w:rsidRDefault="00667237" w:rsidP="0090119B">
      <w:pPr>
        <w:keepNext/>
        <w:ind w:firstLine="720"/>
        <w:rPr>
          <w:rFonts w:ascii="Times New Roman" w:hAnsi="Times New Roman" w:cs="Times New Roman"/>
        </w:rPr>
      </w:pPr>
      <w:r w:rsidRPr="00DF22D4">
        <w:rPr>
          <w:rFonts w:ascii="Times New Roman" w:hAnsi="Times New Roman" w:cs="Times New Roman"/>
        </w:rPr>
        <w:lastRenderedPageBreak/>
        <w:t xml:space="preserve">In Figure </w:t>
      </w:r>
      <w:r w:rsidRPr="00DF22D4">
        <w:rPr>
          <w:rFonts w:ascii="Times New Roman" w:hAnsi="Times New Roman" w:cs="Times New Roman"/>
        </w:rPr>
        <w:t>5</w:t>
      </w:r>
      <w:r w:rsidRPr="00DF22D4">
        <w:rPr>
          <w:rFonts w:ascii="Times New Roman" w:hAnsi="Times New Roman" w:cs="Times New Roman"/>
        </w:rPr>
        <w:t xml:space="preserve"> and Figure </w:t>
      </w:r>
      <w:r w:rsidRPr="00DF22D4">
        <w:rPr>
          <w:rFonts w:ascii="Times New Roman" w:hAnsi="Times New Roman" w:cs="Times New Roman"/>
        </w:rPr>
        <w:t>6</w:t>
      </w:r>
      <w:r w:rsidRPr="00DF22D4">
        <w:rPr>
          <w:rFonts w:ascii="Times New Roman" w:hAnsi="Times New Roman" w:cs="Times New Roman"/>
        </w:rPr>
        <w:t xml:space="preserve"> below, </w:t>
      </w:r>
      <w:r w:rsidRPr="00DF22D4">
        <w:rPr>
          <w:rFonts w:ascii="Times New Roman" w:hAnsi="Times New Roman" w:cs="Times New Roman"/>
        </w:rPr>
        <w:t>horizontal</w:t>
      </w:r>
      <w:r w:rsidRPr="00DF22D4">
        <w:rPr>
          <w:rFonts w:ascii="Times New Roman" w:hAnsi="Times New Roman" w:cs="Times New Roman"/>
        </w:rPr>
        <w:t xml:space="preserve"> analysis of Condensed Income Statements had been done for Royal Bank of Canada and Bank of Nova Scotia for both 2021 and 2020, respectively. Further analysis will be shown at the conclusion section.</w:t>
      </w:r>
    </w:p>
    <w:p w14:paraId="5CA5946D" w14:textId="77777777" w:rsidR="005064A1" w:rsidRPr="00DF22D4" w:rsidRDefault="005064A1" w:rsidP="0090119B">
      <w:pPr>
        <w:keepNext/>
        <w:ind w:firstLine="720"/>
        <w:rPr>
          <w:rFonts w:ascii="Times New Roman" w:hAnsi="Times New Roman" w:cs="Times New Roman"/>
        </w:rPr>
      </w:pPr>
    </w:p>
    <w:bookmarkStart w:id="6" w:name="_MON_1720282469"/>
    <w:bookmarkEnd w:id="6"/>
    <w:p w14:paraId="3E8D49F2" w14:textId="06F65BAE" w:rsidR="00F94C1A" w:rsidRPr="00DF22D4" w:rsidRDefault="00C22FD5" w:rsidP="00F94C1A">
      <w:pPr>
        <w:keepNext/>
        <w:rPr>
          <w:rFonts w:ascii="Times New Roman" w:hAnsi="Times New Roman" w:cs="Times New Roman"/>
        </w:rPr>
      </w:pPr>
      <w:r w:rsidRPr="00DF22D4">
        <w:rPr>
          <w:rFonts w:ascii="Times New Roman" w:hAnsi="Times New Roman" w:cs="Times New Roman"/>
        </w:rPr>
        <w:object w:dxaOrig="8874" w:dyaOrig="5276" w14:anchorId="29A45F53">
          <v:shape id="_x0000_i1026" type="#_x0000_t75" style="width:414.85pt;height:246.65pt" o:ole="">
            <v:imagedata r:id="rId16" o:title=""/>
          </v:shape>
          <o:OLEObject Type="Embed" ProgID="Excel.Sheet.12" ShapeID="_x0000_i1026" DrawAspect="Content" ObjectID="_1720348508" r:id="rId17"/>
        </w:object>
      </w:r>
    </w:p>
    <w:p w14:paraId="058615C9" w14:textId="783BE661" w:rsidR="002401DA" w:rsidRPr="00DF22D4" w:rsidRDefault="00F94C1A" w:rsidP="00F94C1A">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5</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Royal Bank of Canada, 2021. Page </w:t>
      </w:r>
      <w:r w:rsidR="005604FC" w:rsidRPr="00DF22D4">
        <w:rPr>
          <w:rFonts w:ascii="Times New Roman" w:hAnsi="Times New Roman" w:cs="Times New Roman"/>
        </w:rPr>
        <w:t xml:space="preserve">136 / </w:t>
      </w:r>
      <w:r w:rsidRPr="00DF22D4">
        <w:rPr>
          <w:rFonts w:ascii="Times New Roman" w:hAnsi="Times New Roman" w:cs="Times New Roman"/>
        </w:rPr>
        <w:t>228.</w:t>
      </w:r>
    </w:p>
    <w:bookmarkStart w:id="7" w:name="_MON_1720323268"/>
    <w:bookmarkEnd w:id="7"/>
    <w:p w14:paraId="1CD47200" w14:textId="3B720FBA" w:rsidR="00525B98" w:rsidRPr="00DF22D4" w:rsidRDefault="00FE6B5A" w:rsidP="00525B98">
      <w:pPr>
        <w:keepNext/>
        <w:rPr>
          <w:rFonts w:ascii="Times New Roman" w:hAnsi="Times New Roman" w:cs="Times New Roman"/>
        </w:rPr>
      </w:pPr>
      <w:r w:rsidRPr="00DF22D4">
        <w:rPr>
          <w:rFonts w:ascii="Times New Roman" w:hAnsi="Times New Roman" w:cs="Times New Roman"/>
        </w:rPr>
        <w:object w:dxaOrig="9291" w:dyaOrig="6815" w14:anchorId="7D556C06">
          <v:shape id="_x0000_i1906" type="#_x0000_t75" style="width:434.35pt;height:318.6pt" o:ole="">
            <v:imagedata r:id="rId18" o:title=""/>
          </v:shape>
          <o:OLEObject Type="Embed" ProgID="Excel.Sheet.12" ShapeID="_x0000_i1906" DrawAspect="Content" ObjectID="_1720348509" r:id="rId19"/>
        </w:object>
      </w:r>
    </w:p>
    <w:p w14:paraId="7CE42EC7" w14:textId="294EE484" w:rsidR="00A71A19" w:rsidRPr="00DF22D4" w:rsidRDefault="00525B98" w:rsidP="005064A1">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6</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Bank of Nova Scotia, 2021. Page 137.</w:t>
      </w:r>
    </w:p>
    <w:p w14:paraId="55D91F28" w14:textId="41259672" w:rsidR="00A71A19" w:rsidRPr="00DF22D4" w:rsidRDefault="00A90AE1" w:rsidP="00A71A19">
      <w:pPr>
        <w:pStyle w:val="Heading1"/>
        <w:jc w:val="center"/>
        <w:rPr>
          <w:rFonts w:ascii="Times New Roman" w:hAnsi="Times New Roman" w:cs="Times New Roman"/>
        </w:rPr>
      </w:pPr>
      <w:bookmarkStart w:id="8" w:name="_Toc109731577"/>
      <w:r w:rsidRPr="00DF22D4">
        <w:rPr>
          <w:rFonts w:ascii="Times New Roman" w:hAnsi="Times New Roman" w:cs="Times New Roman"/>
        </w:rPr>
        <w:lastRenderedPageBreak/>
        <w:t>Vertical Analysis</w:t>
      </w:r>
      <w:bookmarkEnd w:id="8"/>
    </w:p>
    <w:p w14:paraId="5A0962C3" w14:textId="77777777" w:rsidR="00C813A4" w:rsidRPr="00DF22D4" w:rsidRDefault="00C813A4" w:rsidP="00C813A4">
      <w:pPr>
        <w:rPr>
          <w:rFonts w:ascii="Times New Roman" w:hAnsi="Times New Roman" w:cs="Times New Roman"/>
        </w:rPr>
      </w:pPr>
    </w:p>
    <w:p w14:paraId="59D1E6E1" w14:textId="4618C16A" w:rsidR="00A71A19" w:rsidRPr="00DF22D4" w:rsidRDefault="0046224C" w:rsidP="0046224C">
      <w:pPr>
        <w:ind w:firstLine="720"/>
        <w:rPr>
          <w:rFonts w:ascii="Times New Roman" w:hAnsi="Times New Roman" w:cs="Times New Roman"/>
        </w:rPr>
      </w:pPr>
      <w:r w:rsidRPr="00DF22D4">
        <w:rPr>
          <w:rFonts w:ascii="Times New Roman" w:hAnsi="Times New Roman" w:cs="Times New Roman"/>
        </w:rPr>
        <w:t>In Figure 7 and Figure 8 below, vertical analysis</w:t>
      </w:r>
      <w:r w:rsidR="00611394" w:rsidRPr="00DF22D4">
        <w:rPr>
          <w:rFonts w:ascii="Times New Roman" w:hAnsi="Times New Roman" w:cs="Times New Roman"/>
        </w:rPr>
        <w:t xml:space="preserve"> of Condensed Balance Sheets</w:t>
      </w:r>
      <w:r w:rsidRPr="00DF22D4">
        <w:rPr>
          <w:rFonts w:ascii="Times New Roman" w:hAnsi="Times New Roman" w:cs="Times New Roman"/>
        </w:rPr>
        <w:t xml:space="preserve"> </w:t>
      </w:r>
      <w:r w:rsidR="00840CCA" w:rsidRPr="00DF22D4">
        <w:rPr>
          <w:rFonts w:ascii="Times New Roman" w:hAnsi="Times New Roman" w:cs="Times New Roman"/>
        </w:rPr>
        <w:t>had</w:t>
      </w:r>
      <w:r w:rsidRPr="00DF22D4">
        <w:rPr>
          <w:rFonts w:ascii="Times New Roman" w:hAnsi="Times New Roman" w:cs="Times New Roman"/>
        </w:rPr>
        <w:t xml:space="preserve"> been done for Royal Bank of Canada and Bank of Nova Scotia for both 2021 and 2020, respectively. Further analysis will be shown at the conclusion section.</w:t>
      </w:r>
    </w:p>
    <w:p w14:paraId="3EC0D022" w14:textId="77777777" w:rsidR="00F63E35" w:rsidRPr="00DF22D4" w:rsidRDefault="00F63E35" w:rsidP="0046224C">
      <w:pPr>
        <w:ind w:firstLine="720"/>
        <w:rPr>
          <w:rFonts w:ascii="Times New Roman" w:hAnsi="Times New Roman" w:cs="Times New Roman"/>
        </w:rPr>
      </w:pPr>
    </w:p>
    <w:bookmarkStart w:id="9" w:name="_MON_1720283912"/>
    <w:bookmarkEnd w:id="9"/>
    <w:p w14:paraId="5CAD44B5" w14:textId="23CE5D56" w:rsidR="00F94C1A" w:rsidRPr="00DF22D4" w:rsidRDefault="00765ACE" w:rsidP="00F94C1A">
      <w:pPr>
        <w:keepNext/>
        <w:rPr>
          <w:rFonts w:ascii="Times New Roman" w:hAnsi="Times New Roman" w:cs="Times New Roman"/>
        </w:rPr>
      </w:pPr>
      <w:r w:rsidRPr="00DF22D4">
        <w:rPr>
          <w:rFonts w:ascii="Times New Roman" w:hAnsi="Times New Roman" w:cs="Times New Roman"/>
        </w:rPr>
        <w:object w:dxaOrig="8550" w:dyaOrig="9371" w14:anchorId="5E757CF6">
          <v:shape id="_x0000_i1910" type="#_x0000_t75" style="width:399.7pt;height:438.1pt" o:ole="">
            <v:imagedata r:id="rId20" o:title=""/>
          </v:shape>
          <o:OLEObject Type="Embed" ProgID="Excel.Sheet.12" ShapeID="_x0000_i1910" DrawAspect="Content" ObjectID="_1720348510" r:id="rId21"/>
        </w:object>
      </w:r>
    </w:p>
    <w:p w14:paraId="7659A0A5" w14:textId="05E20F72" w:rsidR="002401DA" w:rsidRPr="00DF22D4" w:rsidRDefault="00F94C1A" w:rsidP="00F94C1A">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7</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Royal Bank of Canada, 2021. Page 51</w:t>
      </w:r>
      <w:r w:rsidR="005604FC" w:rsidRPr="00DF22D4">
        <w:rPr>
          <w:rFonts w:ascii="Times New Roman" w:hAnsi="Times New Roman" w:cs="Times New Roman"/>
        </w:rPr>
        <w:t xml:space="preserve"> / 135</w:t>
      </w:r>
      <w:r w:rsidRPr="00DF22D4">
        <w:rPr>
          <w:rFonts w:ascii="Times New Roman" w:hAnsi="Times New Roman" w:cs="Times New Roman"/>
        </w:rPr>
        <w:t>.</w:t>
      </w:r>
    </w:p>
    <w:bookmarkStart w:id="10" w:name="_MON_1720324521"/>
    <w:bookmarkEnd w:id="10"/>
    <w:p w14:paraId="06BF52F4" w14:textId="77777777" w:rsidR="0006166B" w:rsidRPr="00DF22D4" w:rsidRDefault="003017B3" w:rsidP="0006166B">
      <w:pPr>
        <w:keepNext/>
        <w:jc w:val="center"/>
        <w:rPr>
          <w:rFonts w:ascii="Times New Roman" w:hAnsi="Times New Roman" w:cs="Times New Roman"/>
        </w:rPr>
      </w:pPr>
      <w:r w:rsidRPr="00DF22D4">
        <w:rPr>
          <w:rFonts w:ascii="Times New Roman" w:hAnsi="Times New Roman" w:cs="Times New Roman"/>
        </w:rPr>
        <w:object w:dxaOrig="7965" w:dyaOrig="10680" w14:anchorId="77AFB4C6">
          <v:shape id="_x0000_i1302" type="#_x0000_t75" style="width:372.35pt;height:499.3pt" o:ole="">
            <v:imagedata r:id="rId22" o:title=""/>
          </v:shape>
          <o:OLEObject Type="Embed" ProgID="Excel.Sheet.12" ShapeID="_x0000_i1302" DrawAspect="Content" ObjectID="_1720348511" r:id="rId23"/>
        </w:object>
      </w:r>
    </w:p>
    <w:p w14:paraId="24C01343" w14:textId="6E003E18" w:rsidR="00775011" w:rsidRPr="00DF22D4" w:rsidRDefault="0006166B" w:rsidP="0006166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8</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Bank of Nova Scotia, 2021. Page 137</w:t>
      </w:r>
    </w:p>
    <w:p w14:paraId="3FC8D5EE" w14:textId="09A4AC65" w:rsidR="00611394" w:rsidRPr="00DF22D4" w:rsidRDefault="00611394" w:rsidP="00611394">
      <w:pPr>
        <w:widowControl/>
        <w:jc w:val="left"/>
        <w:rPr>
          <w:rFonts w:ascii="Times New Roman" w:hAnsi="Times New Roman" w:cs="Times New Roman"/>
        </w:rPr>
      </w:pPr>
      <w:r w:rsidRPr="00DF22D4">
        <w:rPr>
          <w:rFonts w:ascii="Times New Roman" w:hAnsi="Times New Roman" w:cs="Times New Roman"/>
        </w:rPr>
        <w:br w:type="page"/>
      </w:r>
    </w:p>
    <w:p w14:paraId="1399A05D" w14:textId="05FD6CEA" w:rsidR="00611394" w:rsidRPr="00DF22D4" w:rsidRDefault="00611394" w:rsidP="00611394">
      <w:pPr>
        <w:keepNext/>
        <w:ind w:firstLine="720"/>
        <w:rPr>
          <w:rFonts w:ascii="Times New Roman" w:hAnsi="Times New Roman" w:cs="Times New Roman"/>
        </w:rPr>
      </w:pPr>
      <w:r w:rsidRPr="00DF22D4">
        <w:rPr>
          <w:rFonts w:ascii="Times New Roman" w:hAnsi="Times New Roman" w:cs="Times New Roman"/>
        </w:rPr>
        <w:lastRenderedPageBreak/>
        <w:t xml:space="preserve">In Figure </w:t>
      </w:r>
      <w:r w:rsidRPr="00DF22D4">
        <w:rPr>
          <w:rFonts w:ascii="Times New Roman" w:hAnsi="Times New Roman" w:cs="Times New Roman"/>
        </w:rPr>
        <w:t>9</w:t>
      </w:r>
      <w:r w:rsidRPr="00DF22D4">
        <w:rPr>
          <w:rFonts w:ascii="Times New Roman" w:hAnsi="Times New Roman" w:cs="Times New Roman"/>
        </w:rPr>
        <w:t xml:space="preserve"> and Figure </w:t>
      </w:r>
      <w:r w:rsidRPr="00DF22D4">
        <w:rPr>
          <w:rFonts w:ascii="Times New Roman" w:hAnsi="Times New Roman" w:cs="Times New Roman"/>
        </w:rPr>
        <w:t>10</w:t>
      </w:r>
      <w:r w:rsidRPr="00DF22D4">
        <w:rPr>
          <w:rFonts w:ascii="Times New Roman" w:hAnsi="Times New Roman" w:cs="Times New Roman"/>
        </w:rPr>
        <w:t xml:space="preserve"> below, vertical analysis of Condensed </w:t>
      </w:r>
      <w:r w:rsidR="002B1F57" w:rsidRPr="00DF22D4">
        <w:rPr>
          <w:rFonts w:ascii="Times New Roman" w:hAnsi="Times New Roman" w:cs="Times New Roman"/>
        </w:rPr>
        <w:t>Income Statements</w:t>
      </w:r>
      <w:r w:rsidRPr="00DF22D4">
        <w:rPr>
          <w:rFonts w:ascii="Times New Roman" w:hAnsi="Times New Roman" w:cs="Times New Roman"/>
        </w:rPr>
        <w:t xml:space="preserve"> had been done for Royal Bank of Canada and Bank of Nova Scotia for both 2021 and 2020, respectively. Further analysis will be shown at the conclusion section.</w:t>
      </w:r>
    </w:p>
    <w:p w14:paraId="66480833" w14:textId="77777777" w:rsidR="00F63E35" w:rsidRPr="00DF22D4" w:rsidRDefault="00F63E35" w:rsidP="00611394">
      <w:pPr>
        <w:keepNext/>
        <w:ind w:firstLine="720"/>
        <w:rPr>
          <w:rFonts w:ascii="Times New Roman" w:hAnsi="Times New Roman" w:cs="Times New Roman"/>
        </w:rPr>
      </w:pPr>
    </w:p>
    <w:bookmarkStart w:id="11" w:name="_MON_1720284268"/>
    <w:bookmarkEnd w:id="11"/>
    <w:p w14:paraId="25AB0B55" w14:textId="71E5AFE4" w:rsidR="00F94C1A" w:rsidRPr="00DF22D4" w:rsidRDefault="0088365A" w:rsidP="002F316F">
      <w:pPr>
        <w:keepNext/>
        <w:jc w:val="center"/>
        <w:rPr>
          <w:rFonts w:ascii="Times New Roman" w:hAnsi="Times New Roman" w:cs="Times New Roman"/>
        </w:rPr>
      </w:pPr>
      <w:r w:rsidRPr="00DF22D4">
        <w:rPr>
          <w:rFonts w:ascii="Times New Roman" w:hAnsi="Times New Roman" w:cs="Times New Roman"/>
        </w:rPr>
        <w:object w:dxaOrig="8472" w:dyaOrig="5276" w14:anchorId="13A70F55">
          <v:shape id="_x0000_i1317" type="#_x0000_t75" style="width:396.05pt;height:246.65pt" o:ole="">
            <v:imagedata r:id="rId24" o:title=""/>
          </v:shape>
          <o:OLEObject Type="Embed" ProgID="Excel.Sheet.12" ShapeID="_x0000_i1317" DrawAspect="Content" ObjectID="_1720348512" r:id="rId25"/>
        </w:object>
      </w:r>
    </w:p>
    <w:p w14:paraId="235BCBD2" w14:textId="151B6A89" w:rsidR="00C22FD5" w:rsidRPr="00DF22D4" w:rsidRDefault="00F94C1A" w:rsidP="00F94C1A">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9</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Royal Bank of Canada, 2021. Page 136 / 228.</w:t>
      </w:r>
    </w:p>
    <w:bookmarkStart w:id="12" w:name="_MON_1720325539"/>
    <w:bookmarkEnd w:id="12"/>
    <w:p w14:paraId="0387C3AE" w14:textId="77777777" w:rsidR="0088365A" w:rsidRPr="00DF22D4" w:rsidRDefault="0088365A" w:rsidP="0088365A">
      <w:pPr>
        <w:keepNext/>
        <w:jc w:val="center"/>
        <w:rPr>
          <w:rFonts w:ascii="Times New Roman" w:hAnsi="Times New Roman" w:cs="Times New Roman"/>
        </w:rPr>
      </w:pPr>
      <w:r w:rsidRPr="00DF22D4">
        <w:rPr>
          <w:rFonts w:ascii="Times New Roman" w:hAnsi="Times New Roman" w:cs="Times New Roman"/>
        </w:rPr>
        <w:object w:dxaOrig="9291" w:dyaOrig="6815" w14:anchorId="7A22F875">
          <v:shape id="_x0000_i1335" type="#_x0000_t75" style="width:434.35pt;height:318.6pt" o:ole="">
            <v:imagedata r:id="rId26" o:title=""/>
          </v:shape>
          <o:OLEObject Type="Embed" ProgID="Excel.Sheet.12" ShapeID="_x0000_i1335" DrawAspect="Content" ObjectID="_1720348513" r:id="rId27"/>
        </w:object>
      </w:r>
    </w:p>
    <w:p w14:paraId="2E24B272" w14:textId="23323D5F" w:rsidR="00784BDF" w:rsidRPr="00DF22D4" w:rsidRDefault="0088365A" w:rsidP="0088365A">
      <w:pPr>
        <w:pStyle w:val="Caption"/>
        <w:jc w:val="center"/>
        <w:rPr>
          <w:rFonts w:ascii="Times New Roman" w:hAnsi="Times New Roman" w:cs="Times New Roman"/>
          <w:sz w:val="24"/>
          <w:szCs w:val="24"/>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10</w:t>
      </w:r>
      <w:r w:rsidRPr="00DF22D4">
        <w:rPr>
          <w:rFonts w:ascii="Times New Roman" w:hAnsi="Times New Roman" w:cs="Times New Roman"/>
        </w:rPr>
        <w:fldChar w:fldCharType="end"/>
      </w:r>
      <w:r w:rsidRPr="00DF22D4">
        <w:rPr>
          <w:rFonts w:ascii="Times New Roman" w:hAnsi="Times New Roman" w:cs="Times New Roman"/>
        </w:rPr>
        <w:t xml:space="preserve"> - The data are from "2021 annual report" by Bank of Nova Scotia, 2021. Page 137.</w:t>
      </w:r>
    </w:p>
    <w:p w14:paraId="50DE985A" w14:textId="698A4A80" w:rsidR="00784BDF" w:rsidRPr="00DF22D4" w:rsidRDefault="00784BDF" w:rsidP="00784BDF">
      <w:pPr>
        <w:pStyle w:val="Heading1"/>
        <w:jc w:val="center"/>
        <w:rPr>
          <w:rFonts w:ascii="Times New Roman" w:hAnsi="Times New Roman" w:cs="Times New Roman"/>
        </w:rPr>
      </w:pPr>
      <w:bookmarkStart w:id="13" w:name="_Toc109731578"/>
      <w:r w:rsidRPr="00DF22D4">
        <w:rPr>
          <w:rFonts w:ascii="Times New Roman" w:hAnsi="Times New Roman" w:cs="Times New Roman"/>
        </w:rPr>
        <w:lastRenderedPageBreak/>
        <w:t>Financial Ratio Analysis</w:t>
      </w:r>
      <w:bookmarkEnd w:id="13"/>
    </w:p>
    <w:p w14:paraId="7958F354" w14:textId="647BCDC2" w:rsidR="00E62C5B" w:rsidRPr="00DF22D4" w:rsidRDefault="00E62C5B" w:rsidP="00E62C5B">
      <w:pPr>
        <w:rPr>
          <w:rFonts w:ascii="Times New Roman" w:hAnsi="Times New Roman" w:cs="Times New Roman"/>
        </w:rPr>
      </w:pPr>
    </w:p>
    <w:p w14:paraId="7C916935" w14:textId="4573B553" w:rsidR="00E62C5B" w:rsidRPr="00DF22D4" w:rsidRDefault="005852FA" w:rsidP="00E73287">
      <w:pPr>
        <w:ind w:firstLine="720"/>
        <w:rPr>
          <w:rFonts w:ascii="Times New Roman" w:hAnsi="Times New Roman" w:cs="Times New Roman"/>
        </w:rPr>
      </w:pPr>
      <w:r w:rsidRPr="00DF22D4">
        <w:rPr>
          <w:rFonts w:ascii="Times New Roman" w:hAnsi="Times New Roman" w:cs="Times New Roman"/>
        </w:rPr>
        <w:t>The following Figure 11 and Figure 12 show all ratios including Current Ratio, Receivables Turnover, Debt to Total Assets, Interest Coverage, Profit Margin, Return on Assets (ROA), Return on Equity (ROE), and Earnings per Share of both companies. Calculations of all ratios are shown below, further analysis are shown in the conclusion section.</w:t>
      </w:r>
    </w:p>
    <w:p w14:paraId="03000381" w14:textId="77777777" w:rsidR="00C87385" w:rsidRPr="00DF22D4" w:rsidRDefault="00C87385" w:rsidP="00E73287">
      <w:pPr>
        <w:ind w:firstLine="720"/>
        <w:rPr>
          <w:rFonts w:ascii="Times New Roman" w:hAnsi="Times New Roman" w:cs="Times New Roman"/>
        </w:rPr>
      </w:pPr>
    </w:p>
    <w:bookmarkStart w:id="14" w:name="_MON_1720279684"/>
    <w:bookmarkEnd w:id="14"/>
    <w:p w14:paraId="4DA6490D" w14:textId="41330BA6" w:rsidR="00E62C5B" w:rsidRPr="00DF22D4" w:rsidRDefault="00A757D5" w:rsidP="00E62C5B">
      <w:pPr>
        <w:keepNext/>
        <w:jc w:val="center"/>
        <w:rPr>
          <w:rFonts w:ascii="Times New Roman" w:hAnsi="Times New Roman" w:cs="Times New Roman"/>
        </w:rPr>
      </w:pPr>
      <w:r w:rsidRPr="00DF22D4">
        <w:rPr>
          <w:rFonts w:ascii="Times New Roman" w:hAnsi="Times New Roman" w:cs="Times New Roman"/>
        </w:rPr>
        <w:object w:dxaOrig="4577" w:dyaOrig="3505" w14:anchorId="4FEF65E4">
          <v:shape id="_x0000_i1621" type="#_x0000_t75" style="width:228.85pt;height:175.25pt" o:ole="">
            <v:imagedata r:id="rId28" o:title=""/>
          </v:shape>
          <o:OLEObject Type="Embed" ProgID="Excel.Sheet.12" ShapeID="_x0000_i1621" DrawAspect="Content" ObjectID="_1720348514" r:id="rId29"/>
        </w:object>
      </w:r>
    </w:p>
    <w:p w14:paraId="0EF45F0E" w14:textId="3430CEDC" w:rsidR="00784BDF" w:rsidRPr="00DF22D4" w:rsidRDefault="00E62C5B" w:rsidP="00E62C5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11</w:t>
      </w:r>
      <w:r w:rsidRPr="00DF22D4">
        <w:rPr>
          <w:rFonts w:ascii="Times New Roman" w:hAnsi="Times New Roman" w:cs="Times New Roman"/>
        </w:rPr>
        <w:fldChar w:fldCharType="end"/>
      </w:r>
      <w:r w:rsidRPr="00DF22D4">
        <w:rPr>
          <w:rFonts w:ascii="Times New Roman" w:hAnsi="Times New Roman" w:cs="Times New Roman"/>
        </w:rPr>
        <w:t xml:space="preserve"> </w:t>
      </w:r>
      <w:r w:rsidR="00D71C79" w:rsidRPr="00DF22D4">
        <w:rPr>
          <w:rFonts w:ascii="Times New Roman" w:hAnsi="Times New Roman" w:cs="Times New Roman"/>
        </w:rPr>
        <w:t>–</w:t>
      </w:r>
      <w:r w:rsidRPr="00DF22D4">
        <w:rPr>
          <w:rFonts w:ascii="Times New Roman" w:hAnsi="Times New Roman" w:cs="Times New Roman"/>
        </w:rPr>
        <w:t xml:space="preserve"> </w:t>
      </w:r>
      <w:r w:rsidR="00D71C79" w:rsidRPr="00DF22D4">
        <w:rPr>
          <w:rFonts w:ascii="Times New Roman" w:hAnsi="Times New Roman" w:cs="Times New Roman"/>
        </w:rPr>
        <w:t xml:space="preserve">ratios combined; </w:t>
      </w:r>
      <w:r w:rsidRPr="00DF22D4">
        <w:rPr>
          <w:rFonts w:ascii="Times New Roman" w:hAnsi="Times New Roman" w:cs="Times New Roman"/>
        </w:rPr>
        <w:t>specific ratio calculations are provided below.</w:t>
      </w:r>
    </w:p>
    <w:p w14:paraId="720BB034" w14:textId="77777777" w:rsidR="00C87385" w:rsidRPr="00DF22D4" w:rsidRDefault="00C87385" w:rsidP="00C87385">
      <w:pPr>
        <w:rPr>
          <w:rFonts w:ascii="Times New Roman" w:hAnsi="Times New Roman" w:cs="Times New Roman"/>
        </w:rPr>
      </w:pPr>
    </w:p>
    <w:bookmarkStart w:id="15" w:name="_MON_1720326847"/>
    <w:bookmarkEnd w:id="15"/>
    <w:p w14:paraId="33207867" w14:textId="2F74882B" w:rsidR="00E62C5B" w:rsidRPr="00DF22D4" w:rsidRDefault="004C25EB" w:rsidP="00E62C5B">
      <w:pPr>
        <w:keepNext/>
        <w:jc w:val="center"/>
        <w:rPr>
          <w:rFonts w:ascii="Times New Roman" w:hAnsi="Times New Roman" w:cs="Times New Roman"/>
        </w:rPr>
      </w:pPr>
      <w:r w:rsidRPr="00DF22D4">
        <w:rPr>
          <w:rFonts w:ascii="Times New Roman" w:hAnsi="Times New Roman" w:cs="Times New Roman"/>
        </w:rPr>
        <w:object w:dxaOrig="4577" w:dyaOrig="3505" w14:anchorId="0E10DE6D">
          <v:shape id="_x0000_i1768" type="#_x0000_t75" style="width:228.85pt;height:175.25pt" o:ole="">
            <v:imagedata r:id="rId30" o:title=""/>
          </v:shape>
          <o:OLEObject Type="Embed" ProgID="Excel.Sheet.12" ShapeID="_x0000_i1768" DrawAspect="Content" ObjectID="_1720348515" r:id="rId31"/>
        </w:object>
      </w:r>
    </w:p>
    <w:p w14:paraId="7D045686" w14:textId="7A204DD2" w:rsidR="008F0C7F" w:rsidRPr="00DF22D4" w:rsidRDefault="00E62C5B" w:rsidP="00E62C5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12</w:t>
      </w:r>
      <w:r w:rsidRPr="00DF22D4">
        <w:rPr>
          <w:rFonts w:ascii="Times New Roman" w:hAnsi="Times New Roman" w:cs="Times New Roman"/>
        </w:rPr>
        <w:fldChar w:fldCharType="end"/>
      </w:r>
      <w:r w:rsidRPr="00DF22D4">
        <w:rPr>
          <w:rFonts w:ascii="Times New Roman" w:hAnsi="Times New Roman" w:cs="Times New Roman"/>
        </w:rPr>
        <w:t xml:space="preserve"> </w:t>
      </w:r>
      <w:r w:rsidR="00D71C79" w:rsidRPr="00DF22D4">
        <w:rPr>
          <w:rFonts w:ascii="Times New Roman" w:hAnsi="Times New Roman" w:cs="Times New Roman"/>
        </w:rPr>
        <w:t>–</w:t>
      </w:r>
      <w:r w:rsidRPr="00DF22D4">
        <w:rPr>
          <w:rFonts w:ascii="Times New Roman" w:hAnsi="Times New Roman" w:cs="Times New Roman"/>
        </w:rPr>
        <w:t xml:space="preserve"> </w:t>
      </w:r>
      <w:r w:rsidR="00D71C79" w:rsidRPr="00DF22D4">
        <w:rPr>
          <w:rFonts w:ascii="Times New Roman" w:hAnsi="Times New Roman" w:cs="Times New Roman"/>
        </w:rPr>
        <w:t xml:space="preserve">ratios combined; </w:t>
      </w:r>
      <w:r w:rsidRPr="00DF22D4">
        <w:rPr>
          <w:rFonts w:ascii="Times New Roman" w:hAnsi="Times New Roman" w:cs="Times New Roman"/>
        </w:rPr>
        <w:t>specific ratio calculations are provided below.</w:t>
      </w:r>
    </w:p>
    <w:p w14:paraId="42992933" w14:textId="77777777" w:rsidR="00C87385" w:rsidRPr="00DF22D4" w:rsidRDefault="00C87385">
      <w:pPr>
        <w:widowControl/>
        <w:jc w:val="left"/>
        <w:rPr>
          <w:rFonts w:ascii="Times New Roman" w:hAnsi="Times New Roman" w:cs="Times New Roman"/>
          <w:sz w:val="24"/>
          <w:szCs w:val="24"/>
        </w:rPr>
      </w:pPr>
      <w:r w:rsidRPr="00DF22D4">
        <w:rPr>
          <w:rFonts w:ascii="Times New Roman" w:hAnsi="Times New Roman" w:cs="Times New Roman"/>
          <w:sz w:val="24"/>
          <w:szCs w:val="24"/>
        </w:rPr>
        <w:br w:type="page"/>
      </w:r>
    </w:p>
    <w:p w14:paraId="4B7EBB61" w14:textId="77777777" w:rsidR="00B02077" w:rsidRPr="00DF22D4" w:rsidRDefault="000A1530" w:rsidP="00031451">
      <w:pPr>
        <w:ind w:firstLine="720"/>
        <w:jc w:val="left"/>
        <w:rPr>
          <w:rFonts w:ascii="Times New Roman" w:hAnsi="Times New Roman" w:cs="Times New Roman"/>
          <w:sz w:val="24"/>
          <w:szCs w:val="24"/>
        </w:rPr>
      </w:pPr>
      <w:r w:rsidRPr="00DF22D4">
        <w:rPr>
          <w:rFonts w:ascii="Times New Roman" w:hAnsi="Times New Roman" w:cs="Times New Roman"/>
          <w:sz w:val="24"/>
          <w:szCs w:val="24"/>
        </w:rPr>
        <w:lastRenderedPageBreak/>
        <w:t>Current ratio is defined by Current Assets / Current Liabilities</w:t>
      </w:r>
      <w:r w:rsidR="00B02077" w:rsidRPr="00DF22D4">
        <w:rPr>
          <w:rFonts w:ascii="Times New Roman" w:hAnsi="Times New Roman" w:cs="Times New Roman"/>
          <w:sz w:val="24"/>
          <w:szCs w:val="24"/>
        </w:rPr>
        <w:t>.</w:t>
      </w:r>
    </w:p>
    <w:p w14:paraId="2705CAC0" w14:textId="03CAD8D3" w:rsidR="000A1530" w:rsidRPr="00DF22D4" w:rsidRDefault="00EE1D4E" w:rsidP="00031451">
      <w:pPr>
        <w:ind w:firstLine="720"/>
        <w:jc w:val="left"/>
        <w:rPr>
          <w:rFonts w:ascii="Times New Roman" w:hAnsi="Times New Roman" w:cs="Times New Roman"/>
          <w:sz w:val="24"/>
          <w:szCs w:val="24"/>
        </w:rPr>
      </w:pPr>
      <w:r w:rsidRPr="00DF22D4">
        <w:rPr>
          <w:rFonts w:ascii="Times New Roman" w:hAnsi="Times New Roman" w:cs="Times New Roman"/>
          <w:sz w:val="24"/>
          <w:szCs w:val="24"/>
        </w:rPr>
        <w:t xml:space="preserve">For RBC, the </w:t>
      </w:r>
      <w:r w:rsidR="000A1530" w:rsidRPr="00DF22D4">
        <w:rPr>
          <w:rFonts w:ascii="Times New Roman" w:hAnsi="Times New Roman" w:cs="Times New Roman"/>
          <w:sz w:val="24"/>
          <w:szCs w:val="24"/>
        </w:rPr>
        <w:t xml:space="preserve">Current Assets </w:t>
      </w:r>
      <w:r w:rsidR="009821B0" w:rsidRPr="00DF22D4">
        <w:rPr>
          <w:rFonts w:ascii="Times New Roman" w:hAnsi="Times New Roman" w:cs="Times New Roman"/>
          <w:sz w:val="24"/>
          <w:szCs w:val="24"/>
        </w:rPr>
        <w:t>include Cash and due from banks, Interest-bearing deposits with banks, securities for trading and fair value through other comprehensive income up to 1 year</w:t>
      </w:r>
      <w:r w:rsidR="00D03BA5" w:rsidRPr="00DF22D4">
        <w:rPr>
          <w:rFonts w:ascii="Times New Roman" w:hAnsi="Times New Roman" w:cs="Times New Roman"/>
          <w:sz w:val="24"/>
          <w:szCs w:val="24"/>
        </w:rPr>
        <w:t xml:space="preserve">, assets purchased under reverse repurchase agreements and securities borrowed, </w:t>
      </w:r>
      <w:r w:rsidR="006110FB" w:rsidRPr="00DF22D4">
        <w:rPr>
          <w:rFonts w:ascii="Times New Roman" w:hAnsi="Times New Roman" w:cs="Times New Roman"/>
          <w:sz w:val="24"/>
          <w:szCs w:val="24"/>
        </w:rPr>
        <w:t xml:space="preserve">total </w:t>
      </w:r>
      <w:r w:rsidR="00D03BA5" w:rsidRPr="00DF22D4">
        <w:rPr>
          <w:rFonts w:ascii="Times New Roman" w:hAnsi="Times New Roman" w:cs="Times New Roman"/>
          <w:sz w:val="24"/>
          <w:szCs w:val="24"/>
        </w:rPr>
        <w:t xml:space="preserve">loans under </w:t>
      </w:r>
      <w:r w:rsidR="006110FB" w:rsidRPr="00DF22D4">
        <w:rPr>
          <w:rFonts w:ascii="Times New Roman" w:hAnsi="Times New Roman" w:cs="Times New Roman"/>
          <w:sz w:val="24"/>
          <w:szCs w:val="24"/>
        </w:rPr>
        <w:t>1-year, segregated funds net assets, and derivative assets less than 1 year</w:t>
      </w:r>
      <w:r w:rsidR="00D03BA5" w:rsidRPr="00DF22D4">
        <w:rPr>
          <w:rFonts w:ascii="Times New Roman" w:hAnsi="Times New Roman" w:cs="Times New Roman"/>
          <w:sz w:val="24"/>
          <w:szCs w:val="24"/>
        </w:rPr>
        <w:t>.</w:t>
      </w:r>
      <w:r w:rsidR="006110FB" w:rsidRPr="00DF22D4">
        <w:rPr>
          <w:rFonts w:ascii="Times New Roman" w:hAnsi="Times New Roman" w:cs="Times New Roman"/>
          <w:sz w:val="24"/>
          <w:szCs w:val="24"/>
        </w:rPr>
        <w:t xml:space="preserve"> Current Liabilities include deposits within 1 year (demand, notice, and term deposits), segregated funds net liabilities, and derivative liabilities less than 1 year</w:t>
      </w:r>
      <w:r w:rsidR="00031451" w:rsidRPr="00DF22D4">
        <w:rPr>
          <w:rFonts w:ascii="Times New Roman" w:hAnsi="Times New Roman" w:cs="Times New Roman"/>
          <w:sz w:val="24"/>
          <w:szCs w:val="24"/>
        </w:rPr>
        <w:t>.</w:t>
      </w:r>
    </w:p>
    <w:bookmarkStart w:id="16" w:name="_MON_1720301712"/>
    <w:bookmarkEnd w:id="16"/>
    <w:p w14:paraId="396AC282" w14:textId="77777777" w:rsidR="00A70EE2" w:rsidRPr="00DF22D4" w:rsidRDefault="004C236E" w:rsidP="0093671B">
      <w:pPr>
        <w:keepNext/>
        <w:jc w:val="center"/>
        <w:rPr>
          <w:rFonts w:ascii="Times New Roman" w:hAnsi="Times New Roman" w:cs="Times New Roman"/>
        </w:rPr>
      </w:pPr>
      <w:r w:rsidRPr="00DF22D4">
        <w:rPr>
          <w:rFonts w:ascii="Times New Roman" w:hAnsi="Times New Roman" w:cs="Times New Roman"/>
        </w:rPr>
        <w:object w:dxaOrig="7296" w:dyaOrig="8267" w14:anchorId="6451A726">
          <v:shape id="_x0000_i1030" type="#_x0000_t75" style="width:364.8pt;height:413.35pt" o:ole="">
            <v:imagedata r:id="rId32" o:title=""/>
          </v:shape>
          <o:OLEObject Type="Embed" ProgID="Excel.Sheet.12" ShapeID="_x0000_i1030" DrawAspect="Content" ObjectID="_1720348516" r:id="rId33"/>
        </w:object>
      </w:r>
    </w:p>
    <w:p w14:paraId="18390EB3" w14:textId="0A467201" w:rsidR="00B02077" w:rsidRPr="00DF22D4" w:rsidRDefault="00A70EE2" w:rsidP="00B02077">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13</w:t>
      </w:r>
      <w:r w:rsidRPr="00DF22D4">
        <w:rPr>
          <w:rFonts w:ascii="Times New Roman" w:hAnsi="Times New Roman" w:cs="Times New Roman"/>
        </w:rPr>
        <w:fldChar w:fldCharType="end"/>
      </w:r>
      <w:r w:rsidRPr="00DF22D4">
        <w:rPr>
          <w:rFonts w:ascii="Times New Roman" w:hAnsi="Times New Roman" w:cs="Times New Roman"/>
        </w:rPr>
        <w:t xml:space="preserve"> - Calculation of current ratio of Royal Bank of Canada.</w:t>
      </w:r>
    </w:p>
    <w:p w14:paraId="04F320E0" w14:textId="77777777" w:rsidR="00F6070B" w:rsidRPr="00DF22D4" w:rsidRDefault="00F6070B">
      <w:pPr>
        <w:widowControl/>
        <w:jc w:val="left"/>
        <w:rPr>
          <w:rFonts w:ascii="Times New Roman" w:hAnsi="Times New Roman" w:cs="Times New Roman"/>
        </w:rPr>
      </w:pPr>
      <w:r w:rsidRPr="00DF22D4">
        <w:rPr>
          <w:rFonts w:ascii="Times New Roman" w:hAnsi="Times New Roman" w:cs="Times New Roman"/>
        </w:rPr>
        <w:br w:type="page"/>
      </w:r>
    </w:p>
    <w:p w14:paraId="5EC64C23" w14:textId="64699BC9" w:rsidR="00B02077" w:rsidRPr="00DF22D4" w:rsidRDefault="00F6070B" w:rsidP="00B02077">
      <w:pPr>
        <w:keepNext/>
        <w:ind w:firstLine="720"/>
        <w:jc w:val="left"/>
        <w:rPr>
          <w:rFonts w:ascii="Times New Roman" w:hAnsi="Times New Roman" w:cs="Times New Roman"/>
        </w:rPr>
      </w:pPr>
      <w:r w:rsidRPr="00DF22D4">
        <w:rPr>
          <w:rFonts w:ascii="Times New Roman" w:hAnsi="Times New Roman" w:cs="Times New Roman"/>
        </w:rPr>
        <w:lastRenderedPageBreak/>
        <w:t xml:space="preserve">For Scotiabank, the </w:t>
      </w:r>
      <w:r w:rsidR="00B02077" w:rsidRPr="00DF22D4">
        <w:rPr>
          <w:rFonts w:ascii="Times New Roman" w:hAnsi="Times New Roman" w:cs="Times New Roman"/>
        </w:rPr>
        <w:t>Current Assets include Cash, deposits with financial institutions and precious metals, investment securities within 1 year, loans, net of allowance within 1 year. Current Liabilities include deposits within 1 year, obligations related to securities sold under repurchase agreements and securities lent, and other liabilities within 1 year.</w:t>
      </w:r>
    </w:p>
    <w:bookmarkStart w:id="17" w:name="_MON_1720327524"/>
    <w:bookmarkEnd w:id="17"/>
    <w:p w14:paraId="4B143E1E" w14:textId="363E44D0" w:rsidR="001D2116" w:rsidRPr="00DF22D4" w:rsidRDefault="00B02077" w:rsidP="0093671B">
      <w:pPr>
        <w:keepNext/>
        <w:jc w:val="center"/>
        <w:rPr>
          <w:rFonts w:ascii="Times New Roman" w:hAnsi="Times New Roman" w:cs="Times New Roman"/>
        </w:rPr>
      </w:pPr>
      <w:r w:rsidRPr="00DF22D4">
        <w:rPr>
          <w:rFonts w:ascii="Times New Roman" w:hAnsi="Times New Roman" w:cs="Times New Roman"/>
        </w:rPr>
        <w:object w:dxaOrig="7296" w:dyaOrig="5653" w14:anchorId="15696F98">
          <v:shape id="_x0000_i1454" type="#_x0000_t75" style="width:364.8pt;height:282.65pt" o:ole="">
            <v:imagedata r:id="rId34" o:title=""/>
          </v:shape>
          <o:OLEObject Type="Embed" ProgID="Excel.Sheet.12" ShapeID="_x0000_i1454" DrawAspect="Content" ObjectID="_1720348517" r:id="rId35"/>
        </w:object>
      </w:r>
    </w:p>
    <w:p w14:paraId="156A4D1A" w14:textId="0A095F2A" w:rsidR="00A70EE2" w:rsidRPr="00DF22D4" w:rsidRDefault="001D2116" w:rsidP="001D2116">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14</w:t>
      </w:r>
      <w:r w:rsidRPr="00DF22D4">
        <w:rPr>
          <w:rFonts w:ascii="Times New Roman" w:hAnsi="Times New Roman" w:cs="Times New Roman"/>
        </w:rPr>
        <w:fldChar w:fldCharType="end"/>
      </w:r>
      <w:r w:rsidRPr="00DF22D4">
        <w:rPr>
          <w:rFonts w:ascii="Times New Roman" w:hAnsi="Times New Roman" w:cs="Times New Roman"/>
        </w:rPr>
        <w:t xml:space="preserve"> - Calculation of current ratio of Bank of Nova Scotia.</w:t>
      </w:r>
    </w:p>
    <w:p w14:paraId="0220D151" w14:textId="57E47CDD" w:rsidR="001D2116" w:rsidRPr="00DF22D4" w:rsidRDefault="001D2116">
      <w:pPr>
        <w:widowControl/>
        <w:jc w:val="left"/>
        <w:rPr>
          <w:rFonts w:ascii="Times New Roman" w:hAnsi="Times New Roman" w:cs="Times New Roman"/>
        </w:rPr>
      </w:pPr>
      <w:r w:rsidRPr="00DF22D4">
        <w:rPr>
          <w:rFonts w:ascii="Times New Roman" w:hAnsi="Times New Roman" w:cs="Times New Roman"/>
        </w:rPr>
        <w:br w:type="page"/>
      </w:r>
    </w:p>
    <w:p w14:paraId="112C3FBF" w14:textId="77777777" w:rsidR="00290A80" w:rsidRPr="00DF22D4" w:rsidRDefault="00031451" w:rsidP="00290A80">
      <w:pPr>
        <w:ind w:firstLine="720"/>
        <w:jc w:val="left"/>
        <w:rPr>
          <w:rFonts w:ascii="Times New Roman" w:hAnsi="Times New Roman" w:cs="Times New Roman"/>
        </w:rPr>
      </w:pPr>
      <w:r w:rsidRPr="00DF22D4">
        <w:rPr>
          <w:rFonts w:ascii="Times New Roman" w:hAnsi="Times New Roman" w:cs="Times New Roman"/>
        </w:rPr>
        <w:lastRenderedPageBreak/>
        <w:t xml:space="preserve">Receivables Turnover is defined as Net Credit Sales / Average Accounts Receivable. </w:t>
      </w:r>
    </w:p>
    <w:p w14:paraId="10581046" w14:textId="1D750CE5" w:rsidR="002B0890" w:rsidRPr="00DF22D4" w:rsidRDefault="00290A80" w:rsidP="002B0890">
      <w:pPr>
        <w:ind w:firstLine="720"/>
        <w:jc w:val="left"/>
        <w:rPr>
          <w:rFonts w:ascii="Times New Roman" w:hAnsi="Times New Roman" w:cs="Times New Roman"/>
        </w:rPr>
      </w:pPr>
      <w:r w:rsidRPr="00DF22D4">
        <w:rPr>
          <w:rFonts w:ascii="Times New Roman" w:hAnsi="Times New Roman" w:cs="Times New Roman"/>
        </w:rPr>
        <w:t xml:space="preserve">For RBC, the </w:t>
      </w:r>
      <w:r w:rsidR="00CD7840" w:rsidRPr="00DF22D4">
        <w:rPr>
          <w:rFonts w:ascii="Times New Roman" w:hAnsi="Times New Roman" w:cs="Times New Roman"/>
        </w:rPr>
        <w:t xml:space="preserve">Net Credit Sales </w:t>
      </w:r>
      <w:r w:rsidR="00277CFB" w:rsidRPr="00DF22D4">
        <w:rPr>
          <w:rFonts w:ascii="Times New Roman" w:hAnsi="Times New Roman" w:cs="Times New Roman"/>
        </w:rPr>
        <w:t>are</w:t>
      </w:r>
      <w:r w:rsidR="00061AD8" w:rsidRPr="00DF22D4">
        <w:rPr>
          <w:rFonts w:ascii="Times New Roman" w:hAnsi="Times New Roman" w:cs="Times New Roman"/>
        </w:rPr>
        <w:t xml:space="preserve"> the</w:t>
      </w:r>
      <w:r w:rsidR="00277CFB" w:rsidRPr="00DF22D4">
        <w:rPr>
          <w:rFonts w:ascii="Times New Roman" w:hAnsi="Times New Roman" w:cs="Times New Roman"/>
        </w:rPr>
        <w:t xml:space="preserve"> </w:t>
      </w:r>
      <w:r w:rsidR="00F54640" w:rsidRPr="00DF22D4">
        <w:rPr>
          <w:rFonts w:ascii="Times New Roman" w:hAnsi="Times New Roman" w:cs="Times New Roman"/>
        </w:rPr>
        <w:t>total revenue</w:t>
      </w:r>
      <w:r w:rsidR="00647B55" w:rsidRPr="00DF22D4">
        <w:rPr>
          <w:rFonts w:ascii="Times New Roman" w:hAnsi="Times New Roman" w:cs="Times New Roman"/>
        </w:rPr>
        <w:t>.</w:t>
      </w:r>
      <w:r w:rsidR="00CD7840" w:rsidRPr="00DF22D4">
        <w:rPr>
          <w:rFonts w:ascii="Times New Roman" w:hAnsi="Times New Roman" w:cs="Times New Roman"/>
        </w:rPr>
        <w:t xml:space="preserve"> </w:t>
      </w:r>
      <w:r w:rsidR="002B0890" w:rsidRPr="00DF22D4">
        <w:rPr>
          <w:rFonts w:ascii="Times New Roman" w:hAnsi="Times New Roman" w:cs="Times New Roman"/>
        </w:rPr>
        <w:t>Average Accounts Receivable</w:t>
      </w:r>
      <w:r w:rsidR="00EA3099" w:rsidRPr="00DF22D4">
        <w:rPr>
          <w:rFonts w:ascii="Times New Roman" w:hAnsi="Times New Roman" w:cs="Times New Roman"/>
        </w:rPr>
        <w:t xml:space="preserve"> </w:t>
      </w:r>
      <w:r w:rsidR="002B0890" w:rsidRPr="00DF22D4">
        <w:rPr>
          <w:rFonts w:ascii="Times New Roman" w:hAnsi="Times New Roman" w:cs="Times New Roman"/>
        </w:rPr>
        <w:t>is the average of beginning accounts receivable and ending accounts receivable, the data of 2019 are only using for the calculation of 2020’s average accounts receivable</w:t>
      </w:r>
    </w:p>
    <w:bookmarkStart w:id="18" w:name="_MON_1720306739"/>
    <w:bookmarkEnd w:id="18"/>
    <w:p w14:paraId="5D77D894" w14:textId="2F32FD8F" w:rsidR="00EE4CE5" w:rsidRPr="00DF22D4" w:rsidRDefault="002B0890" w:rsidP="00EE4CE5">
      <w:pPr>
        <w:keepNext/>
        <w:jc w:val="center"/>
        <w:rPr>
          <w:rFonts w:ascii="Times New Roman" w:hAnsi="Times New Roman" w:cs="Times New Roman"/>
        </w:rPr>
      </w:pPr>
      <w:r w:rsidRPr="00DF22D4">
        <w:rPr>
          <w:rFonts w:ascii="Times New Roman" w:hAnsi="Times New Roman" w:cs="Times New Roman"/>
        </w:rPr>
        <w:object w:dxaOrig="8184" w:dyaOrig="4069" w14:anchorId="7F6D6BBA">
          <v:shape id="_x0000_i1618" type="#_x0000_t75" style="width:409.2pt;height:203.45pt" o:ole="">
            <v:imagedata r:id="rId36" o:title=""/>
          </v:shape>
          <o:OLEObject Type="Embed" ProgID="Excel.Sheet.12" ShapeID="_x0000_i1618" DrawAspect="Content" ObjectID="_1720348518" r:id="rId37"/>
        </w:object>
      </w:r>
    </w:p>
    <w:p w14:paraId="36A26503" w14:textId="136E1F8F" w:rsidR="00277CFB" w:rsidRPr="00DF22D4" w:rsidRDefault="00EE4CE5" w:rsidP="00EE4CE5">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15</w:t>
      </w:r>
      <w:r w:rsidRPr="00DF22D4">
        <w:rPr>
          <w:rFonts w:ascii="Times New Roman" w:hAnsi="Times New Roman" w:cs="Times New Roman"/>
        </w:rPr>
        <w:fldChar w:fldCharType="end"/>
      </w:r>
      <w:r w:rsidRPr="00DF22D4">
        <w:rPr>
          <w:rFonts w:ascii="Times New Roman" w:hAnsi="Times New Roman" w:cs="Times New Roman"/>
        </w:rPr>
        <w:t xml:space="preserve"> - Calculation of receivables turnover ratio of Royal Bank of Canada</w:t>
      </w:r>
    </w:p>
    <w:p w14:paraId="136F8A70" w14:textId="4E070B84" w:rsidR="00290A80" w:rsidRPr="00DF22D4" w:rsidRDefault="00290A80" w:rsidP="00061AD8">
      <w:pPr>
        <w:ind w:firstLine="720"/>
        <w:jc w:val="left"/>
        <w:rPr>
          <w:rFonts w:ascii="Times New Roman" w:hAnsi="Times New Roman" w:cs="Times New Roman"/>
        </w:rPr>
      </w:pPr>
      <w:r w:rsidRPr="00DF22D4">
        <w:rPr>
          <w:rFonts w:ascii="Times New Roman" w:hAnsi="Times New Roman" w:cs="Times New Roman"/>
        </w:rPr>
        <w:t xml:space="preserve">For Scotiabank, </w:t>
      </w:r>
      <w:r w:rsidR="00061AD8" w:rsidRPr="00DF22D4">
        <w:rPr>
          <w:rFonts w:ascii="Times New Roman" w:hAnsi="Times New Roman" w:cs="Times New Roman"/>
        </w:rPr>
        <w:t xml:space="preserve">the Net Credit Sales are </w:t>
      </w:r>
      <w:r w:rsidR="00061AD8" w:rsidRPr="00DF22D4">
        <w:rPr>
          <w:rFonts w:ascii="Times New Roman" w:hAnsi="Times New Roman" w:cs="Times New Roman"/>
        </w:rPr>
        <w:t xml:space="preserve">the </w:t>
      </w:r>
      <w:r w:rsidR="00061AD8" w:rsidRPr="00DF22D4">
        <w:rPr>
          <w:rFonts w:ascii="Times New Roman" w:hAnsi="Times New Roman" w:cs="Times New Roman"/>
        </w:rPr>
        <w:t xml:space="preserve">total revenue. </w:t>
      </w:r>
      <w:r w:rsidR="004C57AF" w:rsidRPr="00DF22D4">
        <w:rPr>
          <w:rFonts w:ascii="Times New Roman" w:hAnsi="Times New Roman" w:cs="Times New Roman"/>
        </w:rPr>
        <w:t>S</w:t>
      </w:r>
      <w:r w:rsidR="004C57AF" w:rsidRPr="00DF22D4">
        <w:rPr>
          <w:rFonts w:ascii="Times New Roman" w:hAnsi="Times New Roman" w:cs="Times New Roman"/>
        </w:rPr>
        <w:t xml:space="preserve">ince there is no information relating to the </w:t>
      </w:r>
      <w:r w:rsidR="004C57AF" w:rsidRPr="00DF22D4">
        <w:rPr>
          <w:rFonts w:ascii="Times New Roman" w:hAnsi="Times New Roman" w:cs="Times New Roman"/>
        </w:rPr>
        <w:t>Interest-bearing deposits with financial institutions</w:t>
      </w:r>
      <w:r w:rsidR="004C57AF" w:rsidRPr="00DF22D4">
        <w:rPr>
          <w:rFonts w:ascii="Times New Roman" w:hAnsi="Times New Roman" w:cs="Times New Roman"/>
        </w:rPr>
        <w:t>. Thus, we prorated 2021 average accounts receivable to 2020 by using the ending total assets balance of these two years.</w:t>
      </w:r>
    </w:p>
    <w:bookmarkStart w:id="19" w:name="_MON_1720329865"/>
    <w:bookmarkEnd w:id="19"/>
    <w:p w14:paraId="1AFC925E" w14:textId="741EB018" w:rsidR="00EE4CE5" w:rsidRPr="00DF22D4" w:rsidRDefault="004C57AF" w:rsidP="00EE4CE5">
      <w:pPr>
        <w:keepNext/>
        <w:widowControl/>
        <w:jc w:val="center"/>
        <w:rPr>
          <w:rFonts w:ascii="Times New Roman" w:hAnsi="Times New Roman" w:cs="Times New Roman"/>
        </w:rPr>
      </w:pPr>
      <w:r w:rsidRPr="00DF22D4">
        <w:rPr>
          <w:rFonts w:ascii="Times New Roman" w:hAnsi="Times New Roman" w:cs="Times New Roman"/>
        </w:rPr>
        <w:object w:dxaOrig="7153" w:dyaOrig="4026" w14:anchorId="36D97351">
          <v:shape id="_x0000_i1635" type="#_x0000_t75" style="width:357.65pt;height:201.3pt" o:ole="">
            <v:imagedata r:id="rId38" o:title=""/>
          </v:shape>
          <o:OLEObject Type="Embed" ProgID="Excel.Sheet.12" ShapeID="_x0000_i1635" DrawAspect="Content" ObjectID="_1720348519" r:id="rId39"/>
        </w:object>
      </w:r>
    </w:p>
    <w:p w14:paraId="5CBE74DB" w14:textId="3B374B72" w:rsidR="00290A80" w:rsidRPr="00DF22D4" w:rsidRDefault="00EE4CE5" w:rsidP="00EE4CE5">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16</w:t>
      </w:r>
      <w:r w:rsidRPr="00DF22D4">
        <w:rPr>
          <w:rFonts w:ascii="Times New Roman" w:hAnsi="Times New Roman" w:cs="Times New Roman"/>
        </w:rPr>
        <w:fldChar w:fldCharType="end"/>
      </w:r>
      <w:r w:rsidRPr="00DF22D4">
        <w:rPr>
          <w:rFonts w:ascii="Times New Roman" w:hAnsi="Times New Roman" w:cs="Times New Roman"/>
        </w:rPr>
        <w:t xml:space="preserve"> - Calculation of receivables turnover of Bank of Nova Scotia</w:t>
      </w:r>
    </w:p>
    <w:p w14:paraId="4CB714CC" w14:textId="2C78A166" w:rsidR="00BD6351" w:rsidRPr="00DF22D4" w:rsidRDefault="00290A80" w:rsidP="00BD6351">
      <w:pPr>
        <w:widowControl/>
        <w:jc w:val="left"/>
        <w:rPr>
          <w:rFonts w:ascii="Times New Roman" w:hAnsi="Times New Roman" w:cs="Times New Roman"/>
        </w:rPr>
      </w:pPr>
      <w:r w:rsidRPr="00DF22D4">
        <w:rPr>
          <w:rFonts w:ascii="Times New Roman" w:hAnsi="Times New Roman" w:cs="Times New Roman"/>
        </w:rPr>
        <w:br w:type="page"/>
      </w:r>
    </w:p>
    <w:p w14:paraId="3F58980F" w14:textId="44CE5050" w:rsidR="00BD6351" w:rsidRPr="00DF22D4" w:rsidRDefault="005E16BD" w:rsidP="00BD6351">
      <w:pPr>
        <w:ind w:firstLine="720"/>
        <w:jc w:val="left"/>
        <w:rPr>
          <w:rFonts w:ascii="Times New Roman" w:hAnsi="Times New Roman" w:cs="Times New Roman"/>
        </w:rPr>
      </w:pPr>
      <w:r w:rsidRPr="00DF22D4">
        <w:rPr>
          <w:rFonts w:ascii="Times New Roman" w:hAnsi="Times New Roman" w:cs="Times New Roman"/>
        </w:rPr>
        <w:lastRenderedPageBreak/>
        <w:t xml:space="preserve">Profit Margin is defined as Net Income / Net Sales. </w:t>
      </w:r>
    </w:p>
    <w:p w14:paraId="699D6074" w14:textId="3231585C" w:rsidR="00AE527D" w:rsidRPr="00DF22D4" w:rsidRDefault="00EC022E" w:rsidP="00EC022E">
      <w:pPr>
        <w:ind w:firstLine="720"/>
        <w:jc w:val="left"/>
        <w:rPr>
          <w:rFonts w:ascii="Times New Roman" w:hAnsi="Times New Roman" w:cs="Times New Roman"/>
        </w:rPr>
      </w:pPr>
      <w:r w:rsidRPr="00DF22D4">
        <w:rPr>
          <w:rFonts w:ascii="Times New Roman" w:hAnsi="Times New Roman" w:cs="Times New Roman"/>
        </w:rPr>
        <w:t xml:space="preserve">For RBC, the </w:t>
      </w:r>
      <w:r w:rsidR="00E625EB" w:rsidRPr="00DF22D4">
        <w:rPr>
          <w:rFonts w:ascii="Times New Roman" w:hAnsi="Times New Roman" w:cs="Times New Roman"/>
        </w:rPr>
        <w:t>Net sales are the total revenue.</w:t>
      </w:r>
    </w:p>
    <w:p w14:paraId="670AEC5A" w14:textId="77777777" w:rsidR="00CA414B" w:rsidRPr="00DF22D4" w:rsidRDefault="00E625EB" w:rsidP="00CA414B">
      <w:pPr>
        <w:keepNext/>
        <w:jc w:val="center"/>
        <w:rPr>
          <w:rFonts w:ascii="Times New Roman" w:hAnsi="Times New Roman" w:cs="Times New Roman"/>
        </w:rPr>
      </w:pPr>
      <w:r w:rsidRPr="00DF22D4">
        <w:rPr>
          <w:rFonts w:ascii="Times New Roman" w:hAnsi="Times New Roman" w:cs="Times New Roman"/>
        </w:rPr>
        <w:t>.</w:t>
      </w:r>
      <w:bookmarkStart w:id="20" w:name="_MON_1720308545"/>
      <w:bookmarkEnd w:id="20"/>
      <w:r w:rsidR="00D10F29" w:rsidRPr="00DF22D4">
        <w:rPr>
          <w:rFonts w:ascii="Times New Roman" w:hAnsi="Times New Roman" w:cs="Times New Roman"/>
        </w:rPr>
        <w:object w:dxaOrig="5913" w:dyaOrig="1702" w14:anchorId="2176DCAB">
          <v:shape id="_x0000_i1032" type="#_x0000_t75" style="width:295.65pt;height:85.1pt" o:ole="">
            <v:imagedata r:id="rId40" o:title=""/>
          </v:shape>
          <o:OLEObject Type="Embed" ProgID="Excel.Sheet.12" ShapeID="_x0000_i1032" DrawAspect="Content" ObjectID="_1720348520" r:id="rId41"/>
        </w:object>
      </w:r>
    </w:p>
    <w:p w14:paraId="70D633C9" w14:textId="6983B15E" w:rsidR="005E16BD" w:rsidRPr="00DF22D4" w:rsidRDefault="00CA414B" w:rsidP="00CA414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17</w:t>
      </w:r>
      <w:r w:rsidRPr="00DF22D4">
        <w:rPr>
          <w:rFonts w:ascii="Times New Roman" w:hAnsi="Times New Roman" w:cs="Times New Roman"/>
        </w:rPr>
        <w:fldChar w:fldCharType="end"/>
      </w:r>
      <w:r w:rsidRPr="00DF22D4">
        <w:rPr>
          <w:rFonts w:ascii="Times New Roman" w:hAnsi="Times New Roman" w:cs="Times New Roman"/>
        </w:rPr>
        <w:t xml:space="preserve"> - Calculation of profit margin ratio of Royal Bank of Canada</w:t>
      </w:r>
    </w:p>
    <w:p w14:paraId="61110D50" w14:textId="648C8F6F" w:rsidR="00303997" w:rsidRPr="00DF22D4" w:rsidRDefault="00303997" w:rsidP="00303997">
      <w:pPr>
        <w:rPr>
          <w:rFonts w:ascii="Times New Roman" w:hAnsi="Times New Roman" w:cs="Times New Roman"/>
        </w:rPr>
      </w:pPr>
      <w:r w:rsidRPr="00DF22D4">
        <w:rPr>
          <w:rFonts w:ascii="Times New Roman" w:hAnsi="Times New Roman" w:cs="Times New Roman"/>
        </w:rPr>
        <w:tab/>
        <w:t>For Scotiabank, the Net sales are the total revenue.</w:t>
      </w:r>
    </w:p>
    <w:bookmarkStart w:id="21" w:name="_MON_1720330689"/>
    <w:bookmarkEnd w:id="21"/>
    <w:p w14:paraId="57357A0F" w14:textId="77777777" w:rsidR="00CA414B" w:rsidRPr="00DF22D4" w:rsidRDefault="00CA414B" w:rsidP="00CA414B">
      <w:pPr>
        <w:keepNext/>
        <w:jc w:val="center"/>
        <w:rPr>
          <w:rFonts w:ascii="Times New Roman" w:hAnsi="Times New Roman" w:cs="Times New Roman"/>
        </w:rPr>
      </w:pPr>
      <w:r w:rsidRPr="00DF22D4">
        <w:rPr>
          <w:rFonts w:ascii="Times New Roman" w:hAnsi="Times New Roman" w:cs="Times New Roman"/>
        </w:rPr>
        <w:object w:dxaOrig="5913" w:dyaOrig="1702" w14:anchorId="4139CC3C">
          <v:shape id="_x0000_i1575" type="#_x0000_t75" style="width:295.65pt;height:85.1pt" o:ole="">
            <v:imagedata r:id="rId42" o:title=""/>
          </v:shape>
          <o:OLEObject Type="Embed" ProgID="Excel.Sheet.12" ShapeID="_x0000_i1575" DrawAspect="Content" ObjectID="_1720348521" r:id="rId43"/>
        </w:object>
      </w:r>
    </w:p>
    <w:p w14:paraId="7F6783D7" w14:textId="0E7A46DE" w:rsidR="00CA414B" w:rsidRPr="00DF22D4" w:rsidRDefault="00CA414B" w:rsidP="00CA414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18</w:t>
      </w:r>
      <w:r w:rsidRPr="00DF22D4">
        <w:rPr>
          <w:rFonts w:ascii="Times New Roman" w:hAnsi="Times New Roman" w:cs="Times New Roman"/>
        </w:rPr>
        <w:fldChar w:fldCharType="end"/>
      </w:r>
      <w:r w:rsidRPr="00DF22D4">
        <w:rPr>
          <w:rFonts w:ascii="Times New Roman" w:hAnsi="Times New Roman" w:cs="Times New Roman"/>
        </w:rPr>
        <w:t xml:space="preserve"> - Calculation of profit margin ratio of Bank of Nova Scotia</w:t>
      </w:r>
    </w:p>
    <w:p w14:paraId="697343E2" w14:textId="1929E6E4" w:rsidR="00CA414B" w:rsidRPr="00DF22D4" w:rsidRDefault="00BD6351" w:rsidP="00E5229A">
      <w:pPr>
        <w:widowControl/>
        <w:jc w:val="left"/>
        <w:rPr>
          <w:rFonts w:ascii="Times New Roman" w:hAnsi="Times New Roman" w:cs="Times New Roman"/>
        </w:rPr>
      </w:pPr>
      <w:r w:rsidRPr="00DF22D4">
        <w:rPr>
          <w:rFonts w:ascii="Times New Roman" w:hAnsi="Times New Roman" w:cs="Times New Roman"/>
        </w:rPr>
        <w:br w:type="page"/>
      </w:r>
    </w:p>
    <w:p w14:paraId="3E36566F" w14:textId="77777777" w:rsidR="00E5229A" w:rsidRPr="00DF22D4" w:rsidRDefault="000B2859" w:rsidP="00D10F29">
      <w:pPr>
        <w:jc w:val="left"/>
        <w:rPr>
          <w:rFonts w:ascii="Times New Roman" w:hAnsi="Times New Roman" w:cs="Times New Roman"/>
        </w:rPr>
      </w:pPr>
      <w:r w:rsidRPr="00DF22D4">
        <w:rPr>
          <w:rFonts w:ascii="Times New Roman" w:hAnsi="Times New Roman" w:cs="Times New Roman"/>
        </w:rPr>
        <w:lastRenderedPageBreak/>
        <w:tab/>
        <w:t>Return on Assets (ROA) is defined as Net Income / Average Total Assets</w:t>
      </w:r>
      <w:r w:rsidR="005002DE" w:rsidRPr="00DF22D4">
        <w:rPr>
          <w:rFonts w:ascii="Times New Roman" w:hAnsi="Times New Roman" w:cs="Times New Roman"/>
        </w:rPr>
        <w:t>.</w:t>
      </w:r>
      <w:r w:rsidR="00D10F29" w:rsidRPr="00DF22D4">
        <w:rPr>
          <w:rFonts w:ascii="Times New Roman" w:hAnsi="Times New Roman" w:cs="Times New Roman"/>
        </w:rPr>
        <w:t xml:space="preserve"> </w:t>
      </w:r>
    </w:p>
    <w:p w14:paraId="1B4374CE" w14:textId="6A3747EA" w:rsidR="000B2859" w:rsidRPr="00DF22D4" w:rsidRDefault="00E5229A" w:rsidP="00E5229A">
      <w:pPr>
        <w:ind w:firstLine="720"/>
        <w:jc w:val="left"/>
        <w:rPr>
          <w:rFonts w:ascii="Times New Roman" w:hAnsi="Times New Roman" w:cs="Times New Roman"/>
        </w:rPr>
      </w:pPr>
      <w:r w:rsidRPr="00DF22D4">
        <w:rPr>
          <w:rFonts w:ascii="Times New Roman" w:hAnsi="Times New Roman" w:cs="Times New Roman"/>
        </w:rPr>
        <w:t xml:space="preserve">For RBC, </w:t>
      </w:r>
      <w:r w:rsidR="004C57AF" w:rsidRPr="00DF22D4">
        <w:rPr>
          <w:rFonts w:ascii="Times New Roman" w:hAnsi="Times New Roman" w:cs="Times New Roman"/>
        </w:rPr>
        <w:t>the net income and total assets of 2019 are both shown, but only the total assets are used to calculate the average total assets of 2020.</w:t>
      </w:r>
    </w:p>
    <w:bookmarkStart w:id="22" w:name="_MON_1720310772"/>
    <w:bookmarkEnd w:id="22"/>
    <w:p w14:paraId="754E9BC6" w14:textId="77777777" w:rsidR="00006514" w:rsidRPr="00DF22D4" w:rsidRDefault="004C57AF" w:rsidP="00006514">
      <w:pPr>
        <w:keepNext/>
        <w:jc w:val="center"/>
        <w:rPr>
          <w:rFonts w:ascii="Times New Roman" w:hAnsi="Times New Roman" w:cs="Times New Roman"/>
        </w:rPr>
      </w:pPr>
      <w:r w:rsidRPr="00DF22D4">
        <w:rPr>
          <w:rFonts w:ascii="Times New Roman" w:hAnsi="Times New Roman" w:cs="Times New Roman"/>
        </w:rPr>
        <w:object w:dxaOrig="7457" w:dyaOrig="2283" w14:anchorId="2F935903">
          <v:shape id="_x0000_i1649" type="#_x0000_t75" style="width:372.85pt;height:114.15pt" o:ole="">
            <v:imagedata r:id="rId44" o:title=""/>
          </v:shape>
          <o:OLEObject Type="Embed" ProgID="Excel.Sheet.12" ShapeID="_x0000_i1649" DrawAspect="Content" ObjectID="_1720348522" r:id="rId45"/>
        </w:object>
      </w:r>
    </w:p>
    <w:p w14:paraId="05AA84E2" w14:textId="73BB7FF0" w:rsidR="000B2859" w:rsidRPr="00DF22D4" w:rsidRDefault="00006514" w:rsidP="00006514">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19</w:t>
      </w:r>
      <w:r w:rsidRPr="00DF22D4">
        <w:rPr>
          <w:rFonts w:ascii="Times New Roman" w:hAnsi="Times New Roman" w:cs="Times New Roman"/>
        </w:rPr>
        <w:fldChar w:fldCharType="end"/>
      </w:r>
      <w:r w:rsidRPr="00DF22D4">
        <w:rPr>
          <w:rFonts w:ascii="Times New Roman" w:hAnsi="Times New Roman" w:cs="Times New Roman"/>
        </w:rPr>
        <w:t xml:space="preserve"> - Calculation of return on assets ratio of Royal Bank of Canada</w:t>
      </w:r>
    </w:p>
    <w:p w14:paraId="50B9769D" w14:textId="14BD269C" w:rsidR="00E5229A" w:rsidRPr="00DF22D4" w:rsidRDefault="00E5229A" w:rsidP="00E5229A">
      <w:pPr>
        <w:ind w:firstLine="720"/>
        <w:jc w:val="left"/>
        <w:rPr>
          <w:rFonts w:ascii="Times New Roman" w:hAnsi="Times New Roman" w:cs="Times New Roman"/>
        </w:rPr>
      </w:pPr>
      <w:r w:rsidRPr="00DF22D4">
        <w:rPr>
          <w:rFonts w:ascii="Times New Roman" w:hAnsi="Times New Roman" w:cs="Times New Roman"/>
        </w:rPr>
        <w:t xml:space="preserve">For </w:t>
      </w:r>
      <w:r w:rsidRPr="00DF22D4">
        <w:rPr>
          <w:rFonts w:ascii="Times New Roman" w:hAnsi="Times New Roman" w:cs="Times New Roman"/>
        </w:rPr>
        <w:t>Scotiabank</w:t>
      </w:r>
      <w:r w:rsidRPr="00DF22D4">
        <w:rPr>
          <w:rFonts w:ascii="Times New Roman" w:hAnsi="Times New Roman" w:cs="Times New Roman"/>
        </w:rPr>
        <w:t xml:space="preserve">, </w:t>
      </w:r>
      <w:r w:rsidR="008D05CA" w:rsidRPr="00DF22D4">
        <w:rPr>
          <w:rFonts w:ascii="Times New Roman" w:hAnsi="Times New Roman" w:cs="Times New Roman"/>
        </w:rPr>
        <w:t xml:space="preserve">the net income and total assets of 2019 are both shown, but only the total assets </w:t>
      </w:r>
      <w:r w:rsidR="004C57AF" w:rsidRPr="00DF22D4">
        <w:rPr>
          <w:rFonts w:ascii="Times New Roman" w:hAnsi="Times New Roman" w:cs="Times New Roman"/>
        </w:rPr>
        <w:t>are</w:t>
      </w:r>
      <w:r w:rsidR="008D05CA" w:rsidRPr="00DF22D4">
        <w:rPr>
          <w:rFonts w:ascii="Times New Roman" w:hAnsi="Times New Roman" w:cs="Times New Roman"/>
        </w:rPr>
        <w:t xml:space="preserve"> used to calculate the average total assets of 2020.</w:t>
      </w:r>
    </w:p>
    <w:bookmarkStart w:id="23" w:name="_MON_1720331022"/>
    <w:bookmarkEnd w:id="23"/>
    <w:p w14:paraId="38E91EDF" w14:textId="77777777" w:rsidR="00006514" w:rsidRPr="00DF22D4" w:rsidRDefault="003D0B7E" w:rsidP="00E473C7">
      <w:pPr>
        <w:keepNext/>
        <w:jc w:val="center"/>
        <w:rPr>
          <w:rFonts w:ascii="Times New Roman" w:hAnsi="Times New Roman" w:cs="Times New Roman"/>
        </w:rPr>
      </w:pPr>
      <w:r w:rsidRPr="00DF22D4">
        <w:rPr>
          <w:rFonts w:ascii="Times New Roman" w:hAnsi="Times New Roman" w:cs="Times New Roman"/>
        </w:rPr>
        <w:object w:dxaOrig="6587" w:dyaOrig="2588" w14:anchorId="4B066E12">
          <v:shape id="_x0000_i1605" type="#_x0000_t75" style="width:329.35pt;height:129.4pt" o:ole="">
            <v:imagedata r:id="rId46" o:title=""/>
          </v:shape>
          <o:OLEObject Type="Embed" ProgID="Excel.Sheet.12" ShapeID="_x0000_i1605" DrawAspect="Content" ObjectID="_1720348523" r:id="rId47"/>
        </w:object>
      </w:r>
    </w:p>
    <w:p w14:paraId="27D0CF40" w14:textId="0E82FBE6" w:rsidR="00E5229A" w:rsidRPr="00DF22D4" w:rsidRDefault="00006514" w:rsidP="00006514">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20</w:t>
      </w:r>
      <w:r w:rsidRPr="00DF22D4">
        <w:rPr>
          <w:rFonts w:ascii="Times New Roman" w:hAnsi="Times New Roman" w:cs="Times New Roman"/>
        </w:rPr>
        <w:fldChar w:fldCharType="end"/>
      </w:r>
      <w:r w:rsidRPr="00DF22D4">
        <w:rPr>
          <w:rFonts w:ascii="Times New Roman" w:hAnsi="Times New Roman" w:cs="Times New Roman"/>
        </w:rPr>
        <w:t xml:space="preserve"> - Calculation of return on assets ratio of Bank of Nova Scotia</w:t>
      </w:r>
    </w:p>
    <w:p w14:paraId="4D361AF6" w14:textId="6F3D15A3" w:rsidR="00E44486" w:rsidRPr="00DF22D4" w:rsidRDefault="00E5229A" w:rsidP="004E6E31">
      <w:pPr>
        <w:widowControl/>
        <w:ind w:firstLine="720"/>
        <w:jc w:val="left"/>
        <w:rPr>
          <w:rFonts w:ascii="Times New Roman" w:hAnsi="Times New Roman" w:cs="Times New Roman"/>
        </w:rPr>
      </w:pPr>
      <w:r w:rsidRPr="00DF22D4">
        <w:rPr>
          <w:rFonts w:ascii="Times New Roman" w:hAnsi="Times New Roman" w:cs="Times New Roman"/>
        </w:rPr>
        <w:br w:type="page"/>
      </w:r>
      <w:r w:rsidR="000B2859" w:rsidRPr="00DF22D4">
        <w:rPr>
          <w:rFonts w:ascii="Times New Roman" w:hAnsi="Times New Roman" w:cs="Times New Roman"/>
        </w:rPr>
        <w:lastRenderedPageBreak/>
        <w:t>Return on Equity</w:t>
      </w:r>
      <w:r w:rsidR="005002DE" w:rsidRPr="00DF22D4">
        <w:rPr>
          <w:rFonts w:ascii="Times New Roman" w:hAnsi="Times New Roman" w:cs="Times New Roman"/>
        </w:rPr>
        <w:t xml:space="preserve"> (ROE) is defined as Net Income / Average Shareholders’ Equity.</w:t>
      </w:r>
      <w:r w:rsidR="00A7322C" w:rsidRPr="00DF22D4">
        <w:rPr>
          <w:rFonts w:ascii="Times New Roman" w:hAnsi="Times New Roman" w:cs="Times New Roman"/>
        </w:rPr>
        <w:t xml:space="preserve"> </w:t>
      </w:r>
    </w:p>
    <w:p w14:paraId="69B933E6" w14:textId="77777777" w:rsidR="00E44486" w:rsidRPr="00DF22D4" w:rsidRDefault="00E44486" w:rsidP="00E44486">
      <w:pPr>
        <w:ind w:firstLine="720"/>
        <w:jc w:val="left"/>
        <w:rPr>
          <w:rFonts w:ascii="Times New Roman" w:hAnsi="Times New Roman" w:cs="Times New Roman"/>
        </w:rPr>
      </w:pPr>
      <w:r w:rsidRPr="00DF22D4">
        <w:rPr>
          <w:rFonts w:ascii="Times New Roman" w:hAnsi="Times New Roman" w:cs="Times New Roman"/>
        </w:rPr>
        <w:t xml:space="preserve">For RBC, </w:t>
      </w:r>
      <w:r w:rsidRPr="00DF22D4">
        <w:rPr>
          <w:rFonts w:ascii="Times New Roman" w:hAnsi="Times New Roman" w:cs="Times New Roman"/>
        </w:rPr>
        <w:t xml:space="preserve">the net income and total </w:t>
      </w:r>
      <w:r w:rsidRPr="00DF22D4">
        <w:rPr>
          <w:rFonts w:ascii="Times New Roman" w:hAnsi="Times New Roman" w:cs="Times New Roman"/>
        </w:rPr>
        <w:t>shareholders’ equity</w:t>
      </w:r>
      <w:r w:rsidRPr="00DF22D4">
        <w:rPr>
          <w:rFonts w:ascii="Times New Roman" w:hAnsi="Times New Roman" w:cs="Times New Roman"/>
        </w:rPr>
        <w:t xml:space="preserve"> of 2019 are both shown, but only the total </w:t>
      </w:r>
      <w:r w:rsidRPr="00DF22D4">
        <w:rPr>
          <w:rFonts w:ascii="Times New Roman" w:hAnsi="Times New Roman" w:cs="Times New Roman"/>
        </w:rPr>
        <w:t>shareholders’ equity</w:t>
      </w:r>
      <w:r w:rsidRPr="00DF22D4">
        <w:rPr>
          <w:rFonts w:ascii="Times New Roman" w:hAnsi="Times New Roman" w:cs="Times New Roman"/>
        </w:rPr>
        <w:t xml:space="preserve"> are used to calculate the average total </w:t>
      </w:r>
      <w:r w:rsidRPr="00DF22D4">
        <w:rPr>
          <w:rFonts w:ascii="Times New Roman" w:hAnsi="Times New Roman" w:cs="Times New Roman"/>
        </w:rPr>
        <w:t>shareholders’ equity</w:t>
      </w:r>
      <w:r w:rsidRPr="00DF22D4">
        <w:rPr>
          <w:rFonts w:ascii="Times New Roman" w:hAnsi="Times New Roman" w:cs="Times New Roman"/>
        </w:rPr>
        <w:t xml:space="preserve"> of 2020.</w:t>
      </w:r>
    </w:p>
    <w:bookmarkStart w:id="24" w:name="_MON_1720311548"/>
    <w:bookmarkEnd w:id="24"/>
    <w:p w14:paraId="1D76D86C" w14:textId="77777777" w:rsidR="004B3198" w:rsidRPr="00DF22D4" w:rsidRDefault="000B08DA" w:rsidP="004B3198">
      <w:pPr>
        <w:keepNext/>
        <w:rPr>
          <w:rFonts w:ascii="Times New Roman" w:hAnsi="Times New Roman" w:cs="Times New Roman"/>
        </w:rPr>
      </w:pPr>
      <w:r w:rsidRPr="00DF22D4">
        <w:rPr>
          <w:rFonts w:ascii="Times New Roman" w:hAnsi="Times New Roman" w:cs="Times New Roman"/>
        </w:rPr>
        <w:object w:dxaOrig="8069" w:dyaOrig="2283" w14:anchorId="07B20864">
          <v:shape id="_x0000_i1659" type="#_x0000_t75" style="width:403.45pt;height:114.15pt" o:ole="">
            <v:imagedata r:id="rId48" o:title=""/>
          </v:shape>
          <o:OLEObject Type="Embed" ProgID="Excel.Sheet.12" ShapeID="_x0000_i1659" DrawAspect="Content" ObjectID="_1720348524" r:id="rId49"/>
        </w:object>
      </w:r>
    </w:p>
    <w:p w14:paraId="365B9248" w14:textId="2022E7E6" w:rsidR="006D695D" w:rsidRPr="00DF22D4" w:rsidRDefault="004B3198" w:rsidP="004B3198">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21</w:t>
      </w:r>
      <w:r w:rsidRPr="00DF22D4">
        <w:rPr>
          <w:rFonts w:ascii="Times New Roman" w:hAnsi="Times New Roman" w:cs="Times New Roman"/>
        </w:rPr>
        <w:fldChar w:fldCharType="end"/>
      </w:r>
      <w:r w:rsidRPr="00DF22D4">
        <w:rPr>
          <w:rFonts w:ascii="Times New Roman" w:hAnsi="Times New Roman" w:cs="Times New Roman"/>
        </w:rPr>
        <w:t xml:space="preserve"> - Calculation of return on equity ratio of Royal Bank of Canada</w:t>
      </w:r>
    </w:p>
    <w:p w14:paraId="6BD2CD70" w14:textId="1A2053DF" w:rsidR="000B08DA" w:rsidRPr="00DF22D4" w:rsidRDefault="000B08DA" w:rsidP="000B08DA">
      <w:pPr>
        <w:ind w:firstLine="720"/>
        <w:jc w:val="left"/>
        <w:rPr>
          <w:rFonts w:ascii="Times New Roman" w:hAnsi="Times New Roman" w:cs="Times New Roman"/>
        </w:rPr>
      </w:pPr>
      <w:r w:rsidRPr="00DF22D4">
        <w:rPr>
          <w:rFonts w:ascii="Times New Roman" w:hAnsi="Times New Roman" w:cs="Times New Roman"/>
        </w:rPr>
        <w:t xml:space="preserve">For </w:t>
      </w:r>
      <w:r w:rsidRPr="00DF22D4">
        <w:rPr>
          <w:rFonts w:ascii="Times New Roman" w:hAnsi="Times New Roman" w:cs="Times New Roman"/>
        </w:rPr>
        <w:t>Scotiabank</w:t>
      </w:r>
      <w:r w:rsidRPr="00DF22D4">
        <w:rPr>
          <w:rFonts w:ascii="Times New Roman" w:hAnsi="Times New Roman" w:cs="Times New Roman"/>
        </w:rPr>
        <w:t>, the net income and total shareholders’ equity of 2019 are both shown, but only the total shareholders’ equity are used to calculate the average total shareholders’ equity of 2020.</w:t>
      </w:r>
    </w:p>
    <w:bookmarkStart w:id="25" w:name="_MON_1720332296"/>
    <w:bookmarkEnd w:id="25"/>
    <w:p w14:paraId="70087E82" w14:textId="77777777" w:rsidR="004B3198" w:rsidRPr="00DF22D4" w:rsidRDefault="004E6E31" w:rsidP="004B3198">
      <w:pPr>
        <w:keepNext/>
        <w:jc w:val="left"/>
        <w:rPr>
          <w:rFonts w:ascii="Times New Roman" w:hAnsi="Times New Roman" w:cs="Times New Roman"/>
        </w:rPr>
      </w:pPr>
      <w:r w:rsidRPr="00DF22D4">
        <w:rPr>
          <w:rFonts w:ascii="Times New Roman" w:hAnsi="Times New Roman" w:cs="Times New Roman"/>
        </w:rPr>
        <w:object w:dxaOrig="8069" w:dyaOrig="2283" w14:anchorId="542007A9">
          <v:shape id="_x0000_i1670" type="#_x0000_t75" style="width:403.45pt;height:114.15pt" o:ole="">
            <v:imagedata r:id="rId50" o:title=""/>
          </v:shape>
          <o:OLEObject Type="Embed" ProgID="Excel.Sheet.12" ShapeID="_x0000_i1670" DrawAspect="Content" ObjectID="_1720348525" r:id="rId51"/>
        </w:object>
      </w:r>
    </w:p>
    <w:p w14:paraId="112022DF" w14:textId="7F4DCE37" w:rsidR="000B08DA" w:rsidRPr="00DF22D4" w:rsidRDefault="004B3198" w:rsidP="004B3198">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22</w:t>
      </w:r>
      <w:r w:rsidRPr="00DF22D4">
        <w:rPr>
          <w:rFonts w:ascii="Times New Roman" w:hAnsi="Times New Roman" w:cs="Times New Roman"/>
        </w:rPr>
        <w:fldChar w:fldCharType="end"/>
      </w:r>
      <w:r w:rsidRPr="00DF22D4">
        <w:rPr>
          <w:rFonts w:ascii="Times New Roman" w:hAnsi="Times New Roman" w:cs="Times New Roman"/>
        </w:rPr>
        <w:t xml:space="preserve"> - Calculation of return on equity ratio of Bank of Nova Scotia</w:t>
      </w:r>
    </w:p>
    <w:p w14:paraId="61B411E9" w14:textId="77777777" w:rsidR="000B08DA" w:rsidRPr="00DF22D4" w:rsidRDefault="000B08DA" w:rsidP="00E44486">
      <w:pPr>
        <w:ind w:firstLine="720"/>
        <w:jc w:val="left"/>
        <w:rPr>
          <w:rFonts w:ascii="Times New Roman" w:hAnsi="Times New Roman" w:cs="Times New Roman"/>
        </w:rPr>
      </w:pPr>
    </w:p>
    <w:p w14:paraId="33FC20C1" w14:textId="3099C0CE" w:rsidR="000B08DA" w:rsidRPr="00DF22D4" w:rsidRDefault="000B08DA" w:rsidP="001E72F7">
      <w:pPr>
        <w:widowControl/>
        <w:jc w:val="left"/>
        <w:rPr>
          <w:rFonts w:ascii="Times New Roman" w:hAnsi="Times New Roman" w:cs="Times New Roman"/>
        </w:rPr>
      </w:pPr>
      <w:r w:rsidRPr="00DF22D4">
        <w:rPr>
          <w:rFonts w:ascii="Times New Roman" w:hAnsi="Times New Roman" w:cs="Times New Roman"/>
        </w:rPr>
        <w:br w:type="page"/>
      </w:r>
    </w:p>
    <w:p w14:paraId="2780714A" w14:textId="79DFC470" w:rsidR="006D695D" w:rsidRPr="00DF22D4" w:rsidRDefault="006D695D" w:rsidP="00031451">
      <w:pPr>
        <w:jc w:val="left"/>
        <w:rPr>
          <w:rFonts w:ascii="Times New Roman" w:hAnsi="Times New Roman" w:cs="Times New Roman"/>
        </w:rPr>
      </w:pPr>
      <w:r w:rsidRPr="00DF22D4">
        <w:rPr>
          <w:rFonts w:ascii="Times New Roman" w:hAnsi="Times New Roman" w:cs="Times New Roman"/>
        </w:rPr>
        <w:lastRenderedPageBreak/>
        <w:tab/>
        <w:t>Earnings per Share (EPS) is defined as (Net Income – Preferred Dividends) / Number of Common Shares Outstanding.</w:t>
      </w:r>
    </w:p>
    <w:bookmarkStart w:id="26" w:name="_MON_1720312490"/>
    <w:bookmarkEnd w:id="26"/>
    <w:p w14:paraId="7D5BAA78" w14:textId="77777777" w:rsidR="00660A16" w:rsidRPr="00DF22D4" w:rsidRDefault="0022464C" w:rsidP="00660A16">
      <w:pPr>
        <w:keepNext/>
        <w:jc w:val="center"/>
        <w:rPr>
          <w:rFonts w:ascii="Times New Roman" w:hAnsi="Times New Roman" w:cs="Times New Roman"/>
        </w:rPr>
      </w:pPr>
      <w:r w:rsidRPr="00DF22D4">
        <w:rPr>
          <w:rFonts w:ascii="Times New Roman" w:hAnsi="Times New Roman" w:cs="Times New Roman"/>
        </w:rPr>
        <w:object w:dxaOrig="7875" w:dyaOrig="2574" w14:anchorId="3F0D045E">
          <v:shape id="_x0000_i1035" type="#_x0000_t75" style="width:393.75pt;height:128.7pt" o:ole="">
            <v:imagedata r:id="rId52" o:title=""/>
          </v:shape>
          <o:OLEObject Type="Embed" ProgID="Excel.Sheet.12" ShapeID="_x0000_i1035" DrawAspect="Content" ObjectID="_1720348526" r:id="rId53"/>
        </w:object>
      </w:r>
    </w:p>
    <w:p w14:paraId="51912411" w14:textId="4890BA43" w:rsidR="006D695D" w:rsidRPr="00DF22D4" w:rsidRDefault="00660A16" w:rsidP="00660A16">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23</w:t>
      </w:r>
      <w:r w:rsidRPr="00DF22D4">
        <w:rPr>
          <w:rFonts w:ascii="Times New Roman" w:hAnsi="Times New Roman" w:cs="Times New Roman"/>
        </w:rPr>
        <w:fldChar w:fldCharType="end"/>
      </w:r>
      <w:r w:rsidRPr="00DF22D4">
        <w:rPr>
          <w:rFonts w:ascii="Times New Roman" w:hAnsi="Times New Roman" w:cs="Times New Roman"/>
        </w:rPr>
        <w:t xml:space="preserve"> - Calculation of earnings per share of Royal Bank of Canada</w:t>
      </w:r>
    </w:p>
    <w:p w14:paraId="0D108E01" w14:textId="77777777" w:rsidR="00660A16" w:rsidRPr="00DF22D4" w:rsidRDefault="00660A16" w:rsidP="00E473C7">
      <w:pPr>
        <w:rPr>
          <w:rFonts w:ascii="Times New Roman" w:hAnsi="Times New Roman" w:cs="Times New Roman"/>
        </w:rPr>
      </w:pPr>
    </w:p>
    <w:bookmarkStart w:id="27" w:name="_MON_1720332836"/>
    <w:bookmarkEnd w:id="27"/>
    <w:p w14:paraId="05655B74" w14:textId="77777777" w:rsidR="00660A16" w:rsidRPr="00DF22D4" w:rsidRDefault="00660A16" w:rsidP="00660A16">
      <w:pPr>
        <w:keepNext/>
        <w:jc w:val="center"/>
        <w:rPr>
          <w:rFonts w:ascii="Times New Roman" w:hAnsi="Times New Roman" w:cs="Times New Roman"/>
        </w:rPr>
      </w:pPr>
      <w:r w:rsidRPr="00DF22D4">
        <w:rPr>
          <w:rFonts w:ascii="Times New Roman" w:hAnsi="Times New Roman" w:cs="Times New Roman"/>
        </w:rPr>
        <w:object w:dxaOrig="7875" w:dyaOrig="2574" w14:anchorId="66F522C3">
          <v:shape id="_x0000_i1693" type="#_x0000_t75" style="width:393.75pt;height:128.7pt" o:ole="">
            <v:imagedata r:id="rId54" o:title=""/>
          </v:shape>
          <o:OLEObject Type="Embed" ProgID="Excel.Sheet.12" ShapeID="_x0000_i1693" DrawAspect="Content" ObjectID="_1720348527" r:id="rId55"/>
        </w:object>
      </w:r>
    </w:p>
    <w:p w14:paraId="1B8F63D2" w14:textId="00153797" w:rsidR="00E473C7" w:rsidRPr="00DF22D4" w:rsidRDefault="00660A16" w:rsidP="00660A16">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24</w:t>
      </w:r>
      <w:r w:rsidRPr="00DF22D4">
        <w:rPr>
          <w:rFonts w:ascii="Times New Roman" w:hAnsi="Times New Roman" w:cs="Times New Roman"/>
        </w:rPr>
        <w:fldChar w:fldCharType="end"/>
      </w:r>
      <w:r w:rsidRPr="00DF22D4">
        <w:rPr>
          <w:rFonts w:ascii="Times New Roman" w:hAnsi="Times New Roman" w:cs="Times New Roman"/>
        </w:rPr>
        <w:t xml:space="preserve"> - Calculation of earnings per share of Bank of Nova Scotia</w:t>
      </w:r>
    </w:p>
    <w:p w14:paraId="18BA9711" w14:textId="4AAB81A7" w:rsidR="00006514" w:rsidRPr="00DF22D4" w:rsidRDefault="00006514" w:rsidP="001E72F7">
      <w:pPr>
        <w:widowControl/>
        <w:jc w:val="left"/>
        <w:rPr>
          <w:rFonts w:ascii="Times New Roman" w:hAnsi="Times New Roman" w:cs="Times New Roman"/>
        </w:rPr>
      </w:pPr>
      <w:r w:rsidRPr="00DF22D4">
        <w:rPr>
          <w:rFonts w:ascii="Times New Roman" w:hAnsi="Times New Roman" w:cs="Times New Roman"/>
        </w:rPr>
        <w:br w:type="page"/>
      </w:r>
    </w:p>
    <w:p w14:paraId="49C560EF" w14:textId="323A9D63" w:rsidR="006D695D" w:rsidRPr="00DF22D4" w:rsidRDefault="006D695D" w:rsidP="00031451">
      <w:pPr>
        <w:jc w:val="left"/>
        <w:rPr>
          <w:rFonts w:ascii="Times New Roman" w:hAnsi="Times New Roman" w:cs="Times New Roman"/>
        </w:rPr>
      </w:pPr>
      <w:r w:rsidRPr="00DF22D4">
        <w:rPr>
          <w:rFonts w:ascii="Times New Roman" w:hAnsi="Times New Roman" w:cs="Times New Roman"/>
        </w:rPr>
        <w:lastRenderedPageBreak/>
        <w:tab/>
        <w:t>Debt to Total Assets is defined as Total Liabilities / Total Assets.</w:t>
      </w:r>
    </w:p>
    <w:bookmarkStart w:id="28" w:name="_MON_1720313503"/>
    <w:bookmarkEnd w:id="28"/>
    <w:p w14:paraId="066B731E" w14:textId="77777777" w:rsidR="001E72F7" w:rsidRPr="00DF22D4" w:rsidRDefault="0022464C" w:rsidP="001E72F7">
      <w:pPr>
        <w:keepNext/>
        <w:jc w:val="center"/>
        <w:rPr>
          <w:rFonts w:ascii="Times New Roman" w:hAnsi="Times New Roman" w:cs="Times New Roman"/>
        </w:rPr>
      </w:pPr>
      <w:r w:rsidRPr="00DF22D4">
        <w:rPr>
          <w:rFonts w:ascii="Times New Roman" w:hAnsi="Times New Roman" w:cs="Times New Roman"/>
        </w:rPr>
        <w:object w:dxaOrig="7038" w:dyaOrig="1702" w14:anchorId="42BFF102">
          <v:shape id="_x0000_i1036" type="#_x0000_t75" style="width:351.9pt;height:85.1pt" o:ole="">
            <v:imagedata r:id="rId56" o:title=""/>
          </v:shape>
          <o:OLEObject Type="Embed" ProgID="Excel.Sheet.12" ShapeID="_x0000_i1036" DrawAspect="Content" ObjectID="_1720348528" r:id="rId57"/>
        </w:object>
      </w:r>
    </w:p>
    <w:p w14:paraId="4275604D" w14:textId="0E908212" w:rsidR="006D695D" w:rsidRPr="00DF22D4" w:rsidRDefault="001E72F7" w:rsidP="001E72F7">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25</w:t>
      </w:r>
      <w:r w:rsidRPr="00DF22D4">
        <w:rPr>
          <w:rFonts w:ascii="Times New Roman" w:hAnsi="Times New Roman" w:cs="Times New Roman"/>
        </w:rPr>
        <w:fldChar w:fldCharType="end"/>
      </w:r>
      <w:r w:rsidRPr="00DF22D4">
        <w:rPr>
          <w:rFonts w:ascii="Times New Roman" w:hAnsi="Times New Roman" w:cs="Times New Roman"/>
        </w:rPr>
        <w:t xml:space="preserve"> - Calculation of debt to total assets ratio of Royal Bank of Canada</w:t>
      </w:r>
    </w:p>
    <w:bookmarkStart w:id="29" w:name="_MON_1720333424"/>
    <w:bookmarkEnd w:id="29"/>
    <w:p w14:paraId="5440A4FD" w14:textId="1103D75C" w:rsidR="001E72F7" w:rsidRPr="00DF22D4" w:rsidRDefault="00DF22D4" w:rsidP="001E72F7">
      <w:pPr>
        <w:keepNext/>
        <w:jc w:val="center"/>
        <w:rPr>
          <w:rFonts w:ascii="Times New Roman" w:hAnsi="Times New Roman" w:cs="Times New Roman"/>
        </w:rPr>
      </w:pPr>
      <w:r w:rsidRPr="00DF22D4">
        <w:rPr>
          <w:rFonts w:ascii="Times New Roman" w:hAnsi="Times New Roman" w:cs="Times New Roman"/>
        </w:rPr>
        <w:object w:dxaOrig="7038" w:dyaOrig="1702" w14:anchorId="12B8ECEE">
          <v:shape id="_x0000_i1849" type="#_x0000_t75" style="width:351.9pt;height:85.1pt" o:ole="">
            <v:imagedata r:id="rId58" o:title=""/>
          </v:shape>
          <o:OLEObject Type="Embed" ProgID="Excel.Sheet.12" ShapeID="_x0000_i1849" DrawAspect="Content" ObjectID="_1720348529" r:id="rId59"/>
        </w:object>
      </w:r>
    </w:p>
    <w:p w14:paraId="04DD6F87" w14:textId="7476EABC" w:rsidR="001E72F7" w:rsidRPr="00DF22D4" w:rsidRDefault="001E72F7" w:rsidP="001E72F7">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009376CB" w:rsidRPr="00DF22D4">
        <w:rPr>
          <w:rFonts w:ascii="Times New Roman" w:hAnsi="Times New Roman" w:cs="Times New Roman"/>
          <w:noProof/>
        </w:rPr>
        <w:t>26</w:t>
      </w:r>
      <w:r w:rsidRPr="00DF22D4">
        <w:rPr>
          <w:rFonts w:ascii="Times New Roman" w:hAnsi="Times New Roman" w:cs="Times New Roman"/>
        </w:rPr>
        <w:fldChar w:fldCharType="end"/>
      </w:r>
      <w:r w:rsidRPr="00DF22D4">
        <w:rPr>
          <w:rFonts w:ascii="Times New Roman" w:hAnsi="Times New Roman" w:cs="Times New Roman"/>
        </w:rPr>
        <w:t xml:space="preserve"> - Calculation of debt to total assets ratio of Bank of Nova Scotia</w:t>
      </w:r>
    </w:p>
    <w:p w14:paraId="4AF069B0" w14:textId="04136081" w:rsidR="001E72F7" w:rsidRPr="00DF22D4" w:rsidRDefault="001E72F7" w:rsidP="0022464C">
      <w:pPr>
        <w:jc w:val="center"/>
        <w:rPr>
          <w:rFonts w:ascii="Times New Roman" w:hAnsi="Times New Roman" w:cs="Times New Roman"/>
        </w:rPr>
      </w:pPr>
    </w:p>
    <w:p w14:paraId="7669E6FD" w14:textId="77777777" w:rsidR="001E72F7" w:rsidRPr="00DF22D4" w:rsidRDefault="001E72F7" w:rsidP="0022464C">
      <w:pPr>
        <w:jc w:val="center"/>
        <w:rPr>
          <w:rFonts w:ascii="Times New Roman" w:hAnsi="Times New Roman" w:cs="Times New Roman"/>
        </w:rPr>
      </w:pPr>
    </w:p>
    <w:p w14:paraId="7F3C7853" w14:textId="77777777" w:rsidR="00A96B03" w:rsidRPr="00DF22D4" w:rsidRDefault="006D695D" w:rsidP="00031451">
      <w:pPr>
        <w:jc w:val="left"/>
        <w:rPr>
          <w:rFonts w:ascii="Times New Roman" w:hAnsi="Times New Roman" w:cs="Times New Roman"/>
        </w:rPr>
      </w:pPr>
      <w:r w:rsidRPr="00DF22D4">
        <w:rPr>
          <w:rFonts w:ascii="Times New Roman" w:hAnsi="Times New Roman" w:cs="Times New Roman"/>
        </w:rPr>
        <w:tab/>
        <w:t>Interest Coverage is defined as EBITDA / Interest Expense.</w:t>
      </w:r>
      <w:r w:rsidR="0022464C" w:rsidRPr="00DF22D4">
        <w:rPr>
          <w:rFonts w:ascii="Times New Roman" w:hAnsi="Times New Roman" w:cs="Times New Roman"/>
        </w:rPr>
        <w:t xml:space="preserve"> </w:t>
      </w:r>
    </w:p>
    <w:p w14:paraId="437C4CFC" w14:textId="7797B4D7" w:rsidR="006D695D" w:rsidRPr="00DF22D4" w:rsidRDefault="0022464C" w:rsidP="00A96B03">
      <w:pPr>
        <w:ind w:firstLine="720"/>
        <w:jc w:val="left"/>
        <w:rPr>
          <w:rFonts w:ascii="Times New Roman" w:hAnsi="Times New Roman" w:cs="Times New Roman"/>
        </w:rPr>
      </w:pPr>
      <w:r w:rsidRPr="00DF22D4">
        <w:rPr>
          <w:rFonts w:ascii="Times New Roman" w:hAnsi="Times New Roman" w:cs="Times New Roman"/>
        </w:rPr>
        <w:t xml:space="preserve">EBITDA is the income before interest, taxes, </w:t>
      </w:r>
      <w:r w:rsidR="004C236E" w:rsidRPr="00DF22D4">
        <w:rPr>
          <w:rFonts w:ascii="Times New Roman" w:hAnsi="Times New Roman" w:cs="Times New Roman"/>
        </w:rPr>
        <w:t>depreciation,</w:t>
      </w:r>
      <w:r w:rsidRPr="00DF22D4">
        <w:rPr>
          <w:rFonts w:ascii="Times New Roman" w:hAnsi="Times New Roman" w:cs="Times New Roman"/>
        </w:rPr>
        <w:t xml:space="preserve"> and amortization, but the annual report o</w:t>
      </w:r>
      <w:r w:rsidR="00A96B03" w:rsidRPr="00DF22D4">
        <w:rPr>
          <w:rFonts w:ascii="Times New Roman" w:hAnsi="Times New Roman" w:cs="Times New Roman"/>
        </w:rPr>
        <w:t>f</w:t>
      </w:r>
      <w:r w:rsidRPr="00DF22D4">
        <w:rPr>
          <w:rFonts w:ascii="Times New Roman" w:hAnsi="Times New Roman" w:cs="Times New Roman"/>
        </w:rPr>
        <w:t xml:space="preserve"> RBC’s 2021 fiscal year only provided the income before income taxes. </w:t>
      </w:r>
    </w:p>
    <w:bookmarkStart w:id="30" w:name="_MON_1720314011"/>
    <w:bookmarkEnd w:id="30"/>
    <w:p w14:paraId="16AA0087" w14:textId="77777777" w:rsidR="009376CB" w:rsidRPr="00DF22D4" w:rsidRDefault="0022464C" w:rsidP="009376CB">
      <w:pPr>
        <w:keepNext/>
        <w:jc w:val="center"/>
        <w:rPr>
          <w:rFonts w:ascii="Times New Roman" w:hAnsi="Times New Roman" w:cs="Times New Roman"/>
        </w:rPr>
      </w:pPr>
      <w:r w:rsidRPr="00DF22D4">
        <w:rPr>
          <w:rFonts w:ascii="Times New Roman" w:hAnsi="Times New Roman" w:cs="Times New Roman"/>
        </w:rPr>
        <w:object w:dxaOrig="7038" w:dyaOrig="1702" w14:anchorId="06ECB538">
          <v:shape id="_x0000_i1037" type="#_x0000_t75" style="width:351.9pt;height:85.1pt" o:ole="">
            <v:imagedata r:id="rId60" o:title=""/>
          </v:shape>
          <o:OLEObject Type="Embed" ProgID="Excel.Sheet.12" ShapeID="_x0000_i1037" DrawAspect="Content" ObjectID="_1720348530" r:id="rId61"/>
        </w:object>
      </w:r>
    </w:p>
    <w:p w14:paraId="6E888895" w14:textId="72AB1E00" w:rsidR="0022464C" w:rsidRPr="00DF22D4" w:rsidRDefault="009376CB" w:rsidP="009376C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Pr="00DF22D4">
        <w:rPr>
          <w:rFonts w:ascii="Times New Roman" w:hAnsi="Times New Roman" w:cs="Times New Roman"/>
          <w:noProof/>
        </w:rPr>
        <w:t>27</w:t>
      </w:r>
      <w:r w:rsidRPr="00DF22D4">
        <w:rPr>
          <w:rFonts w:ascii="Times New Roman" w:hAnsi="Times New Roman" w:cs="Times New Roman"/>
        </w:rPr>
        <w:fldChar w:fldCharType="end"/>
      </w:r>
      <w:r w:rsidRPr="00DF22D4">
        <w:rPr>
          <w:rFonts w:ascii="Times New Roman" w:hAnsi="Times New Roman" w:cs="Times New Roman"/>
        </w:rPr>
        <w:t xml:space="preserve"> - Calculation of interest coverage of Royal Bank of Canada</w:t>
      </w:r>
    </w:p>
    <w:p w14:paraId="7AB18760" w14:textId="6B6DB0AD" w:rsidR="00A96B03" w:rsidRPr="00DF22D4" w:rsidRDefault="00A96B03" w:rsidP="00A96B03">
      <w:pPr>
        <w:ind w:firstLine="720"/>
        <w:jc w:val="left"/>
        <w:rPr>
          <w:rFonts w:ascii="Times New Roman" w:hAnsi="Times New Roman" w:cs="Times New Roman"/>
        </w:rPr>
      </w:pPr>
      <w:r w:rsidRPr="00DF22D4">
        <w:rPr>
          <w:rFonts w:ascii="Times New Roman" w:hAnsi="Times New Roman" w:cs="Times New Roman"/>
        </w:rPr>
        <w:t>EBITDA is the income before interest, taxes, depreciation, and amortization, but the annual report o</w:t>
      </w:r>
      <w:r w:rsidRPr="00DF22D4">
        <w:rPr>
          <w:rFonts w:ascii="Times New Roman" w:hAnsi="Times New Roman" w:cs="Times New Roman"/>
        </w:rPr>
        <w:t xml:space="preserve">f Scotiabank’s </w:t>
      </w:r>
      <w:r w:rsidRPr="00DF22D4">
        <w:rPr>
          <w:rFonts w:ascii="Times New Roman" w:hAnsi="Times New Roman" w:cs="Times New Roman"/>
        </w:rPr>
        <w:t xml:space="preserve">2021 fiscal year only provided the income before income taxes. </w:t>
      </w:r>
    </w:p>
    <w:bookmarkStart w:id="31" w:name="_MON_1720333678"/>
    <w:bookmarkEnd w:id="31"/>
    <w:p w14:paraId="3FD5FA2E" w14:textId="77777777" w:rsidR="009376CB" w:rsidRPr="00DF22D4" w:rsidRDefault="00FC3621" w:rsidP="009376CB">
      <w:pPr>
        <w:keepNext/>
        <w:widowControl/>
        <w:jc w:val="center"/>
        <w:rPr>
          <w:rFonts w:ascii="Times New Roman" w:hAnsi="Times New Roman" w:cs="Times New Roman"/>
        </w:rPr>
      </w:pPr>
      <w:r w:rsidRPr="00DF22D4">
        <w:rPr>
          <w:rFonts w:ascii="Times New Roman" w:hAnsi="Times New Roman" w:cs="Times New Roman"/>
        </w:rPr>
        <w:object w:dxaOrig="7038" w:dyaOrig="1702" w14:anchorId="335C6593">
          <v:shape id="_x0000_i1760" type="#_x0000_t75" style="width:351.9pt;height:85.1pt" o:ole="">
            <v:imagedata r:id="rId62" o:title=""/>
          </v:shape>
          <o:OLEObject Type="Embed" ProgID="Excel.Sheet.12" ShapeID="_x0000_i1760" DrawAspect="Content" ObjectID="_1720348531" r:id="rId63"/>
        </w:object>
      </w:r>
    </w:p>
    <w:p w14:paraId="618B8522" w14:textId="590BF6AD" w:rsidR="001E72F7" w:rsidRPr="00DF22D4" w:rsidRDefault="009376CB" w:rsidP="009376CB">
      <w:pPr>
        <w:pStyle w:val="Caption"/>
        <w:jc w:val="center"/>
        <w:rPr>
          <w:rFonts w:ascii="Times New Roman" w:hAnsi="Times New Roman" w:cs="Times New Roman"/>
        </w:rPr>
      </w:pPr>
      <w:r w:rsidRPr="00DF22D4">
        <w:rPr>
          <w:rFonts w:ascii="Times New Roman" w:hAnsi="Times New Roman" w:cs="Times New Roman"/>
        </w:rPr>
        <w:t xml:space="preserve">Figure </w:t>
      </w:r>
      <w:r w:rsidRPr="00DF22D4">
        <w:rPr>
          <w:rFonts w:ascii="Times New Roman" w:hAnsi="Times New Roman" w:cs="Times New Roman"/>
        </w:rPr>
        <w:fldChar w:fldCharType="begin"/>
      </w:r>
      <w:r w:rsidRPr="00DF22D4">
        <w:rPr>
          <w:rFonts w:ascii="Times New Roman" w:hAnsi="Times New Roman" w:cs="Times New Roman"/>
        </w:rPr>
        <w:instrText xml:space="preserve"> SEQ Figure \* ARABIC </w:instrText>
      </w:r>
      <w:r w:rsidRPr="00DF22D4">
        <w:rPr>
          <w:rFonts w:ascii="Times New Roman" w:hAnsi="Times New Roman" w:cs="Times New Roman"/>
        </w:rPr>
        <w:fldChar w:fldCharType="separate"/>
      </w:r>
      <w:r w:rsidRPr="00DF22D4">
        <w:rPr>
          <w:rFonts w:ascii="Times New Roman" w:hAnsi="Times New Roman" w:cs="Times New Roman"/>
          <w:noProof/>
        </w:rPr>
        <w:t>28</w:t>
      </w:r>
      <w:r w:rsidRPr="00DF22D4">
        <w:rPr>
          <w:rFonts w:ascii="Times New Roman" w:hAnsi="Times New Roman" w:cs="Times New Roman"/>
        </w:rPr>
        <w:fldChar w:fldCharType="end"/>
      </w:r>
      <w:r w:rsidRPr="00DF22D4">
        <w:rPr>
          <w:rFonts w:ascii="Times New Roman" w:hAnsi="Times New Roman" w:cs="Times New Roman"/>
        </w:rPr>
        <w:t xml:space="preserve"> - Calculation of interest coverage of Bank of Nova Scotia</w:t>
      </w:r>
    </w:p>
    <w:p w14:paraId="211012B4" w14:textId="5C3F721C" w:rsidR="001E72F7" w:rsidRPr="00DF22D4" w:rsidRDefault="00A96B03" w:rsidP="00DA48F9">
      <w:pPr>
        <w:widowControl/>
        <w:jc w:val="left"/>
        <w:rPr>
          <w:rFonts w:ascii="Times New Roman" w:hAnsi="Times New Roman" w:cs="Times New Roman"/>
        </w:rPr>
      </w:pPr>
      <w:r w:rsidRPr="00DF22D4">
        <w:rPr>
          <w:rFonts w:ascii="Times New Roman" w:hAnsi="Times New Roman" w:cs="Times New Roman"/>
        </w:rPr>
        <w:br w:type="page"/>
      </w:r>
    </w:p>
    <w:p w14:paraId="7E60101E" w14:textId="48B6269E" w:rsidR="00504FF2" w:rsidRPr="00DF22D4" w:rsidRDefault="00A90AE1" w:rsidP="00C36560">
      <w:pPr>
        <w:pStyle w:val="Heading1"/>
        <w:jc w:val="center"/>
        <w:rPr>
          <w:rFonts w:ascii="Times New Roman" w:hAnsi="Times New Roman" w:cs="Times New Roman"/>
        </w:rPr>
      </w:pPr>
      <w:bookmarkStart w:id="32" w:name="_Toc109731579"/>
      <w:r w:rsidRPr="00DF22D4">
        <w:rPr>
          <w:rFonts w:ascii="Times New Roman" w:hAnsi="Times New Roman" w:cs="Times New Roman"/>
        </w:rPr>
        <w:lastRenderedPageBreak/>
        <w:t>Conclusion</w:t>
      </w:r>
      <w:bookmarkEnd w:id="32"/>
    </w:p>
    <w:p w14:paraId="26341832" w14:textId="2F4F5123" w:rsidR="00DA48F9" w:rsidRPr="00DF22D4" w:rsidRDefault="00DA48F9">
      <w:pPr>
        <w:widowControl/>
        <w:jc w:val="left"/>
        <w:rPr>
          <w:rFonts w:ascii="Times New Roman" w:eastAsiaTheme="majorEastAsia" w:hAnsi="Times New Roman" w:cs="Times New Roman"/>
          <w:color w:val="2F5496" w:themeColor="accent1" w:themeShade="BF"/>
          <w:sz w:val="26"/>
          <w:szCs w:val="26"/>
        </w:rPr>
      </w:pPr>
    </w:p>
    <w:p w14:paraId="44AF2C26" w14:textId="3FD6BFA9" w:rsidR="00121D7D" w:rsidRDefault="00DA48F9">
      <w:pPr>
        <w:widowControl/>
        <w:jc w:val="left"/>
        <w:rPr>
          <w:rFonts w:ascii="Times New Roman" w:eastAsiaTheme="majorEastAsia" w:hAnsi="Times New Roman" w:cs="Times New Roman"/>
          <w:sz w:val="26"/>
          <w:szCs w:val="26"/>
        </w:rPr>
      </w:pPr>
      <w:r w:rsidRPr="00DF22D4">
        <w:rPr>
          <w:rFonts w:ascii="Times New Roman" w:eastAsiaTheme="majorEastAsia" w:hAnsi="Times New Roman" w:cs="Times New Roman"/>
          <w:color w:val="2F5496" w:themeColor="accent1" w:themeShade="BF"/>
          <w:sz w:val="26"/>
          <w:szCs w:val="26"/>
        </w:rPr>
        <w:tab/>
      </w:r>
      <w:r w:rsidR="00121D7D">
        <w:rPr>
          <w:rFonts w:ascii="Times New Roman" w:eastAsiaTheme="majorEastAsia" w:hAnsi="Times New Roman" w:cs="Times New Roman"/>
          <w:sz w:val="26"/>
          <w:szCs w:val="26"/>
        </w:rPr>
        <w:t xml:space="preserve">Even though Royal Bank of Canada and Bank of Nova Scotia are both banks </w:t>
      </w:r>
      <w:r w:rsidR="001423A4">
        <w:rPr>
          <w:rFonts w:ascii="Times New Roman" w:eastAsiaTheme="majorEastAsia" w:hAnsi="Times New Roman" w:cs="Times New Roman"/>
          <w:sz w:val="26"/>
          <w:szCs w:val="26"/>
        </w:rPr>
        <w:t>chartered and founded in</w:t>
      </w:r>
      <w:r w:rsidR="00121D7D">
        <w:rPr>
          <w:rFonts w:ascii="Times New Roman" w:eastAsiaTheme="majorEastAsia" w:hAnsi="Times New Roman" w:cs="Times New Roman"/>
          <w:sz w:val="26"/>
          <w:szCs w:val="26"/>
        </w:rPr>
        <w:t xml:space="preserve"> Canada, there are still many differences and similarities between these two banks.</w:t>
      </w:r>
    </w:p>
    <w:p w14:paraId="3734D719" w14:textId="3A5631FF" w:rsidR="00121D7D" w:rsidRDefault="00121D7D">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t>First</w:t>
      </w:r>
      <w:r w:rsidR="00122587">
        <w:rPr>
          <w:rFonts w:ascii="Times New Roman" w:eastAsiaTheme="majorEastAsia" w:hAnsi="Times New Roman" w:cs="Times New Roman"/>
          <w:sz w:val="26"/>
          <w:szCs w:val="26"/>
        </w:rPr>
        <w:t>ly</w:t>
      </w:r>
      <w:r>
        <w:rPr>
          <w:rFonts w:ascii="Times New Roman" w:eastAsiaTheme="majorEastAsia" w:hAnsi="Times New Roman" w:cs="Times New Roman"/>
          <w:sz w:val="26"/>
          <w:szCs w:val="26"/>
        </w:rPr>
        <w:t xml:space="preserve">, </w:t>
      </w:r>
      <w:r w:rsidR="00035556">
        <w:rPr>
          <w:rFonts w:ascii="Times New Roman" w:eastAsiaTheme="majorEastAsia" w:hAnsi="Times New Roman" w:cs="Times New Roman"/>
          <w:sz w:val="26"/>
          <w:szCs w:val="26"/>
        </w:rPr>
        <w:t xml:space="preserve">the business segments </w:t>
      </w:r>
      <w:r w:rsidR="00306564">
        <w:rPr>
          <w:rFonts w:ascii="Times New Roman" w:eastAsiaTheme="majorEastAsia" w:hAnsi="Times New Roman" w:cs="Times New Roman"/>
          <w:sz w:val="26"/>
          <w:szCs w:val="26"/>
        </w:rPr>
        <w:t xml:space="preserve">of both banks </w:t>
      </w:r>
      <w:r w:rsidR="00035556">
        <w:rPr>
          <w:rFonts w:ascii="Times New Roman" w:eastAsiaTheme="majorEastAsia" w:hAnsi="Times New Roman" w:cs="Times New Roman"/>
          <w:sz w:val="26"/>
          <w:szCs w:val="26"/>
        </w:rPr>
        <w:t xml:space="preserve">are similar but </w:t>
      </w:r>
      <w:r w:rsidR="00306564">
        <w:rPr>
          <w:rFonts w:ascii="Times New Roman" w:eastAsiaTheme="majorEastAsia" w:hAnsi="Times New Roman" w:cs="Times New Roman"/>
          <w:sz w:val="26"/>
          <w:szCs w:val="26"/>
        </w:rPr>
        <w:t>focusing on different segment</w:t>
      </w:r>
      <w:r w:rsidR="00C24AC9">
        <w:rPr>
          <w:rFonts w:ascii="Times New Roman" w:eastAsiaTheme="majorEastAsia" w:hAnsi="Times New Roman" w:cs="Times New Roman"/>
          <w:sz w:val="26"/>
          <w:szCs w:val="26"/>
        </w:rPr>
        <w:t>s</w:t>
      </w:r>
      <w:r w:rsidR="00306564">
        <w:rPr>
          <w:rFonts w:ascii="Times New Roman" w:eastAsiaTheme="majorEastAsia" w:hAnsi="Times New Roman" w:cs="Times New Roman"/>
          <w:sz w:val="26"/>
          <w:szCs w:val="26"/>
        </w:rPr>
        <w:t xml:space="preserve">. </w:t>
      </w:r>
      <w:r w:rsidR="001C02A2">
        <w:rPr>
          <w:rFonts w:ascii="Times New Roman" w:eastAsiaTheme="majorEastAsia" w:hAnsi="Times New Roman" w:cs="Times New Roman"/>
          <w:sz w:val="26"/>
          <w:szCs w:val="26"/>
        </w:rPr>
        <w:t>RBC have 6 business segments which are Personal &amp; Commercial Banking, Wealth Management, Insurance, Investor &amp; Treasury Services, Capital Markets, and Corporate Support; Scotiabank have 4 business segments which are Canadian Banking, Global Wealth Management, Global Banking and Markets, and International Banking.</w:t>
      </w:r>
      <w:r w:rsidR="00DB69AC">
        <w:rPr>
          <w:rFonts w:ascii="Times New Roman" w:eastAsiaTheme="majorEastAsia" w:hAnsi="Times New Roman" w:cs="Times New Roman"/>
          <w:sz w:val="26"/>
          <w:szCs w:val="26"/>
        </w:rPr>
        <w:t xml:space="preserve"> Scotiabank is mainly focusing on Banking in worldwide, but RBC’s segments are </w:t>
      </w:r>
      <w:r w:rsidR="00910B6A">
        <w:rPr>
          <w:rFonts w:ascii="Times New Roman" w:eastAsiaTheme="majorEastAsia" w:hAnsi="Times New Roman" w:cs="Times New Roman"/>
          <w:sz w:val="26"/>
          <w:szCs w:val="26"/>
        </w:rPr>
        <w:t>broader</w:t>
      </w:r>
      <w:r w:rsidR="00DB69AC">
        <w:rPr>
          <w:rFonts w:ascii="Times New Roman" w:eastAsiaTheme="majorEastAsia" w:hAnsi="Times New Roman" w:cs="Times New Roman"/>
          <w:sz w:val="26"/>
          <w:szCs w:val="26"/>
        </w:rPr>
        <w:t xml:space="preserve"> like the Insurance, Investor &amp; Treasury Services, and Corporate Support.</w:t>
      </w:r>
    </w:p>
    <w:p w14:paraId="3C29D7C2" w14:textId="121D14AA" w:rsidR="007F5EBE" w:rsidRDefault="007F5EBE">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t>Second</w:t>
      </w:r>
      <w:r w:rsidR="00122587">
        <w:rPr>
          <w:rFonts w:ascii="Times New Roman" w:eastAsiaTheme="majorEastAsia" w:hAnsi="Times New Roman" w:cs="Times New Roman"/>
          <w:sz w:val="26"/>
          <w:szCs w:val="26"/>
        </w:rPr>
        <w:t>ly</w:t>
      </w:r>
      <w:r>
        <w:rPr>
          <w:rFonts w:ascii="Times New Roman" w:eastAsiaTheme="majorEastAsia" w:hAnsi="Times New Roman" w:cs="Times New Roman"/>
          <w:sz w:val="26"/>
          <w:szCs w:val="26"/>
        </w:rPr>
        <w:t xml:space="preserve">, </w:t>
      </w:r>
      <w:r w:rsidR="000D09E3">
        <w:rPr>
          <w:rFonts w:ascii="Times New Roman" w:eastAsiaTheme="majorEastAsia" w:hAnsi="Times New Roman" w:cs="Times New Roman"/>
          <w:sz w:val="26"/>
          <w:szCs w:val="26"/>
        </w:rPr>
        <w:t>the main regions of two banks are slightly different. Only 43% of assets under administration (AUA) of RBC is in Canada, but Scotiabank has 60% in Canada.</w:t>
      </w:r>
    </w:p>
    <w:p w14:paraId="53D63BF2" w14:textId="718FFB98" w:rsidR="00104566" w:rsidRDefault="00104566">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t>Third</w:t>
      </w:r>
      <w:r w:rsidR="00122587">
        <w:rPr>
          <w:rFonts w:ascii="Times New Roman" w:eastAsiaTheme="majorEastAsia" w:hAnsi="Times New Roman" w:cs="Times New Roman"/>
          <w:sz w:val="26"/>
          <w:szCs w:val="26"/>
        </w:rPr>
        <w:t>ly</w:t>
      </w:r>
      <w:r>
        <w:rPr>
          <w:rFonts w:ascii="Times New Roman" w:eastAsiaTheme="majorEastAsia" w:hAnsi="Times New Roman" w:cs="Times New Roman"/>
          <w:sz w:val="26"/>
          <w:szCs w:val="26"/>
        </w:rPr>
        <w:t>, the</w:t>
      </w:r>
      <w:r w:rsidR="006830C6">
        <w:rPr>
          <w:rFonts w:ascii="Times New Roman" w:eastAsiaTheme="majorEastAsia" w:hAnsi="Times New Roman" w:cs="Times New Roman"/>
          <w:sz w:val="26"/>
          <w:szCs w:val="26"/>
        </w:rPr>
        <w:t xml:space="preserve"> date of</w:t>
      </w:r>
      <w:r>
        <w:rPr>
          <w:rFonts w:ascii="Times New Roman" w:eastAsiaTheme="majorEastAsia" w:hAnsi="Times New Roman" w:cs="Times New Roman"/>
          <w:sz w:val="26"/>
          <w:szCs w:val="26"/>
        </w:rPr>
        <w:t xml:space="preserve"> fiscal year end of both banks </w:t>
      </w:r>
      <w:r w:rsidR="006830C6">
        <w:rPr>
          <w:rFonts w:ascii="Times New Roman" w:eastAsiaTheme="majorEastAsia" w:hAnsi="Times New Roman" w:cs="Times New Roman"/>
          <w:sz w:val="26"/>
          <w:szCs w:val="26"/>
        </w:rPr>
        <w:t xml:space="preserve">is </w:t>
      </w:r>
      <w:r>
        <w:rPr>
          <w:rFonts w:ascii="Times New Roman" w:eastAsiaTheme="majorEastAsia" w:hAnsi="Times New Roman" w:cs="Times New Roman"/>
          <w:sz w:val="26"/>
          <w:szCs w:val="26"/>
        </w:rPr>
        <w:t>the same, both are ended October 31.</w:t>
      </w:r>
    </w:p>
    <w:p w14:paraId="1156395E" w14:textId="2DAC15FD" w:rsidR="006830C6" w:rsidRDefault="006830C6">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t>Fourth</w:t>
      </w:r>
      <w:r w:rsidR="00122587">
        <w:rPr>
          <w:rFonts w:ascii="Times New Roman" w:eastAsiaTheme="majorEastAsia" w:hAnsi="Times New Roman" w:cs="Times New Roman"/>
          <w:sz w:val="26"/>
          <w:szCs w:val="26"/>
        </w:rPr>
        <w:t>ly</w:t>
      </w:r>
      <w:r>
        <w:rPr>
          <w:rFonts w:ascii="Times New Roman" w:eastAsiaTheme="majorEastAsia" w:hAnsi="Times New Roman" w:cs="Times New Roman"/>
          <w:sz w:val="26"/>
          <w:szCs w:val="26"/>
        </w:rPr>
        <w:t>, two banks’ 2021 annual reports followed the GAAP and or IFRS, but audited by different accounting firms, RBC’s 2021 annual report was audited by PricewaterhouseCoopers LLP, and Scotiabank’s 2021 annual report was audited by Klynveld Peat Marwick Goerdeler LLP.</w:t>
      </w:r>
    </w:p>
    <w:p w14:paraId="597274B2" w14:textId="6D4F748E" w:rsidR="00312655" w:rsidRDefault="008F0165" w:rsidP="00312655">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t xml:space="preserve">Fifthly, the </w:t>
      </w:r>
      <w:r w:rsidR="009925F2">
        <w:rPr>
          <w:rFonts w:ascii="Times New Roman" w:eastAsiaTheme="majorEastAsia" w:hAnsi="Times New Roman" w:cs="Times New Roman"/>
          <w:sz w:val="26"/>
          <w:szCs w:val="26"/>
        </w:rPr>
        <w:t>head</w:t>
      </w:r>
      <w:r>
        <w:rPr>
          <w:rFonts w:ascii="Times New Roman" w:eastAsiaTheme="majorEastAsia" w:hAnsi="Times New Roman" w:cs="Times New Roman"/>
          <w:sz w:val="26"/>
          <w:szCs w:val="26"/>
        </w:rPr>
        <w:t xml:space="preserve"> office</w:t>
      </w:r>
      <w:r w:rsidR="00312655">
        <w:rPr>
          <w:rFonts w:ascii="Times New Roman" w:eastAsiaTheme="majorEastAsia" w:hAnsi="Times New Roman" w:cs="Times New Roman"/>
          <w:sz w:val="26"/>
          <w:szCs w:val="26"/>
        </w:rPr>
        <w:t>s</w:t>
      </w:r>
      <w:r>
        <w:rPr>
          <w:rFonts w:ascii="Times New Roman" w:eastAsiaTheme="majorEastAsia" w:hAnsi="Times New Roman" w:cs="Times New Roman"/>
          <w:sz w:val="26"/>
          <w:szCs w:val="26"/>
        </w:rPr>
        <w:t xml:space="preserve"> of both banks </w:t>
      </w:r>
      <w:r w:rsidR="00312655">
        <w:rPr>
          <w:rFonts w:ascii="Times New Roman" w:eastAsiaTheme="majorEastAsia" w:hAnsi="Times New Roman" w:cs="Times New Roman"/>
          <w:sz w:val="26"/>
          <w:szCs w:val="26"/>
        </w:rPr>
        <w:t>are</w:t>
      </w:r>
      <w:r>
        <w:rPr>
          <w:rFonts w:ascii="Times New Roman" w:eastAsiaTheme="majorEastAsia" w:hAnsi="Times New Roman" w:cs="Times New Roman"/>
          <w:sz w:val="26"/>
          <w:szCs w:val="26"/>
        </w:rPr>
        <w:t xml:space="preserve"> </w:t>
      </w:r>
      <w:r w:rsidR="0090023A">
        <w:rPr>
          <w:rFonts w:ascii="Times New Roman" w:eastAsiaTheme="majorEastAsia" w:hAnsi="Times New Roman" w:cs="Times New Roman"/>
          <w:sz w:val="26"/>
          <w:szCs w:val="26"/>
        </w:rPr>
        <w:t>based in</w:t>
      </w:r>
      <w:r>
        <w:rPr>
          <w:rFonts w:ascii="Times New Roman" w:eastAsiaTheme="majorEastAsia" w:hAnsi="Times New Roman" w:cs="Times New Roman"/>
          <w:sz w:val="26"/>
          <w:szCs w:val="26"/>
        </w:rPr>
        <w:t xml:space="preserve"> Toronto.</w:t>
      </w:r>
      <w:r w:rsidR="00312655">
        <w:rPr>
          <w:rFonts w:ascii="Times New Roman" w:eastAsiaTheme="majorEastAsia" w:hAnsi="Times New Roman" w:cs="Times New Roman"/>
          <w:sz w:val="26"/>
          <w:szCs w:val="26"/>
        </w:rPr>
        <w:t xml:space="preserve"> </w:t>
      </w:r>
    </w:p>
    <w:p w14:paraId="1C3765A6" w14:textId="0A65156E" w:rsidR="00312655" w:rsidRDefault="00312655" w:rsidP="00312655">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t>Sixthly, the Chair of the Board of RBC is a female, which is very rare in the corporate Canada world.</w:t>
      </w:r>
    </w:p>
    <w:p w14:paraId="2B8EEFF1" w14:textId="2253F64E" w:rsidR="00121D7D" w:rsidRDefault="00910B6A">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r>
      <w:r w:rsidR="00A750E9">
        <w:rPr>
          <w:rFonts w:ascii="Times New Roman" w:eastAsiaTheme="majorEastAsia" w:hAnsi="Times New Roman" w:cs="Times New Roman"/>
          <w:sz w:val="26"/>
          <w:szCs w:val="26"/>
        </w:rPr>
        <w:t>Last</w:t>
      </w:r>
      <w:r w:rsidR="00122587">
        <w:rPr>
          <w:rFonts w:ascii="Times New Roman" w:eastAsiaTheme="majorEastAsia" w:hAnsi="Times New Roman" w:cs="Times New Roman"/>
          <w:sz w:val="26"/>
          <w:szCs w:val="26"/>
        </w:rPr>
        <w:t>ly</w:t>
      </w:r>
      <w:r>
        <w:rPr>
          <w:rFonts w:ascii="Times New Roman" w:eastAsiaTheme="majorEastAsia" w:hAnsi="Times New Roman" w:cs="Times New Roman"/>
          <w:sz w:val="26"/>
          <w:szCs w:val="26"/>
        </w:rPr>
        <w:t xml:space="preserve">, </w:t>
      </w:r>
      <w:r w:rsidR="007F5EBE">
        <w:rPr>
          <w:rFonts w:ascii="Times New Roman" w:eastAsiaTheme="majorEastAsia" w:hAnsi="Times New Roman" w:cs="Times New Roman"/>
          <w:sz w:val="26"/>
          <w:szCs w:val="26"/>
        </w:rPr>
        <w:t xml:space="preserve">they are also very similar </w:t>
      </w:r>
      <w:r w:rsidR="00A750E9">
        <w:rPr>
          <w:rFonts w:ascii="Times New Roman" w:eastAsiaTheme="majorEastAsia" w:hAnsi="Times New Roman" w:cs="Times New Roman"/>
          <w:sz w:val="26"/>
          <w:szCs w:val="26"/>
        </w:rPr>
        <w:t>because of</w:t>
      </w:r>
      <w:r w:rsidR="007F5EBE">
        <w:rPr>
          <w:rFonts w:ascii="Times New Roman" w:eastAsiaTheme="majorEastAsia" w:hAnsi="Times New Roman" w:cs="Times New Roman"/>
          <w:sz w:val="26"/>
          <w:szCs w:val="26"/>
        </w:rPr>
        <w:t xml:space="preserve"> </w:t>
      </w:r>
      <w:r w:rsidR="001D383A">
        <w:rPr>
          <w:rFonts w:ascii="Times New Roman" w:eastAsiaTheme="majorEastAsia" w:hAnsi="Times New Roman" w:cs="Times New Roman"/>
          <w:sz w:val="26"/>
          <w:szCs w:val="26"/>
        </w:rPr>
        <w:t xml:space="preserve">their </w:t>
      </w:r>
      <w:r w:rsidR="007F5EBE">
        <w:rPr>
          <w:rFonts w:ascii="Times New Roman" w:eastAsiaTheme="majorEastAsia" w:hAnsi="Times New Roman" w:cs="Times New Roman"/>
          <w:sz w:val="26"/>
          <w:szCs w:val="26"/>
        </w:rPr>
        <w:t>revenue</w:t>
      </w:r>
      <w:r w:rsidR="004F219B">
        <w:rPr>
          <w:rFonts w:ascii="Times New Roman" w:eastAsiaTheme="majorEastAsia" w:hAnsi="Times New Roman" w:cs="Times New Roman"/>
          <w:sz w:val="26"/>
          <w:szCs w:val="26"/>
        </w:rPr>
        <w:t>s</w:t>
      </w:r>
      <w:r w:rsidR="007F5EBE">
        <w:rPr>
          <w:rFonts w:ascii="Times New Roman" w:eastAsiaTheme="majorEastAsia" w:hAnsi="Times New Roman" w:cs="Times New Roman"/>
          <w:sz w:val="26"/>
          <w:szCs w:val="26"/>
        </w:rPr>
        <w:t xml:space="preserve"> and earnings are </w:t>
      </w:r>
      <w:r w:rsidR="000A0933">
        <w:rPr>
          <w:rFonts w:ascii="Times New Roman" w:eastAsiaTheme="majorEastAsia" w:hAnsi="Times New Roman" w:cs="Times New Roman"/>
          <w:sz w:val="26"/>
          <w:szCs w:val="26"/>
        </w:rPr>
        <w:t xml:space="preserve">mainly </w:t>
      </w:r>
      <w:r w:rsidR="007F5EBE">
        <w:rPr>
          <w:rFonts w:ascii="Times New Roman" w:eastAsiaTheme="majorEastAsia" w:hAnsi="Times New Roman" w:cs="Times New Roman"/>
          <w:sz w:val="26"/>
          <w:szCs w:val="26"/>
        </w:rPr>
        <w:t>from banking and wealth management</w:t>
      </w:r>
      <w:r w:rsidR="00A750E9">
        <w:rPr>
          <w:rFonts w:ascii="Times New Roman" w:eastAsiaTheme="majorEastAsia" w:hAnsi="Times New Roman" w:cs="Times New Roman"/>
          <w:sz w:val="26"/>
          <w:szCs w:val="26"/>
        </w:rPr>
        <w:t xml:space="preserve">, </w:t>
      </w:r>
      <w:r w:rsidR="004F219B">
        <w:rPr>
          <w:rFonts w:ascii="Times New Roman" w:eastAsiaTheme="majorEastAsia" w:hAnsi="Times New Roman" w:cs="Times New Roman"/>
          <w:sz w:val="26"/>
          <w:szCs w:val="26"/>
        </w:rPr>
        <w:t xml:space="preserve">also </w:t>
      </w:r>
      <w:r w:rsidR="00A750E9">
        <w:rPr>
          <w:rFonts w:ascii="Times New Roman" w:eastAsiaTheme="majorEastAsia" w:hAnsi="Times New Roman" w:cs="Times New Roman"/>
          <w:sz w:val="26"/>
          <w:szCs w:val="26"/>
        </w:rPr>
        <w:t xml:space="preserve">because </w:t>
      </w:r>
      <w:r w:rsidR="00D60DAD">
        <w:rPr>
          <w:rFonts w:ascii="Times New Roman" w:eastAsiaTheme="majorEastAsia" w:hAnsi="Times New Roman" w:cs="Times New Roman"/>
          <w:sz w:val="26"/>
          <w:szCs w:val="26"/>
        </w:rPr>
        <w:t>of their</w:t>
      </w:r>
      <w:r w:rsidR="001D383A">
        <w:rPr>
          <w:rFonts w:ascii="Times New Roman" w:eastAsiaTheme="majorEastAsia" w:hAnsi="Times New Roman" w:cs="Times New Roman"/>
          <w:sz w:val="26"/>
          <w:szCs w:val="26"/>
        </w:rPr>
        <w:t xml:space="preserve"> </w:t>
      </w:r>
      <w:r w:rsidR="007F5EBE">
        <w:rPr>
          <w:rFonts w:ascii="Times New Roman" w:eastAsiaTheme="majorEastAsia" w:hAnsi="Times New Roman" w:cs="Times New Roman"/>
          <w:sz w:val="26"/>
          <w:szCs w:val="26"/>
        </w:rPr>
        <w:t>revenue</w:t>
      </w:r>
      <w:r w:rsidR="004F219B">
        <w:rPr>
          <w:rFonts w:ascii="Times New Roman" w:eastAsiaTheme="majorEastAsia" w:hAnsi="Times New Roman" w:cs="Times New Roman"/>
          <w:sz w:val="26"/>
          <w:szCs w:val="26"/>
        </w:rPr>
        <w:t xml:space="preserve">s </w:t>
      </w:r>
      <w:r w:rsidR="007F5EBE">
        <w:rPr>
          <w:rFonts w:ascii="Times New Roman" w:eastAsiaTheme="majorEastAsia" w:hAnsi="Times New Roman" w:cs="Times New Roman"/>
          <w:sz w:val="26"/>
          <w:szCs w:val="26"/>
        </w:rPr>
        <w:t>by business lines are both mainly personal banking.</w:t>
      </w:r>
    </w:p>
    <w:p w14:paraId="10E86AE2" w14:textId="7F5E91BA" w:rsidR="00DA48F9" w:rsidRDefault="008F0165">
      <w:pPr>
        <w:widowControl/>
        <w:jc w:val="left"/>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r>
      <w:r w:rsidR="003B64A1">
        <w:rPr>
          <w:rFonts w:ascii="Times New Roman" w:eastAsiaTheme="majorEastAsia" w:hAnsi="Times New Roman" w:cs="Times New Roman"/>
          <w:sz w:val="26"/>
          <w:szCs w:val="26"/>
        </w:rPr>
        <w:t xml:space="preserve"> </w:t>
      </w:r>
      <w:r w:rsidR="000A0FE9">
        <w:rPr>
          <w:rFonts w:ascii="Times New Roman" w:eastAsiaTheme="majorEastAsia" w:hAnsi="Times New Roman" w:cs="Times New Roman"/>
          <w:sz w:val="26"/>
          <w:szCs w:val="26"/>
        </w:rPr>
        <w:t xml:space="preserve">To find out which </w:t>
      </w:r>
      <w:r w:rsidR="00F4320D">
        <w:rPr>
          <w:rFonts w:ascii="Times New Roman" w:eastAsiaTheme="majorEastAsia" w:hAnsi="Times New Roman" w:cs="Times New Roman"/>
          <w:sz w:val="26"/>
          <w:szCs w:val="26"/>
        </w:rPr>
        <w:t>banks</w:t>
      </w:r>
      <w:r w:rsidR="000A0FE9">
        <w:rPr>
          <w:rFonts w:ascii="Times New Roman" w:eastAsiaTheme="majorEastAsia" w:hAnsi="Times New Roman" w:cs="Times New Roman"/>
          <w:sz w:val="26"/>
          <w:szCs w:val="26"/>
        </w:rPr>
        <w:t xml:space="preserve"> is in a better financial position, we need to first compare the horizontal, vertical analysis and the financial ratios of both </w:t>
      </w:r>
      <w:r w:rsidR="00F4320D">
        <w:rPr>
          <w:rFonts w:ascii="Times New Roman" w:eastAsiaTheme="majorEastAsia" w:hAnsi="Times New Roman" w:cs="Times New Roman"/>
          <w:sz w:val="26"/>
          <w:szCs w:val="26"/>
        </w:rPr>
        <w:t>banks</w:t>
      </w:r>
      <w:r w:rsidR="000A0FE9">
        <w:rPr>
          <w:rFonts w:ascii="Times New Roman" w:eastAsiaTheme="majorEastAsia" w:hAnsi="Times New Roman" w:cs="Times New Roman"/>
          <w:sz w:val="26"/>
          <w:szCs w:val="26"/>
        </w:rPr>
        <w:t>.</w:t>
      </w:r>
    </w:p>
    <w:p w14:paraId="2D2AA1F8" w14:textId="79E54AB3" w:rsidR="000267F7" w:rsidRDefault="000267F7">
      <w:pPr>
        <w:widowControl/>
        <w:jc w:val="left"/>
        <w:rPr>
          <w:rFonts w:ascii="Times New Roman" w:eastAsiaTheme="majorEastAsia" w:hAnsi="Times New Roman" w:cs="Times New Roman"/>
          <w:sz w:val="26"/>
          <w:szCs w:val="26"/>
        </w:rPr>
      </w:pPr>
      <w:r w:rsidRPr="00D60C0C">
        <w:rPr>
          <w:rFonts w:ascii="Times New Roman" w:eastAsiaTheme="majorEastAsia" w:hAnsi="Times New Roman" w:cs="Times New Roman"/>
          <w:sz w:val="26"/>
          <w:szCs w:val="26"/>
        </w:rPr>
        <w:tab/>
      </w:r>
      <w:r w:rsidR="009969BD">
        <w:rPr>
          <w:rFonts w:ascii="Times New Roman" w:eastAsiaTheme="majorEastAsia" w:hAnsi="Times New Roman" w:cs="Times New Roman"/>
          <w:sz w:val="26"/>
          <w:szCs w:val="26"/>
        </w:rPr>
        <w:t xml:space="preserve">Based on the horizontal analysis of the Balance Sheets </w:t>
      </w:r>
      <w:r w:rsidR="00FE6B5A">
        <w:rPr>
          <w:rFonts w:ascii="Times New Roman" w:eastAsiaTheme="majorEastAsia" w:hAnsi="Times New Roman" w:cs="Times New Roman"/>
          <w:sz w:val="26"/>
          <w:szCs w:val="26"/>
        </w:rPr>
        <w:t>(Figure</w:t>
      </w:r>
      <w:r w:rsidR="00681D7C">
        <w:rPr>
          <w:rFonts w:ascii="Times New Roman" w:eastAsiaTheme="majorEastAsia" w:hAnsi="Times New Roman" w:cs="Times New Roman"/>
          <w:sz w:val="26"/>
          <w:szCs w:val="26"/>
        </w:rPr>
        <w:t>s</w:t>
      </w:r>
      <w:r w:rsidR="00FE6B5A">
        <w:rPr>
          <w:rFonts w:ascii="Times New Roman" w:eastAsiaTheme="majorEastAsia" w:hAnsi="Times New Roman" w:cs="Times New Roman"/>
          <w:sz w:val="26"/>
          <w:szCs w:val="26"/>
        </w:rPr>
        <w:t xml:space="preserve"> 3 and 4) </w:t>
      </w:r>
      <w:r w:rsidR="009969BD">
        <w:rPr>
          <w:rFonts w:ascii="Times New Roman" w:eastAsiaTheme="majorEastAsia" w:hAnsi="Times New Roman" w:cs="Times New Roman"/>
          <w:sz w:val="26"/>
          <w:szCs w:val="26"/>
        </w:rPr>
        <w:t>of both banks: t</w:t>
      </w:r>
      <w:r w:rsidR="00904CA0">
        <w:rPr>
          <w:rFonts w:ascii="Times New Roman" w:eastAsiaTheme="majorEastAsia" w:hAnsi="Times New Roman" w:cs="Times New Roman"/>
          <w:sz w:val="26"/>
          <w:szCs w:val="26"/>
        </w:rPr>
        <w:t xml:space="preserve">he </w:t>
      </w:r>
      <w:r w:rsidR="007129BB">
        <w:rPr>
          <w:rFonts w:ascii="Times New Roman" w:eastAsiaTheme="majorEastAsia" w:hAnsi="Times New Roman" w:cs="Times New Roman"/>
          <w:sz w:val="26"/>
          <w:szCs w:val="26"/>
        </w:rPr>
        <w:t>total assets of RBC increased $81,775</w:t>
      </w:r>
      <w:r w:rsidR="00102F48">
        <w:rPr>
          <w:rFonts w:ascii="Times New Roman" w:eastAsiaTheme="majorEastAsia" w:hAnsi="Times New Roman" w:cs="Times New Roman"/>
          <w:sz w:val="26"/>
          <w:szCs w:val="26"/>
        </w:rPr>
        <w:t xml:space="preserve"> millions</w:t>
      </w:r>
      <w:r w:rsidR="00C75EA3">
        <w:rPr>
          <w:rFonts w:ascii="Times New Roman" w:eastAsiaTheme="majorEastAsia" w:hAnsi="Times New Roman" w:cs="Times New Roman"/>
          <w:sz w:val="26"/>
          <w:szCs w:val="26"/>
        </w:rPr>
        <w:t xml:space="preserve"> (</w:t>
      </w:r>
      <w:r w:rsidR="007129BB">
        <w:rPr>
          <w:rFonts w:ascii="Times New Roman" w:eastAsiaTheme="majorEastAsia" w:hAnsi="Times New Roman" w:cs="Times New Roman"/>
          <w:sz w:val="26"/>
          <w:szCs w:val="26"/>
        </w:rPr>
        <w:t>5%</w:t>
      </w:r>
      <w:r w:rsidR="00C75EA3">
        <w:rPr>
          <w:rFonts w:ascii="Times New Roman" w:eastAsiaTheme="majorEastAsia" w:hAnsi="Times New Roman" w:cs="Times New Roman"/>
          <w:sz w:val="26"/>
          <w:szCs w:val="26"/>
        </w:rPr>
        <w:t>)</w:t>
      </w:r>
      <w:r w:rsidR="00C75EA3">
        <w:rPr>
          <w:rFonts w:ascii="Times New Roman" w:eastAsiaTheme="majorEastAsia" w:hAnsi="Times New Roman" w:cs="Times New Roman"/>
          <w:sz w:val="26"/>
          <w:szCs w:val="26"/>
        </w:rPr>
        <w:t>,</w:t>
      </w:r>
      <w:r w:rsidR="007129BB">
        <w:rPr>
          <w:rFonts w:ascii="Times New Roman" w:eastAsiaTheme="majorEastAsia" w:hAnsi="Times New Roman" w:cs="Times New Roman"/>
          <w:sz w:val="26"/>
          <w:szCs w:val="26"/>
        </w:rPr>
        <w:t xml:space="preserve"> but the total assets of Scotiabank increased $48,378 </w:t>
      </w:r>
      <w:r w:rsidR="00102F48">
        <w:rPr>
          <w:rFonts w:ascii="Times New Roman" w:eastAsiaTheme="majorEastAsia" w:hAnsi="Times New Roman" w:cs="Times New Roman"/>
          <w:sz w:val="26"/>
          <w:szCs w:val="26"/>
        </w:rPr>
        <w:t xml:space="preserve">millions </w:t>
      </w:r>
      <w:r w:rsidR="00C75EA3">
        <w:rPr>
          <w:rFonts w:ascii="Times New Roman" w:eastAsiaTheme="majorEastAsia" w:hAnsi="Times New Roman" w:cs="Times New Roman"/>
          <w:sz w:val="26"/>
          <w:szCs w:val="26"/>
        </w:rPr>
        <w:t>(</w:t>
      </w:r>
      <w:r w:rsidR="00C75EA3">
        <w:rPr>
          <w:rFonts w:ascii="Times New Roman" w:eastAsiaTheme="majorEastAsia" w:hAnsi="Times New Roman" w:cs="Times New Roman"/>
          <w:sz w:val="26"/>
          <w:szCs w:val="26"/>
        </w:rPr>
        <w:t>4.3%</w:t>
      </w:r>
      <w:r w:rsidR="00C75EA3">
        <w:rPr>
          <w:rFonts w:ascii="Times New Roman" w:eastAsiaTheme="majorEastAsia" w:hAnsi="Times New Roman" w:cs="Times New Roman"/>
          <w:sz w:val="26"/>
          <w:szCs w:val="26"/>
        </w:rPr>
        <w:t>)</w:t>
      </w:r>
      <w:r w:rsidR="007129BB">
        <w:rPr>
          <w:rFonts w:ascii="Times New Roman" w:eastAsiaTheme="majorEastAsia" w:hAnsi="Times New Roman" w:cs="Times New Roman"/>
          <w:sz w:val="26"/>
          <w:szCs w:val="26"/>
        </w:rPr>
        <w:t xml:space="preserve">, </w:t>
      </w:r>
      <w:r w:rsidR="00C75EA3">
        <w:rPr>
          <w:rFonts w:ascii="Times New Roman" w:eastAsiaTheme="majorEastAsia" w:hAnsi="Times New Roman" w:cs="Times New Roman"/>
          <w:sz w:val="26"/>
          <w:szCs w:val="26"/>
        </w:rPr>
        <w:t xml:space="preserve">since the growth amount and rate of the total asset of RBC is larger and faster than Scotiabank, this shows that </w:t>
      </w:r>
      <w:r w:rsidR="007129BB">
        <w:rPr>
          <w:rFonts w:ascii="Times New Roman" w:eastAsiaTheme="majorEastAsia" w:hAnsi="Times New Roman" w:cs="Times New Roman"/>
          <w:sz w:val="26"/>
          <w:szCs w:val="26"/>
        </w:rPr>
        <w:t>RBC is expanding its Assets in a faster rate and larger amount compared to Scotiabank</w:t>
      </w:r>
      <w:r w:rsidR="005F4E2F">
        <w:rPr>
          <w:rFonts w:ascii="Times New Roman" w:eastAsiaTheme="majorEastAsia" w:hAnsi="Times New Roman" w:cs="Times New Roman"/>
          <w:sz w:val="26"/>
          <w:szCs w:val="26"/>
        </w:rPr>
        <w:t>;</w:t>
      </w:r>
      <w:r w:rsidR="007129BB">
        <w:rPr>
          <w:rFonts w:ascii="Times New Roman" w:eastAsiaTheme="majorEastAsia" w:hAnsi="Times New Roman" w:cs="Times New Roman"/>
          <w:sz w:val="26"/>
          <w:szCs w:val="26"/>
        </w:rPr>
        <w:t xml:space="preserve"> </w:t>
      </w:r>
      <w:r w:rsidR="00C75EA3">
        <w:rPr>
          <w:rFonts w:ascii="Times New Roman" w:eastAsiaTheme="majorEastAsia" w:hAnsi="Times New Roman" w:cs="Times New Roman"/>
          <w:sz w:val="26"/>
          <w:szCs w:val="26"/>
        </w:rPr>
        <w:t>RBC’s</w:t>
      </w:r>
      <w:r w:rsidR="007129BB">
        <w:rPr>
          <w:rFonts w:ascii="Times New Roman" w:eastAsiaTheme="majorEastAsia" w:hAnsi="Times New Roman" w:cs="Times New Roman"/>
          <w:sz w:val="26"/>
          <w:szCs w:val="26"/>
        </w:rPr>
        <w:t xml:space="preserve"> interest-bearing deposits with banks increased 104.1% which is a huge growth</w:t>
      </w:r>
      <w:r w:rsidR="005F4E2F">
        <w:rPr>
          <w:rFonts w:ascii="Times New Roman" w:eastAsiaTheme="majorEastAsia" w:hAnsi="Times New Roman" w:cs="Times New Roman"/>
          <w:sz w:val="26"/>
          <w:szCs w:val="26"/>
        </w:rPr>
        <w:t xml:space="preserve"> </w:t>
      </w:r>
      <w:r w:rsidR="00102F48">
        <w:rPr>
          <w:rFonts w:ascii="Times New Roman" w:eastAsiaTheme="majorEastAsia" w:hAnsi="Times New Roman" w:cs="Times New Roman"/>
          <w:sz w:val="26"/>
          <w:szCs w:val="26"/>
        </w:rPr>
        <w:t xml:space="preserve">in interbank deposit </w:t>
      </w:r>
      <w:r w:rsidR="005F4E2F">
        <w:rPr>
          <w:rFonts w:ascii="Times New Roman" w:eastAsiaTheme="majorEastAsia" w:hAnsi="Times New Roman" w:cs="Times New Roman"/>
          <w:sz w:val="26"/>
          <w:szCs w:val="26"/>
        </w:rPr>
        <w:t xml:space="preserve">comparing to Scotiabank; Scotiabank’s investment securities decreased 32.5% which is significant </w:t>
      </w:r>
      <w:r w:rsidR="005F4E2F">
        <w:rPr>
          <w:rFonts w:ascii="Times New Roman" w:eastAsiaTheme="majorEastAsia" w:hAnsi="Times New Roman" w:cs="Times New Roman"/>
          <w:sz w:val="26"/>
          <w:szCs w:val="26"/>
        </w:rPr>
        <w:lastRenderedPageBreak/>
        <w:t>reduction since RBC’s investment securities increased 3.2%; and</w:t>
      </w:r>
      <w:r w:rsidR="00C17B45">
        <w:rPr>
          <w:rFonts w:ascii="Times New Roman" w:eastAsiaTheme="majorEastAsia" w:hAnsi="Times New Roman" w:cs="Times New Roman"/>
          <w:sz w:val="26"/>
          <w:szCs w:val="26"/>
        </w:rPr>
        <w:t xml:space="preserve"> </w:t>
      </w:r>
      <w:r w:rsidR="00F056F0">
        <w:rPr>
          <w:rFonts w:ascii="Times New Roman" w:eastAsiaTheme="majorEastAsia" w:hAnsi="Times New Roman" w:cs="Times New Roman"/>
          <w:sz w:val="26"/>
          <w:szCs w:val="26"/>
        </w:rPr>
        <w:t xml:space="preserve">the total equity of RBC increased </w:t>
      </w:r>
      <w:r w:rsidR="00102F48">
        <w:rPr>
          <w:rFonts w:ascii="Times New Roman" w:eastAsiaTheme="majorEastAsia" w:hAnsi="Times New Roman" w:cs="Times New Roman"/>
          <w:sz w:val="26"/>
          <w:szCs w:val="26"/>
        </w:rPr>
        <w:t>$11,995 millions (</w:t>
      </w:r>
      <w:r w:rsidR="00F056F0">
        <w:rPr>
          <w:rFonts w:ascii="Times New Roman" w:eastAsiaTheme="majorEastAsia" w:hAnsi="Times New Roman" w:cs="Times New Roman"/>
          <w:sz w:val="26"/>
          <w:szCs w:val="26"/>
        </w:rPr>
        <w:t>13.8%</w:t>
      </w:r>
      <w:r w:rsidR="00102F48">
        <w:rPr>
          <w:rFonts w:ascii="Times New Roman" w:eastAsiaTheme="majorEastAsia" w:hAnsi="Times New Roman" w:cs="Times New Roman"/>
          <w:sz w:val="26"/>
          <w:szCs w:val="26"/>
        </w:rPr>
        <w:t>)</w:t>
      </w:r>
      <w:r w:rsidR="00F056F0">
        <w:rPr>
          <w:rFonts w:ascii="Times New Roman" w:eastAsiaTheme="majorEastAsia" w:hAnsi="Times New Roman" w:cs="Times New Roman"/>
          <w:sz w:val="26"/>
          <w:szCs w:val="26"/>
        </w:rPr>
        <w:t xml:space="preserve"> which is also significant compared to Scotiabank’s </w:t>
      </w:r>
      <w:r w:rsidR="00102F48">
        <w:rPr>
          <w:rFonts w:ascii="Times New Roman" w:eastAsiaTheme="majorEastAsia" w:hAnsi="Times New Roman" w:cs="Times New Roman"/>
          <w:sz w:val="26"/>
          <w:szCs w:val="26"/>
        </w:rPr>
        <w:t>$2,389 millions (</w:t>
      </w:r>
      <w:r w:rsidR="00F056F0">
        <w:rPr>
          <w:rFonts w:ascii="Times New Roman" w:eastAsiaTheme="majorEastAsia" w:hAnsi="Times New Roman" w:cs="Times New Roman"/>
          <w:sz w:val="26"/>
          <w:szCs w:val="26"/>
        </w:rPr>
        <w:t>3.4%</w:t>
      </w:r>
      <w:r w:rsidR="00102F48">
        <w:rPr>
          <w:rFonts w:ascii="Times New Roman" w:eastAsiaTheme="majorEastAsia" w:hAnsi="Times New Roman" w:cs="Times New Roman"/>
          <w:sz w:val="26"/>
          <w:szCs w:val="26"/>
        </w:rPr>
        <w:t>)</w:t>
      </w:r>
      <w:r w:rsidR="00F056F0">
        <w:rPr>
          <w:rFonts w:ascii="Times New Roman" w:eastAsiaTheme="majorEastAsia" w:hAnsi="Times New Roman" w:cs="Times New Roman"/>
          <w:sz w:val="26"/>
          <w:szCs w:val="26"/>
        </w:rPr>
        <w:t>.</w:t>
      </w:r>
    </w:p>
    <w:p w14:paraId="4B2C94A3" w14:textId="7A308202" w:rsidR="00F056F0" w:rsidRDefault="00102F48">
      <w:pPr>
        <w:widowControl/>
        <w:jc w:val="left"/>
        <w:rPr>
          <w:rFonts w:ascii="Times New Roman" w:hAnsi="Times New Roman" w:cs="Times New Roman"/>
          <w:sz w:val="24"/>
          <w:szCs w:val="24"/>
        </w:rPr>
      </w:pPr>
      <w:r>
        <w:rPr>
          <w:rFonts w:ascii="Times New Roman" w:hAnsi="Times New Roman" w:cs="Times New Roman"/>
          <w:sz w:val="24"/>
          <w:szCs w:val="24"/>
        </w:rPr>
        <w:tab/>
        <w:t>Based on the horizontal analysis</w:t>
      </w:r>
      <w:r w:rsidR="00190EE1">
        <w:rPr>
          <w:rFonts w:ascii="Times New Roman" w:hAnsi="Times New Roman" w:cs="Times New Roman"/>
          <w:sz w:val="24"/>
          <w:szCs w:val="24"/>
        </w:rPr>
        <w:t xml:space="preserve"> of the Income Statements </w:t>
      </w:r>
      <w:r w:rsidR="00FE6B5A">
        <w:rPr>
          <w:rFonts w:ascii="Times New Roman" w:hAnsi="Times New Roman" w:cs="Times New Roman"/>
          <w:sz w:val="24"/>
          <w:szCs w:val="24"/>
        </w:rPr>
        <w:t>(Figure</w:t>
      </w:r>
      <w:r w:rsidR="00681D7C">
        <w:rPr>
          <w:rFonts w:ascii="Times New Roman" w:hAnsi="Times New Roman" w:cs="Times New Roman"/>
          <w:sz w:val="24"/>
          <w:szCs w:val="24"/>
        </w:rPr>
        <w:t>s</w:t>
      </w:r>
      <w:r w:rsidR="00FE6B5A">
        <w:rPr>
          <w:rFonts w:ascii="Times New Roman" w:hAnsi="Times New Roman" w:cs="Times New Roman"/>
          <w:sz w:val="24"/>
          <w:szCs w:val="24"/>
        </w:rPr>
        <w:t xml:space="preserve"> 5 and 6) </w:t>
      </w:r>
      <w:r w:rsidR="00190EE1">
        <w:rPr>
          <w:rFonts w:ascii="Times New Roman" w:hAnsi="Times New Roman" w:cs="Times New Roman"/>
          <w:sz w:val="24"/>
          <w:szCs w:val="24"/>
        </w:rPr>
        <w:t xml:space="preserve">of both banks: </w:t>
      </w:r>
      <w:r w:rsidR="00FE6B5A">
        <w:rPr>
          <w:rFonts w:ascii="Times New Roman" w:hAnsi="Times New Roman" w:cs="Times New Roman"/>
          <w:sz w:val="24"/>
          <w:szCs w:val="24"/>
        </w:rPr>
        <w:t>The net income of RBC increased $4,613 millions (40.3%) and the net income of Scotiabank increased $3,102 millions (45.3%)</w:t>
      </w:r>
      <w:r w:rsidR="00D31C0E">
        <w:rPr>
          <w:rFonts w:ascii="Times New Roman" w:hAnsi="Times New Roman" w:cs="Times New Roman"/>
          <w:sz w:val="24"/>
          <w:szCs w:val="24"/>
        </w:rPr>
        <w:t>, the growth of net income of Scotiabank is faster compared to RBC, but</w:t>
      </w:r>
      <w:r w:rsidR="00FE6B5A">
        <w:rPr>
          <w:rFonts w:ascii="Times New Roman" w:hAnsi="Times New Roman" w:cs="Times New Roman"/>
          <w:sz w:val="24"/>
          <w:szCs w:val="24"/>
        </w:rPr>
        <w:t xml:space="preserve"> </w:t>
      </w:r>
      <w:r w:rsidR="00D31C0E">
        <w:rPr>
          <w:rFonts w:ascii="Times New Roman" w:hAnsi="Times New Roman" w:cs="Times New Roman"/>
          <w:sz w:val="24"/>
          <w:szCs w:val="24"/>
        </w:rPr>
        <w:t>the total revenue of Scotiabank decreased $84 millions (0.3%) and</w:t>
      </w:r>
      <w:r w:rsidR="0012328E">
        <w:rPr>
          <w:rFonts w:ascii="Times New Roman" w:hAnsi="Times New Roman" w:cs="Times New Roman"/>
          <w:sz w:val="24"/>
          <w:szCs w:val="24"/>
        </w:rPr>
        <w:t xml:space="preserve"> RBC increased $2,512 (5.3%), this also indicates the </w:t>
      </w:r>
      <w:r w:rsidR="00FC17DA">
        <w:rPr>
          <w:rFonts w:ascii="Times New Roman" w:hAnsi="Times New Roman" w:cs="Times New Roman"/>
          <w:sz w:val="24"/>
          <w:szCs w:val="24"/>
        </w:rPr>
        <w:t>significant</w:t>
      </w:r>
      <w:r w:rsidR="0012328E">
        <w:rPr>
          <w:rFonts w:ascii="Times New Roman" w:hAnsi="Times New Roman" w:cs="Times New Roman"/>
          <w:sz w:val="24"/>
          <w:szCs w:val="24"/>
        </w:rPr>
        <w:t xml:space="preserve"> </w:t>
      </w:r>
      <w:r w:rsidR="00FC17DA">
        <w:rPr>
          <w:rFonts w:ascii="Times New Roman" w:hAnsi="Times New Roman" w:cs="Times New Roman"/>
          <w:sz w:val="24"/>
          <w:szCs w:val="24"/>
        </w:rPr>
        <w:t>reduction</w:t>
      </w:r>
      <w:r w:rsidR="0012328E">
        <w:rPr>
          <w:rFonts w:ascii="Times New Roman" w:hAnsi="Times New Roman" w:cs="Times New Roman"/>
          <w:sz w:val="24"/>
          <w:szCs w:val="24"/>
        </w:rPr>
        <w:t xml:space="preserve"> of Scotiabank’s </w:t>
      </w:r>
      <w:r w:rsidR="00D41E0F">
        <w:rPr>
          <w:rFonts w:ascii="Times New Roman" w:hAnsi="Times New Roman" w:cs="Times New Roman"/>
          <w:sz w:val="24"/>
          <w:szCs w:val="24"/>
        </w:rPr>
        <w:t>provision for credit loses</w:t>
      </w:r>
      <w:r w:rsidR="0012328E">
        <w:rPr>
          <w:rFonts w:ascii="Times New Roman" w:hAnsi="Times New Roman" w:cs="Times New Roman"/>
          <w:sz w:val="24"/>
          <w:szCs w:val="24"/>
        </w:rPr>
        <w:t xml:space="preserve"> from $6,084 to $1,808 by $4,276 (70.3%)</w:t>
      </w:r>
      <w:r w:rsidR="00F40382">
        <w:rPr>
          <w:rFonts w:ascii="Times New Roman" w:hAnsi="Times New Roman" w:cs="Times New Roman"/>
          <w:sz w:val="24"/>
          <w:szCs w:val="24"/>
        </w:rPr>
        <w:t>, a significant improvement of credit risk management</w:t>
      </w:r>
      <w:r w:rsidR="0012328E">
        <w:rPr>
          <w:rFonts w:ascii="Times New Roman" w:hAnsi="Times New Roman" w:cs="Times New Roman"/>
          <w:sz w:val="24"/>
          <w:szCs w:val="24"/>
        </w:rPr>
        <w:t>.</w:t>
      </w:r>
    </w:p>
    <w:p w14:paraId="7029A9DB" w14:textId="1BB7DD7B" w:rsidR="00F92E09" w:rsidRDefault="00F92E09">
      <w:pPr>
        <w:widowControl/>
        <w:jc w:val="left"/>
        <w:rPr>
          <w:rFonts w:ascii="Times New Roman" w:hAnsi="Times New Roman" w:cs="Times New Roman"/>
          <w:sz w:val="24"/>
          <w:szCs w:val="24"/>
        </w:rPr>
      </w:pPr>
      <w:r>
        <w:rPr>
          <w:rFonts w:ascii="Times New Roman" w:hAnsi="Times New Roman" w:cs="Times New Roman"/>
          <w:sz w:val="24"/>
          <w:szCs w:val="24"/>
        </w:rPr>
        <w:tab/>
      </w:r>
      <w:r w:rsidR="00765ACE">
        <w:rPr>
          <w:rFonts w:ascii="Times New Roman" w:hAnsi="Times New Roman" w:cs="Times New Roman"/>
          <w:sz w:val="24"/>
          <w:szCs w:val="24"/>
        </w:rPr>
        <w:t>Based on the vertical analysis of the Balance Sheets (Figure</w:t>
      </w:r>
      <w:r w:rsidR="00681D7C">
        <w:rPr>
          <w:rFonts w:ascii="Times New Roman" w:hAnsi="Times New Roman" w:cs="Times New Roman"/>
          <w:sz w:val="24"/>
          <w:szCs w:val="24"/>
        </w:rPr>
        <w:t>s</w:t>
      </w:r>
      <w:r w:rsidR="00765ACE">
        <w:rPr>
          <w:rFonts w:ascii="Times New Roman" w:hAnsi="Times New Roman" w:cs="Times New Roman"/>
          <w:sz w:val="24"/>
          <w:szCs w:val="24"/>
        </w:rPr>
        <w:t xml:space="preserve"> 7 and 8) of both banks: </w:t>
      </w:r>
      <w:r w:rsidR="00B72A46">
        <w:rPr>
          <w:rFonts w:ascii="Times New Roman" w:hAnsi="Times New Roman" w:cs="Times New Roman"/>
          <w:sz w:val="24"/>
          <w:szCs w:val="24"/>
        </w:rPr>
        <w:t>generally,</w:t>
      </w:r>
      <w:r w:rsidR="00ED5A4C">
        <w:rPr>
          <w:rFonts w:ascii="Times New Roman" w:hAnsi="Times New Roman" w:cs="Times New Roman"/>
          <w:sz w:val="24"/>
          <w:szCs w:val="24"/>
        </w:rPr>
        <w:t xml:space="preserve"> RBC’s percentages of assets did not change significantly but cash and due from banks still dropped from 7.3% to 6.7% which a decrease in the liquidity might occur</w:t>
      </w:r>
      <w:r w:rsidR="00B72A46">
        <w:rPr>
          <w:rFonts w:ascii="Times New Roman" w:hAnsi="Times New Roman" w:cs="Times New Roman"/>
          <w:sz w:val="24"/>
          <w:szCs w:val="24"/>
        </w:rPr>
        <w:t xml:space="preserve">; Scotiabank’s percentages </w:t>
      </w:r>
      <w:r w:rsidR="001844D9">
        <w:rPr>
          <w:rFonts w:ascii="Times New Roman" w:hAnsi="Times New Roman" w:cs="Times New Roman"/>
          <w:sz w:val="24"/>
          <w:szCs w:val="24"/>
        </w:rPr>
        <w:t xml:space="preserve">also did not change significantly but the percentage of cash, deposits with financial institutions and precious metals raised from 6.8% to 7.3% which an increase in liquidity is possible to occur. </w:t>
      </w:r>
    </w:p>
    <w:p w14:paraId="0606C462" w14:textId="354758D4" w:rsidR="00A57056" w:rsidRPr="00D60C0C" w:rsidRDefault="00A57056">
      <w:pPr>
        <w:widowControl/>
        <w:jc w:val="left"/>
        <w:rPr>
          <w:rFonts w:ascii="Times New Roman" w:hAnsi="Times New Roman" w:cs="Times New Roman"/>
          <w:sz w:val="24"/>
          <w:szCs w:val="24"/>
        </w:rPr>
      </w:pPr>
      <w:r>
        <w:rPr>
          <w:rFonts w:ascii="Times New Roman" w:hAnsi="Times New Roman" w:cs="Times New Roman"/>
          <w:sz w:val="24"/>
          <w:szCs w:val="24"/>
        </w:rPr>
        <w:tab/>
        <w:t>Based on the vertical analysis of the Income Statements (Figure 9 and 10) of both banks: the percentage of net incomes to the total revenues both increased significantly</w:t>
      </w:r>
      <w:r w:rsidR="006204E9">
        <w:rPr>
          <w:rFonts w:ascii="Times New Roman" w:hAnsi="Times New Roman" w:cs="Times New Roman"/>
          <w:sz w:val="24"/>
          <w:szCs w:val="24"/>
        </w:rPr>
        <w:t xml:space="preserve"> which are showing the decrease of expense</w:t>
      </w:r>
      <w:r w:rsidR="00BE60A5">
        <w:rPr>
          <w:rFonts w:ascii="Times New Roman" w:hAnsi="Times New Roman" w:cs="Times New Roman"/>
          <w:sz w:val="24"/>
          <w:szCs w:val="24"/>
        </w:rPr>
        <w:t>.</w:t>
      </w:r>
      <w:r w:rsidR="006204E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622B8AA" w14:textId="1D67AE24" w:rsidR="00DA48F9" w:rsidRDefault="0092495D">
      <w:pPr>
        <w:widowControl/>
        <w:jc w:val="left"/>
        <w:rPr>
          <w:rFonts w:ascii="Times New Roman" w:hAnsi="Times New Roman" w:cs="Times New Roman"/>
          <w:sz w:val="24"/>
          <w:szCs w:val="24"/>
        </w:rPr>
      </w:pPr>
      <w:r>
        <w:rPr>
          <w:rFonts w:ascii="Times New Roman" w:hAnsi="Times New Roman" w:cs="Times New Roman"/>
          <w:sz w:val="24"/>
          <w:szCs w:val="24"/>
        </w:rPr>
        <w:tab/>
        <w:t>Financial ratios are also important to indicate the financial positions and the performance of the banks.</w:t>
      </w:r>
    </w:p>
    <w:p w14:paraId="2D9051C7" w14:textId="6C6FB407" w:rsidR="000145E5" w:rsidRDefault="000145E5">
      <w:pPr>
        <w:widowControl/>
        <w:jc w:val="left"/>
        <w:rPr>
          <w:rFonts w:ascii="Times New Roman" w:hAnsi="Times New Roman" w:cs="Times New Roman"/>
          <w:sz w:val="24"/>
          <w:szCs w:val="24"/>
        </w:rPr>
      </w:pPr>
      <w:r>
        <w:rPr>
          <w:rFonts w:ascii="Times New Roman" w:hAnsi="Times New Roman" w:cs="Times New Roman"/>
          <w:sz w:val="24"/>
          <w:szCs w:val="24"/>
        </w:rPr>
        <w:tab/>
        <w:t xml:space="preserve">First, the current ratios </w:t>
      </w:r>
      <w:r w:rsidR="00681D7C">
        <w:rPr>
          <w:rFonts w:ascii="Times New Roman" w:hAnsi="Times New Roman" w:cs="Times New Roman"/>
          <w:sz w:val="24"/>
          <w:szCs w:val="24"/>
        </w:rPr>
        <w:t xml:space="preserve">(Figures 11 and 12) </w:t>
      </w:r>
      <w:r>
        <w:rPr>
          <w:rFonts w:ascii="Times New Roman" w:hAnsi="Times New Roman" w:cs="Times New Roman"/>
          <w:sz w:val="24"/>
          <w:szCs w:val="24"/>
        </w:rPr>
        <w:t>of RBC are 1.095:1 and 1.094:1, for 2021 and 2020 respectively</w:t>
      </w:r>
      <w:r w:rsidR="00060AAA">
        <w:rPr>
          <w:rFonts w:ascii="Times New Roman" w:hAnsi="Times New Roman" w:cs="Times New Roman"/>
          <w:sz w:val="24"/>
          <w:szCs w:val="24"/>
        </w:rPr>
        <w:t xml:space="preserve">. </w:t>
      </w:r>
      <w:r>
        <w:rPr>
          <w:rFonts w:ascii="Times New Roman" w:hAnsi="Times New Roman" w:cs="Times New Roman"/>
          <w:sz w:val="24"/>
          <w:szCs w:val="24"/>
        </w:rPr>
        <w:t>The current ratios of Scotiabank are 1.173:1 and 1.1:1</w:t>
      </w:r>
      <w:r w:rsidR="009F233D">
        <w:rPr>
          <w:rFonts w:ascii="Times New Roman" w:hAnsi="Times New Roman" w:cs="Times New Roman"/>
          <w:sz w:val="24"/>
          <w:szCs w:val="24"/>
        </w:rPr>
        <w:t xml:space="preserve"> for 2021 and 2020 respectively. A lower ratio will indicate that the company may have difficulty repaying debts, so based on the current ratios of two banks, Scotiabank is better.</w:t>
      </w:r>
    </w:p>
    <w:p w14:paraId="48E70E78" w14:textId="45714981" w:rsidR="009F233D" w:rsidRDefault="009F233D">
      <w:pPr>
        <w:widowControl/>
        <w:jc w:val="left"/>
        <w:rPr>
          <w:rFonts w:ascii="Times New Roman" w:hAnsi="Times New Roman" w:cs="Times New Roman"/>
          <w:sz w:val="24"/>
          <w:szCs w:val="24"/>
        </w:rPr>
      </w:pPr>
      <w:r>
        <w:rPr>
          <w:rFonts w:ascii="Times New Roman" w:hAnsi="Times New Roman" w:cs="Times New Roman"/>
          <w:sz w:val="24"/>
          <w:szCs w:val="24"/>
        </w:rPr>
        <w:tab/>
        <w:t xml:space="preserve">Second, the receivables turnovers </w:t>
      </w:r>
      <w:r w:rsidR="00681D7C">
        <w:rPr>
          <w:rFonts w:ascii="Times New Roman" w:hAnsi="Times New Roman" w:cs="Times New Roman"/>
          <w:sz w:val="24"/>
          <w:szCs w:val="24"/>
        </w:rPr>
        <w:t xml:space="preserve">(Figures 15 and 16) </w:t>
      </w:r>
      <w:r>
        <w:rPr>
          <w:rFonts w:ascii="Times New Roman" w:hAnsi="Times New Roman" w:cs="Times New Roman"/>
          <w:sz w:val="24"/>
          <w:szCs w:val="24"/>
        </w:rPr>
        <w:t>of RBC are 0.066 and 0.07</w:t>
      </w:r>
      <w:r w:rsidR="00060AAA">
        <w:rPr>
          <w:rFonts w:ascii="Times New Roman" w:hAnsi="Times New Roman" w:cs="Times New Roman"/>
          <w:sz w:val="24"/>
          <w:szCs w:val="24"/>
        </w:rPr>
        <w:t xml:space="preserve"> for 2021 and 2020</w:t>
      </w:r>
      <w:r>
        <w:rPr>
          <w:rFonts w:ascii="Times New Roman" w:hAnsi="Times New Roman" w:cs="Times New Roman"/>
          <w:sz w:val="24"/>
          <w:szCs w:val="24"/>
        </w:rPr>
        <w:t>, and the receivables turnovers of Scotiabank are 0.045 and 0.048</w:t>
      </w:r>
      <w:r w:rsidR="00060AAA">
        <w:rPr>
          <w:rFonts w:ascii="Times New Roman" w:hAnsi="Times New Roman" w:cs="Times New Roman"/>
          <w:sz w:val="24"/>
          <w:szCs w:val="24"/>
        </w:rPr>
        <w:t xml:space="preserve"> for 2021 and 2020</w:t>
      </w:r>
      <w:r>
        <w:rPr>
          <w:rFonts w:ascii="Times New Roman" w:hAnsi="Times New Roman" w:cs="Times New Roman"/>
          <w:sz w:val="24"/>
          <w:szCs w:val="24"/>
        </w:rPr>
        <w:t xml:space="preserve">. The receivable turnover ratios are used to quantify how well companies are </w:t>
      </w:r>
      <w:r w:rsidR="00060AAA">
        <w:rPr>
          <w:rFonts w:ascii="Times New Roman" w:hAnsi="Times New Roman" w:cs="Times New Roman"/>
          <w:sz w:val="24"/>
          <w:szCs w:val="24"/>
        </w:rPr>
        <w:t>managing the credit that they extend to their customers by evaluating how long it takes to collet the debt throughout the accounting period. So, higher ratios mean better management of credits, RBC is highly better compared to Scotiabank based on the receivables turnovers.</w:t>
      </w:r>
    </w:p>
    <w:p w14:paraId="62D6004A" w14:textId="2382ACAB" w:rsidR="00060AAA" w:rsidRDefault="00060AAA">
      <w:pPr>
        <w:widowControl/>
        <w:jc w:val="left"/>
        <w:rPr>
          <w:rFonts w:ascii="Times New Roman" w:hAnsi="Times New Roman" w:cs="Times New Roman"/>
          <w:sz w:val="24"/>
          <w:szCs w:val="24"/>
        </w:rPr>
      </w:pPr>
      <w:r>
        <w:rPr>
          <w:rFonts w:ascii="Times New Roman" w:hAnsi="Times New Roman" w:cs="Times New Roman"/>
          <w:sz w:val="24"/>
          <w:szCs w:val="24"/>
        </w:rPr>
        <w:tab/>
        <w:t xml:space="preserve">Third, the profit margins </w:t>
      </w:r>
      <w:r w:rsidR="00681D7C">
        <w:rPr>
          <w:rFonts w:ascii="Times New Roman" w:hAnsi="Times New Roman" w:cs="Times New Roman"/>
          <w:sz w:val="24"/>
          <w:szCs w:val="24"/>
        </w:rPr>
        <w:t xml:space="preserve">(Figures 17 and 18) </w:t>
      </w:r>
      <w:r>
        <w:rPr>
          <w:rFonts w:ascii="Times New Roman" w:hAnsi="Times New Roman" w:cs="Times New Roman"/>
          <w:sz w:val="24"/>
          <w:szCs w:val="24"/>
        </w:rPr>
        <w:t xml:space="preserve">of RBC for 2021 and 2020 are 32.3% and 24.2%, </w:t>
      </w:r>
      <w:r w:rsidR="00681D7C">
        <w:rPr>
          <w:rFonts w:ascii="Times New Roman" w:hAnsi="Times New Roman" w:cs="Times New Roman"/>
          <w:sz w:val="24"/>
          <w:szCs w:val="24"/>
        </w:rPr>
        <w:t>the profit margins of Scotiabank for 2021 and 2020 are 31.9% and 21.6%. High profit margin means better controlling to the selling prices and its costs, so, RBC is slightly better than Scotiabank in term of managing prices and costs.</w:t>
      </w:r>
    </w:p>
    <w:p w14:paraId="6726F3AC" w14:textId="4F2AB949" w:rsidR="00681D7C" w:rsidRDefault="00681D7C">
      <w:pPr>
        <w:widowControl/>
        <w:jc w:val="left"/>
        <w:rPr>
          <w:rFonts w:ascii="Times New Roman" w:hAnsi="Times New Roman" w:cs="Times New Roman"/>
          <w:sz w:val="24"/>
          <w:szCs w:val="24"/>
        </w:rPr>
      </w:pPr>
      <w:r>
        <w:rPr>
          <w:rFonts w:ascii="Times New Roman" w:hAnsi="Times New Roman" w:cs="Times New Roman"/>
          <w:sz w:val="24"/>
          <w:szCs w:val="24"/>
        </w:rPr>
        <w:tab/>
        <w:t xml:space="preserve">Fourth, the return on assets (ROA) ratios </w:t>
      </w:r>
      <w:r w:rsidR="00936F3E">
        <w:rPr>
          <w:rFonts w:ascii="Times New Roman" w:hAnsi="Times New Roman" w:cs="Times New Roman"/>
          <w:sz w:val="24"/>
          <w:szCs w:val="24"/>
        </w:rPr>
        <w:t xml:space="preserve">(Figures 19 and 20) </w:t>
      </w:r>
      <w:r>
        <w:rPr>
          <w:rFonts w:ascii="Times New Roman" w:hAnsi="Times New Roman" w:cs="Times New Roman"/>
          <w:sz w:val="24"/>
          <w:szCs w:val="24"/>
        </w:rPr>
        <w:t>of RBC for fiscal 2021 and 2020 are 1.0% and 0.7%, same ratios of Scotiabank for same years are 0.9% and 0.6%,</w:t>
      </w:r>
      <w:r w:rsidR="00936F3E">
        <w:rPr>
          <w:rFonts w:ascii="Times New Roman" w:hAnsi="Times New Roman" w:cs="Times New Roman"/>
          <w:sz w:val="24"/>
          <w:szCs w:val="24"/>
        </w:rPr>
        <w:t xml:space="preserve"> since higher ratio of return on assets, higher the ability to generate more profits, thus RBC is also better than Scotiabank relating to ROA.</w:t>
      </w:r>
    </w:p>
    <w:p w14:paraId="76BAC933" w14:textId="04525B39" w:rsidR="00936F3E" w:rsidRDefault="00936F3E">
      <w:pPr>
        <w:widowControl/>
        <w:jc w:val="left"/>
        <w:rPr>
          <w:rFonts w:ascii="Times New Roman" w:hAnsi="Times New Roman" w:cs="Times New Roman"/>
          <w:sz w:val="24"/>
          <w:szCs w:val="24"/>
        </w:rPr>
      </w:pPr>
      <w:r>
        <w:rPr>
          <w:rFonts w:ascii="Times New Roman" w:hAnsi="Times New Roman" w:cs="Times New Roman"/>
          <w:sz w:val="24"/>
          <w:szCs w:val="24"/>
        </w:rPr>
        <w:lastRenderedPageBreak/>
        <w:tab/>
        <w:t>Fifth, the return on equity</w:t>
      </w:r>
      <w:r w:rsidR="00B90376">
        <w:rPr>
          <w:rFonts w:ascii="Times New Roman" w:hAnsi="Times New Roman" w:cs="Times New Roman"/>
          <w:sz w:val="24"/>
          <w:szCs w:val="24"/>
        </w:rPr>
        <w:t xml:space="preserve"> (</w:t>
      </w:r>
      <w:r w:rsidR="00B90376">
        <w:rPr>
          <w:rFonts w:ascii="Times New Roman" w:hAnsi="Times New Roman" w:cs="Times New Roman"/>
          <w:sz w:val="24"/>
          <w:szCs w:val="24"/>
        </w:rPr>
        <w:t>ROE</w:t>
      </w:r>
      <w:r w:rsidR="00B90376">
        <w:rPr>
          <w:rFonts w:ascii="Times New Roman" w:hAnsi="Times New Roman" w:cs="Times New Roman"/>
          <w:sz w:val="24"/>
          <w:szCs w:val="24"/>
        </w:rPr>
        <w:t>)</w:t>
      </w:r>
      <w:r>
        <w:rPr>
          <w:rFonts w:ascii="Times New Roman" w:hAnsi="Times New Roman" w:cs="Times New Roman"/>
          <w:sz w:val="24"/>
          <w:szCs w:val="24"/>
        </w:rPr>
        <w:t xml:space="preserve"> ratios (</w:t>
      </w:r>
      <w:r w:rsidR="00B90376">
        <w:rPr>
          <w:rFonts w:ascii="Times New Roman" w:hAnsi="Times New Roman" w:cs="Times New Roman"/>
          <w:sz w:val="24"/>
          <w:szCs w:val="24"/>
        </w:rPr>
        <w:t>Figures 21 and 22</w:t>
      </w:r>
      <w:r>
        <w:rPr>
          <w:rFonts w:ascii="Times New Roman" w:hAnsi="Times New Roman" w:cs="Times New Roman"/>
          <w:sz w:val="24"/>
          <w:szCs w:val="24"/>
        </w:rPr>
        <w:t xml:space="preserve">) are </w:t>
      </w:r>
      <w:r w:rsidR="005002B8">
        <w:rPr>
          <w:rFonts w:ascii="Times New Roman" w:hAnsi="Times New Roman" w:cs="Times New Roman"/>
          <w:sz w:val="24"/>
          <w:szCs w:val="24"/>
        </w:rPr>
        <w:t>like</w:t>
      </w:r>
      <w:r>
        <w:rPr>
          <w:rFonts w:ascii="Times New Roman" w:hAnsi="Times New Roman" w:cs="Times New Roman"/>
          <w:sz w:val="24"/>
          <w:szCs w:val="24"/>
        </w:rPr>
        <w:t xml:space="preserve"> return on assets</w:t>
      </w:r>
      <w:r w:rsidR="00685914">
        <w:rPr>
          <w:rFonts w:ascii="Times New Roman" w:hAnsi="Times New Roman" w:cs="Times New Roman"/>
          <w:sz w:val="24"/>
          <w:szCs w:val="24"/>
        </w:rPr>
        <w:t xml:space="preserve"> (ROA)</w:t>
      </w:r>
      <w:r>
        <w:rPr>
          <w:rFonts w:ascii="Times New Roman" w:hAnsi="Times New Roman" w:cs="Times New Roman"/>
          <w:sz w:val="24"/>
          <w:szCs w:val="24"/>
        </w:rPr>
        <w:t xml:space="preserve">, but instead of estimating the ability to generate more profits, ROE more focuses on the efficiency of investors investments. Since </w:t>
      </w:r>
      <w:r w:rsidR="00B90376">
        <w:rPr>
          <w:rFonts w:ascii="Times New Roman" w:hAnsi="Times New Roman" w:cs="Times New Roman"/>
          <w:sz w:val="24"/>
          <w:szCs w:val="24"/>
        </w:rPr>
        <w:t>RBC’s 17.3% and 14.0% of 2021 and 2020 are much higher than Scotiabank’s 13.9% and 9.7% of 2021 and 2020</w:t>
      </w:r>
      <w:r w:rsidR="00B25A16">
        <w:rPr>
          <w:rFonts w:ascii="Times New Roman" w:hAnsi="Times New Roman" w:cs="Times New Roman"/>
          <w:sz w:val="24"/>
          <w:szCs w:val="24"/>
        </w:rPr>
        <w:t xml:space="preserve"> respectively</w:t>
      </w:r>
      <w:r w:rsidR="00B90376">
        <w:rPr>
          <w:rFonts w:ascii="Times New Roman" w:hAnsi="Times New Roman" w:cs="Times New Roman"/>
          <w:sz w:val="24"/>
          <w:szCs w:val="24"/>
        </w:rPr>
        <w:t xml:space="preserve">, therefore, investments in RBC is more efficient </w:t>
      </w:r>
      <w:r w:rsidR="00167FE0">
        <w:rPr>
          <w:rFonts w:ascii="Times New Roman" w:hAnsi="Times New Roman" w:cs="Times New Roman"/>
          <w:sz w:val="24"/>
          <w:szCs w:val="24"/>
        </w:rPr>
        <w:t xml:space="preserve">and profitable </w:t>
      </w:r>
      <w:r w:rsidR="00B90376">
        <w:rPr>
          <w:rFonts w:ascii="Times New Roman" w:hAnsi="Times New Roman" w:cs="Times New Roman"/>
          <w:sz w:val="24"/>
          <w:szCs w:val="24"/>
        </w:rPr>
        <w:t xml:space="preserve">compared to Scotiabank, investors are more likely to invest </w:t>
      </w:r>
      <w:r w:rsidR="006A7F8A">
        <w:rPr>
          <w:rFonts w:ascii="Times New Roman" w:hAnsi="Times New Roman" w:cs="Times New Roman"/>
          <w:sz w:val="24"/>
          <w:szCs w:val="24"/>
        </w:rPr>
        <w:t xml:space="preserve">in </w:t>
      </w:r>
      <w:r w:rsidR="00B90376">
        <w:rPr>
          <w:rFonts w:ascii="Times New Roman" w:hAnsi="Times New Roman" w:cs="Times New Roman"/>
          <w:sz w:val="24"/>
          <w:szCs w:val="24"/>
        </w:rPr>
        <w:t>RBC.</w:t>
      </w:r>
    </w:p>
    <w:p w14:paraId="63392588" w14:textId="6487834B" w:rsidR="00B90376" w:rsidRDefault="00B90376">
      <w:pPr>
        <w:widowControl/>
        <w:jc w:val="left"/>
        <w:rPr>
          <w:rFonts w:ascii="Times New Roman" w:hAnsi="Times New Roman" w:cs="Times New Roman"/>
          <w:sz w:val="24"/>
          <w:szCs w:val="24"/>
        </w:rPr>
      </w:pPr>
      <w:r>
        <w:rPr>
          <w:rFonts w:ascii="Times New Roman" w:hAnsi="Times New Roman" w:cs="Times New Roman"/>
          <w:sz w:val="24"/>
          <w:szCs w:val="24"/>
        </w:rPr>
        <w:tab/>
        <w:t>Lastly, the earnings per share</w:t>
      </w:r>
      <w:r w:rsidR="00741C88">
        <w:rPr>
          <w:rFonts w:ascii="Times New Roman" w:hAnsi="Times New Roman" w:cs="Times New Roman"/>
          <w:sz w:val="24"/>
          <w:szCs w:val="24"/>
        </w:rPr>
        <w:t xml:space="preserve"> (EPS)</w:t>
      </w:r>
      <w:r w:rsidR="00825742">
        <w:rPr>
          <w:rFonts w:ascii="Times New Roman" w:hAnsi="Times New Roman" w:cs="Times New Roman"/>
          <w:sz w:val="24"/>
          <w:szCs w:val="24"/>
        </w:rPr>
        <w:t xml:space="preserve">, the most widely reported measure of companies’ profitability, higher the earnings per share, the company is more </w:t>
      </w:r>
      <w:r w:rsidR="00914D42">
        <w:rPr>
          <w:rFonts w:ascii="Times New Roman" w:hAnsi="Times New Roman" w:cs="Times New Roman"/>
          <w:sz w:val="24"/>
          <w:szCs w:val="24"/>
        </w:rPr>
        <w:t>able, or profitable enough to pay out dividends to its shareholders. Both 2021 and 2020</w:t>
      </w:r>
      <w:r w:rsidR="00B25A16">
        <w:rPr>
          <w:rFonts w:ascii="Times New Roman" w:hAnsi="Times New Roman" w:cs="Times New Roman"/>
          <w:sz w:val="24"/>
          <w:szCs w:val="24"/>
        </w:rPr>
        <w:t xml:space="preserve"> respectively</w:t>
      </w:r>
      <w:r w:rsidR="00914D42">
        <w:rPr>
          <w:rFonts w:ascii="Times New Roman" w:hAnsi="Times New Roman" w:cs="Times New Roman"/>
          <w:sz w:val="24"/>
          <w:szCs w:val="24"/>
        </w:rPr>
        <w:t xml:space="preserve">, the earnings per share of RBC are higher than Scotiabank ($11.1 and $7.9 </w:t>
      </w:r>
      <w:r w:rsidR="00212295">
        <w:rPr>
          <w:rFonts w:ascii="Times New Roman" w:hAnsi="Times New Roman" w:cs="Times New Roman"/>
          <w:sz w:val="24"/>
          <w:szCs w:val="24"/>
        </w:rPr>
        <w:t xml:space="preserve">as compared </w:t>
      </w:r>
      <w:r w:rsidR="00914D42">
        <w:rPr>
          <w:rFonts w:ascii="Times New Roman" w:hAnsi="Times New Roman" w:cs="Times New Roman"/>
          <w:sz w:val="24"/>
          <w:szCs w:val="24"/>
        </w:rPr>
        <w:t>to $8.0 and $5.5)</w:t>
      </w:r>
    </w:p>
    <w:p w14:paraId="098BE0DF" w14:textId="36750531" w:rsidR="00A63477" w:rsidRPr="00DF22D4" w:rsidRDefault="00914D42" w:rsidP="00A63477">
      <w:pPr>
        <w:widowControl/>
        <w:jc w:val="left"/>
        <w:rPr>
          <w:rFonts w:ascii="Times New Roman" w:hAnsi="Times New Roman" w:cs="Times New Roman"/>
          <w:sz w:val="24"/>
          <w:szCs w:val="24"/>
        </w:rPr>
      </w:pPr>
      <w:r>
        <w:rPr>
          <w:rFonts w:ascii="Times New Roman" w:hAnsi="Times New Roman" w:cs="Times New Roman"/>
          <w:sz w:val="24"/>
          <w:szCs w:val="24"/>
        </w:rPr>
        <w:tab/>
        <w:t xml:space="preserve">Based on the horizontal and vertical analysis of both Balance Sheets and Income Statements of </w:t>
      </w:r>
      <w:r w:rsidR="00E56A5D">
        <w:rPr>
          <w:rFonts w:ascii="Times New Roman" w:hAnsi="Times New Roman" w:cs="Times New Roman"/>
          <w:sz w:val="24"/>
          <w:szCs w:val="24"/>
        </w:rPr>
        <w:t xml:space="preserve">the </w:t>
      </w:r>
      <w:r>
        <w:rPr>
          <w:rFonts w:ascii="Times New Roman" w:hAnsi="Times New Roman" w:cs="Times New Roman"/>
          <w:sz w:val="24"/>
          <w:szCs w:val="24"/>
        </w:rPr>
        <w:t>two banks</w:t>
      </w:r>
      <w:r w:rsidR="002F3A9A">
        <w:rPr>
          <w:rFonts w:ascii="Times New Roman" w:hAnsi="Times New Roman" w:cs="Times New Roman"/>
          <w:sz w:val="24"/>
          <w:szCs w:val="24"/>
        </w:rPr>
        <w:t>,</w:t>
      </w:r>
      <w:r w:rsidR="00AC79EE">
        <w:rPr>
          <w:rFonts w:ascii="Times New Roman" w:hAnsi="Times New Roman" w:cs="Times New Roman"/>
          <w:sz w:val="24"/>
          <w:szCs w:val="24"/>
        </w:rPr>
        <w:t xml:space="preserve"> Royal Bank of </w:t>
      </w:r>
      <w:proofErr w:type="gramStart"/>
      <w:r w:rsidR="00AC79EE">
        <w:rPr>
          <w:rFonts w:ascii="Times New Roman" w:hAnsi="Times New Roman" w:cs="Times New Roman"/>
          <w:sz w:val="24"/>
          <w:szCs w:val="24"/>
        </w:rPr>
        <w:t>Canada</w:t>
      </w:r>
      <w:proofErr w:type="gramEnd"/>
      <w:r w:rsidR="00AC79EE">
        <w:rPr>
          <w:rFonts w:ascii="Times New Roman" w:hAnsi="Times New Roman" w:cs="Times New Roman"/>
          <w:sz w:val="24"/>
          <w:szCs w:val="24"/>
        </w:rPr>
        <w:t xml:space="preserve"> and Bank of Nova Scotia</w:t>
      </w:r>
      <w:r>
        <w:rPr>
          <w:rFonts w:ascii="Times New Roman" w:hAnsi="Times New Roman" w:cs="Times New Roman"/>
          <w:sz w:val="24"/>
          <w:szCs w:val="24"/>
        </w:rPr>
        <w:t>, and the 8 financial ratios</w:t>
      </w:r>
      <w:r w:rsidR="00830B66">
        <w:rPr>
          <w:rFonts w:ascii="Times New Roman" w:hAnsi="Times New Roman" w:cs="Times New Roman"/>
          <w:sz w:val="24"/>
          <w:szCs w:val="24"/>
        </w:rPr>
        <w:t>, we</w:t>
      </w:r>
      <w:r w:rsidR="00830B66">
        <w:rPr>
          <w:rFonts w:ascii="Times New Roman" w:hAnsi="Times New Roman" w:cs="Times New Roman"/>
          <w:sz w:val="24"/>
          <w:szCs w:val="24"/>
        </w:rPr>
        <w:t xml:space="preserve"> can conclude that RBC is having a better financial position and performance generally compared to Scotiabank</w:t>
      </w:r>
      <w:r w:rsidR="00830B66">
        <w:rPr>
          <w:rFonts w:ascii="Times New Roman" w:hAnsi="Times New Roman" w:cs="Times New Roman"/>
          <w:sz w:val="24"/>
          <w:szCs w:val="24"/>
        </w:rPr>
        <w:t xml:space="preserve"> e</w:t>
      </w:r>
      <w:r w:rsidR="00A63477">
        <w:rPr>
          <w:rFonts w:ascii="Times New Roman" w:hAnsi="Times New Roman" w:cs="Times New Roman"/>
          <w:sz w:val="24"/>
          <w:szCs w:val="24"/>
        </w:rPr>
        <w:t>ven though both banks are showing a good financial position and performance</w:t>
      </w:r>
      <w:r w:rsidR="00830B66">
        <w:rPr>
          <w:rFonts w:ascii="Times New Roman" w:hAnsi="Times New Roman" w:cs="Times New Roman"/>
          <w:sz w:val="24"/>
          <w:szCs w:val="24"/>
        </w:rPr>
        <w:t>.</w:t>
      </w:r>
    </w:p>
    <w:p w14:paraId="6356F611" w14:textId="0D133677" w:rsidR="00DA48F9" w:rsidRPr="00DF22D4" w:rsidRDefault="00DA48F9">
      <w:pPr>
        <w:widowControl/>
        <w:jc w:val="left"/>
        <w:rPr>
          <w:rFonts w:ascii="Times New Roman" w:hAnsi="Times New Roman" w:cs="Times New Roman"/>
          <w:sz w:val="24"/>
          <w:szCs w:val="24"/>
        </w:rPr>
      </w:pPr>
      <w:r w:rsidRPr="00DF22D4">
        <w:rPr>
          <w:rFonts w:ascii="Times New Roman" w:hAnsi="Times New Roman" w:cs="Times New Roman"/>
          <w:sz w:val="24"/>
          <w:szCs w:val="24"/>
        </w:rPr>
        <w:br w:type="page"/>
      </w:r>
    </w:p>
    <w:p w14:paraId="351D2B81" w14:textId="77777777" w:rsidR="00504FF2" w:rsidRPr="00DF22D4" w:rsidRDefault="00504FF2">
      <w:pPr>
        <w:rPr>
          <w:rFonts w:ascii="Times New Roman" w:hAnsi="Times New Roman" w:cs="Times New Roman"/>
          <w:sz w:val="24"/>
          <w:szCs w:val="24"/>
        </w:rPr>
      </w:pPr>
    </w:p>
    <w:bookmarkStart w:id="33" w:name="_Toc109731580" w:displacedByCustomXml="next"/>
    <w:sdt>
      <w:sdtPr>
        <w:rPr>
          <w:rFonts w:ascii="Times New Roman" w:eastAsiaTheme="minorEastAsia" w:hAnsi="Times New Roman" w:cs="Times New Roman"/>
          <w:color w:val="auto"/>
          <w:sz w:val="24"/>
          <w:szCs w:val="24"/>
        </w:rPr>
        <w:id w:val="1696116735"/>
        <w:docPartObj>
          <w:docPartGallery w:val="Bibliographies"/>
          <w:docPartUnique/>
        </w:docPartObj>
      </w:sdtPr>
      <w:sdtEndPr>
        <w:rPr>
          <w:b/>
          <w:bCs/>
        </w:rPr>
      </w:sdtEndPr>
      <w:sdtContent>
        <w:p w14:paraId="1EC78764" w14:textId="29F4E1F1" w:rsidR="002E1703" w:rsidRPr="00DF22D4" w:rsidRDefault="002E1703" w:rsidP="000433EB">
          <w:pPr>
            <w:pStyle w:val="Heading1"/>
            <w:jc w:val="center"/>
            <w:rPr>
              <w:rFonts w:ascii="Times New Roman" w:hAnsi="Times New Roman" w:cs="Times New Roman"/>
            </w:rPr>
          </w:pPr>
          <w:r w:rsidRPr="00DF22D4">
            <w:rPr>
              <w:rFonts w:ascii="Times New Roman" w:hAnsi="Times New Roman" w:cs="Times New Roman"/>
            </w:rPr>
            <w:t>Works Cited</w:t>
          </w:r>
          <w:bookmarkEnd w:id="33"/>
        </w:p>
        <w:p w14:paraId="5F14B92C" w14:textId="77777777" w:rsidR="005652C2" w:rsidRPr="00DF22D4" w:rsidRDefault="002E1703" w:rsidP="005652C2">
          <w:pPr>
            <w:pStyle w:val="Bibliography"/>
            <w:ind w:left="720" w:hanging="720"/>
            <w:rPr>
              <w:rFonts w:ascii="Times New Roman" w:hAnsi="Times New Roman" w:cs="Times New Roman"/>
              <w:noProof/>
              <w:sz w:val="24"/>
              <w:szCs w:val="24"/>
            </w:rPr>
          </w:pPr>
          <w:r w:rsidRPr="00DF22D4">
            <w:rPr>
              <w:rFonts w:ascii="Times New Roman" w:hAnsi="Times New Roman" w:cs="Times New Roman"/>
              <w:sz w:val="24"/>
              <w:szCs w:val="24"/>
            </w:rPr>
            <w:fldChar w:fldCharType="begin"/>
          </w:r>
          <w:r w:rsidRPr="00DF22D4">
            <w:rPr>
              <w:rFonts w:ascii="Times New Roman" w:hAnsi="Times New Roman" w:cs="Times New Roman"/>
              <w:sz w:val="24"/>
              <w:szCs w:val="24"/>
            </w:rPr>
            <w:instrText xml:space="preserve"> BIBLIOGRAPHY </w:instrText>
          </w:r>
          <w:r w:rsidRPr="00DF22D4">
            <w:rPr>
              <w:rFonts w:ascii="Times New Roman" w:hAnsi="Times New Roman" w:cs="Times New Roman"/>
              <w:sz w:val="24"/>
              <w:szCs w:val="24"/>
            </w:rPr>
            <w:fldChar w:fldCharType="separate"/>
          </w:r>
          <w:r w:rsidR="005652C2" w:rsidRPr="00DF22D4">
            <w:rPr>
              <w:rFonts w:ascii="Times New Roman" w:hAnsi="Times New Roman" w:cs="Times New Roman"/>
              <w:noProof/>
            </w:rPr>
            <w:t xml:space="preserve">Bonham, M. (2022). Bank of Nova Scotia (Scotiabank). </w:t>
          </w:r>
          <w:r w:rsidR="005652C2" w:rsidRPr="00DF22D4">
            <w:rPr>
              <w:rFonts w:ascii="Times New Roman" w:hAnsi="Times New Roman" w:cs="Times New Roman"/>
              <w:i/>
              <w:iCs/>
              <w:noProof/>
            </w:rPr>
            <w:t>In The Canadian Encyclopedia</w:t>
          </w:r>
          <w:r w:rsidR="005652C2" w:rsidRPr="00DF22D4">
            <w:rPr>
              <w:rFonts w:ascii="Times New Roman" w:hAnsi="Times New Roman" w:cs="Times New Roman"/>
              <w:noProof/>
            </w:rPr>
            <w:t>. Retrieved from https://www.thecanadianencyclopedia.ca/en/article/bank-of-nova-scotia</w:t>
          </w:r>
        </w:p>
        <w:p w14:paraId="3910B942" w14:textId="77777777" w:rsidR="005652C2" w:rsidRPr="00DF22D4" w:rsidRDefault="005652C2" w:rsidP="005652C2">
          <w:pPr>
            <w:pStyle w:val="Bibliography"/>
            <w:ind w:left="720" w:hanging="720"/>
            <w:rPr>
              <w:rFonts w:ascii="Times New Roman" w:hAnsi="Times New Roman" w:cs="Times New Roman"/>
              <w:noProof/>
            </w:rPr>
          </w:pPr>
          <w:r w:rsidRPr="00DF22D4">
            <w:rPr>
              <w:rFonts w:ascii="Times New Roman" w:hAnsi="Times New Roman" w:cs="Times New Roman"/>
              <w:noProof/>
            </w:rPr>
            <w:t xml:space="preserve">Bonham, M. (2022). Royal Bank of Canada (RBC). </w:t>
          </w:r>
          <w:r w:rsidRPr="00DF22D4">
            <w:rPr>
              <w:rFonts w:ascii="Times New Roman" w:hAnsi="Times New Roman" w:cs="Times New Roman"/>
              <w:i/>
              <w:iCs/>
              <w:noProof/>
            </w:rPr>
            <w:t>The Canadian Encyclopedia</w:t>
          </w:r>
          <w:r w:rsidRPr="00DF22D4">
            <w:rPr>
              <w:rFonts w:ascii="Times New Roman" w:hAnsi="Times New Roman" w:cs="Times New Roman"/>
              <w:noProof/>
            </w:rPr>
            <w:t>. Retrieved from https://www.thecanadianencyclopedia.ca/en/article/royal-bank-of-canada</w:t>
          </w:r>
        </w:p>
        <w:p w14:paraId="519FF583" w14:textId="77777777" w:rsidR="005652C2" w:rsidRPr="00DF22D4" w:rsidRDefault="005652C2" w:rsidP="005652C2">
          <w:pPr>
            <w:pStyle w:val="Bibliography"/>
            <w:ind w:left="720" w:hanging="720"/>
            <w:rPr>
              <w:rFonts w:ascii="Times New Roman" w:hAnsi="Times New Roman" w:cs="Times New Roman"/>
              <w:noProof/>
            </w:rPr>
          </w:pPr>
          <w:r w:rsidRPr="00DF22D4">
            <w:rPr>
              <w:rFonts w:ascii="Times New Roman" w:hAnsi="Times New Roman" w:cs="Times New Roman"/>
              <w:noProof/>
            </w:rPr>
            <w:t xml:space="preserve">Royal Bank of Canada. (2021). </w:t>
          </w:r>
          <w:r w:rsidRPr="00DF22D4">
            <w:rPr>
              <w:rFonts w:ascii="Times New Roman" w:hAnsi="Times New Roman" w:cs="Times New Roman"/>
              <w:i/>
              <w:iCs/>
              <w:noProof/>
            </w:rPr>
            <w:t>Annual Report 2021.</w:t>
          </w:r>
          <w:r w:rsidRPr="00DF22D4">
            <w:rPr>
              <w:rFonts w:ascii="Times New Roman" w:hAnsi="Times New Roman" w:cs="Times New Roman"/>
              <w:noProof/>
            </w:rPr>
            <w:t xml:space="preserve"> Retrieved from https://www.rbc.com/investor-relations/_assets-custom/pdf/ar_2021_e.pdf</w:t>
          </w:r>
        </w:p>
        <w:p w14:paraId="009A88F2" w14:textId="77777777" w:rsidR="005652C2" w:rsidRPr="00DF22D4" w:rsidRDefault="005652C2" w:rsidP="005652C2">
          <w:pPr>
            <w:pStyle w:val="Bibliography"/>
            <w:ind w:left="720" w:hanging="720"/>
            <w:rPr>
              <w:rFonts w:ascii="Times New Roman" w:hAnsi="Times New Roman" w:cs="Times New Roman"/>
              <w:noProof/>
            </w:rPr>
          </w:pPr>
          <w:r w:rsidRPr="00DF22D4">
            <w:rPr>
              <w:rFonts w:ascii="Times New Roman" w:hAnsi="Times New Roman" w:cs="Times New Roman"/>
              <w:noProof/>
            </w:rPr>
            <w:t xml:space="preserve">Royal Bank of Canada. (n.d.-a). </w:t>
          </w:r>
          <w:r w:rsidRPr="00DF22D4">
            <w:rPr>
              <w:rFonts w:ascii="Times New Roman" w:hAnsi="Times New Roman" w:cs="Times New Roman"/>
              <w:i/>
              <w:iCs/>
              <w:noProof/>
            </w:rPr>
            <w:t>RBC Capital Markets | Our Offices | Canada</w:t>
          </w:r>
          <w:r w:rsidRPr="00DF22D4">
            <w:rPr>
              <w:rFonts w:ascii="Times New Roman" w:hAnsi="Times New Roman" w:cs="Times New Roman"/>
              <w:noProof/>
            </w:rPr>
            <w:t>. Retrieved from Royal Bank of Canada: https://www.rbccm.com/en/offices/canada.page</w:t>
          </w:r>
        </w:p>
        <w:p w14:paraId="43846409" w14:textId="77777777" w:rsidR="005652C2" w:rsidRPr="00DF22D4" w:rsidRDefault="005652C2" w:rsidP="005652C2">
          <w:pPr>
            <w:pStyle w:val="Bibliography"/>
            <w:ind w:left="720" w:hanging="720"/>
            <w:rPr>
              <w:rFonts w:ascii="Times New Roman" w:hAnsi="Times New Roman" w:cs="Times New Roman"/>
              <w:noProof/>
            </w:rPr>
          </w:pPr>
          <w:r w:rsidRPr="00DF22D4">
            <w:rPr>
              <w:rFonts w:ascii="Times New Roman" w:hAnsi="Times New Roman" w:cs="Times New Roman"/>
              <w:noProof/>
            </w:rPr>
            <w:t xml:space="preserve">Royal Bank of Canada. (n.d.-b). </w:t>
          </w:r>
          <w:r w:rsidRPr="00DF22D4">
            <w:rPr>
              <w:rFonts w:ascii="Times New Roman" w:hAnsi="Times New Roman" w:cs="Times New Roman"/>
              <w:i/>
              <w:iCs/>
              <w:noProof/>
            </w:rPr>
            <w:t>Our Company</w:t>
          </w:r>
          <w:r w:rsidRPr="00DF22D4">
            <w:rPr>
              <w:rFonts w:ascii="Times New Roman" w:hAnsi="Times New Roman" w:cs="Times New Roman"/>
              <w:noProof/>
            </w:rPr>
            <w:t>. Retrieved from https://www.rbc.com/our-company/index.html</w:t>
          </w:r>
        </w:p>
        <w:p w14:paraId="48FE88FC" w14:textId="77777777" w:rsidR="005652C2" w:rsidRPr="00DF22D4" w:rsidRDefault="005652C2" w:rsidP="005652C2">
          <w:pPr>
            <w:pStyle w:val="Bibliography"/>
            <w:ind w:left="720" w:hanging="720"/>
            <w:rPr>
              <w:rFonts w:ascii="Times New Roman" w:hAnsi="Times New Roman" w:cs="Times New Roman"/>
              <w:noProof/>
            </w:rPr>
          </w:pPr>
          <w:r w:rsidRPr="00DF22D4">
            <w:rPr>
              <w:rFonts w:ascii="Times New Roman" w:hAnsi="Times New Roman" w:cs="Times New Roman"/>
              <w:noProof/>
            </w:rPr>
            <w:t xml:space="preserve">Scotiabank. (2021). </w:t>
          </w:r>
          <w:r w:rsidRPr="00DF22D4">
            <w:rPr>
              <w:rFonts w:ascii="Times New Roman" w:hAnsi="Times New Roman" w:cs="Times New Roman"/>
              <w:i/>
              <w:iCs/>
              <w:noProof/>
            </w:rPr>
            <w:t>2021 Annual Report.</w:t>
          </w:r>
          <w:r w:rsidRPr="00DF22D4">
            <w:rPr>
              <w:rFonts w:ascii="Times New Roman" w:hAnsi="Times New Roman" w:cs="Times New Roman"/>
              <w:noProof/>
            </w:rPr>
            <w:t xml:space="preserve"> Retrieved from https://www.scotiabank.com/content/dam/scotiabank/corporate/quarterly-reports/2021/q4/Annual_Report_2021_AODA_EN.pdf</w:t>
          </w:r>
        </w:p>
        <w:p w14:paraId="67A1C405" w14:textId="78AD431F" w:rsidR="002E1703" w:rsidRPr="00DF22D4" w:rsidRDefault="002E1703" w:rsidP="005652C2">
          <w:pPr>
            <w:rPr>
              <w:rFonts w:ascii="Times New Roman" w:hAnsi="Times New Roman" w:cs="Times New Roman"/>
              <w:sz w:val="24"/>
              <w:szCs w:val="24"/>
            </w:rPr>
          </w:pPr>
          <w:r w:rsidRPr="00DF22D4">
            <w:rPr>
              <w:rFonts w:ascii="Times New Roman" w:hAnsi="Times New Roman" w:cs="Times New Roman"/>
              <w:b/>
              <w:bCs/>
              <w:sz w:val="24"/>
              <w:szCs w:val="24"/>
            </w:rPr>
            <w:fldChar w:fldCharType="end"/>
          </w:r>
        </w:p>
      </w:sdtContent>
    </w:sdt>
    <w:p w14:paraId="4E22BA29" w14:textId="77777777" w:rsidR="00316870" w:rsidRPr="00DF22D4" w:rsidRDefault="00316870">
      <w:pPr>
        <w:rPr>
          <w:rFonts w:ascii="Times New Roman" w:hAnsi="Times New Roman" w:cs="Times New Roman"/>
        </w:rPr>
      </w:pPr>
    </w:p>
    <w:sectPr w:rsidR="00316870" w:rsidRPr="00DF22D4" w:rsidSect="00CB0640">
      <w:footerReference w:type="default" r:id="rId64"/>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3480" w14:textId="77777777" w:rsidR="003230B6" w:rsidRDefault="003230B6" w:rsidP="00A90AE1">
      <w:pPr>
        <w:spacing w:after="0" w:line="240" w:lineRule="auto"/>
      </w:pPr>
      <w:r>
        <w:separator/>
      </w:r>
    </w:p>
  </w:endnote>
  <w:endnote w:type="continuationSeparator" w:id="0">
    <w:p w14:paraId="23CA082A" w14:textId="77777777" w:rsidR="003230B6" w:rsidRDefault="003230B6" w:rsidP="00A9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5A5F" w14:textId="23B69F86" w:rsidR="00A90AE1" w:rsidRPr="000433EB" w:rsidRDefault="00FA0DCB" w:rsidP="000433EB">
    <w:pPr>
      <w:pStyle w:val="Footer"/>
      <w:ind w:right="330"/>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A9CD" w14:textId="77777777" w:rsidR="003230B6" w:rsidRDefault="003230B6" w:rsidP="00A90AE1">
      <w:pPr>
        <w:spacing w:after="0" w:line="240" w:lineRule="auto"/>
      </w:pPr>
      <w:r>
        <w:separator/>
      </w:r>
    </w:p>
  </w:footnote>
  <w:footnote w:type="continuationSeparator" w:id="0">
    <w:p w14:paraId="4D1080A1" w14:textId="77777777" w:rsidR="003230B6" w:rsidRDefault="003230B6" w:rsidP="00A90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A5"/>
    <w:rsid w:val="00000996"/>
    <w:rsid w:val="000057F7"/>
    <w:rsid w:val="00006514"/>
    <w:rsid w:val="000145E5"/>
    <w:rsid w:val="000267F7"/>
    <w:rsid w:val="00031451"/>
    <w:rsid w:val="00035556"/>
    <w:rsid w:val="000433EB"/>
    <w:rsid w:val="00060AAA"/>
    <w:rsid w:val="0006166B"/>
    <w:rsid w:val="00061AD8"/>
    <w:rsid w:val="0007014A"/>
    <w:rsid w:val="000712F6"/>
    <w:rsid w:val="00076359"/>
    <w:rsid w:val="00084BA5"/>
    <w:rsid w:val="0008554F"/>
    <w:rsid w:val="000A0933"/>
    <w:rsid w:val="000A0FE9"/>
    <w:rsid w:val="000A1530"/>
    <w:rsid w:val="000B08DA"/>
    <w:rsid w:val="000B2859"/>
    <w:rsid w:val="000B6C76"/>
    <w:rsid w:val="000D09E3"/>
    <w:rsid w:val="000D750D"/>
    <w:rsid w:val="000E5146"/>
    <w:rsid w:val="000F5150"/>
    <w:rsid w:val="00102F48"/>
    <w:rsid w:val="00104566"/>
    <w:rsid w:val="00121D7D"/>
    <w:rsid w:val="00122587"/>
    <w:rsid w:val="00122C17"/>
    <w:rsid w:val="0012328E"/>
    <w:rsid w:val="001423A4"/>
    <w:rsid w:val="001478F7"/>
    <w:rsid w:val="00167FE0"/>
    <w:rsid w:val="0018128E"/>
    <w:rsid w:val="00182D1D"/>
    <w:rsid w:val="001844D9"/>
    <w:rsid w:val="00190EE1"/>
    <w:rsid w:val="001B046F"/>
    <w:rsid w:val="001B0683"/>
    <w:rsid w:val="001C02A2"/>
    <w:rsid w:val="001C143F"/>
    <w:rsid w:val="001C6F97"/>
    <w:rsid w:val="001D2116"/>
    <w:rsid w:val="001D383A"/>
    <w:rsid w:val="001E6057"/>
    <w:rsid w:val="001E72F7"/>
    <w:rsid w:val="00206254"/>
    <w:rsid w:val="0021074C"/>
    <w:rsid w:val="00212295"/>
    <w:rsid w:val="0022464C"/>
    <w:rsid w:val="0023721B"/>
    <w:rsid w:val="002401DA"/>
    <w:rsid w:val="00252352"/>
    <w:rsid w:val="0026219C"/>
    <w:rsid w:val="00277CFB"/>
    <w:rsid w:val="00280DB8"/>
    <w:rsid w:val="00285F97"/>
    <w:rsid w:val="00286DF8"/>
    <w:rsid w:val="00287665"/>
    <w:rsid w:val="00290A80"/>
    <w:rsid w:val="002A2986"/>
    <w:rsid w:val="002B0890"/>
    <w:rsid w:val="002B1F57"/>
    <w:rsid w:val="002C333F"/>
    <w:rsid w:val="002C540A"/>
    <w:rsid w:val="002E1703"/>
    <w:rsid w:val="002E2955"/>
    <w:rsid w:val="002F316F"/>
    <w:rsid w:val="002F3A9A"/>
    <w:rsid w:val="002F4127"/>
    <w:rsid w:val="003017B3"/>
    <w:rsid w:val="00303997"/>
    <w:rsid w:val="00306564"/>
    <w:rsid w:val="00306C1E"/>
    <w:rsid w:val="00312655"/>
    <w:rsid w:val="00313B29"/>
    <w:rsid w:val="00316870"/>
    <w:rsid w:val="003230B6"/>
    <w:rsid w:val="00326099"/>
    <w:rsid w:val="00326E28"/>
    <w:rsid w:val="00335FD4"/>
    <w:rsid w:val="003405D6"/>
    <w:rsid w:val="00342945"/>
    <w:rsid w:val="00353E55"/>
    <w:rsid w:val="003574C0"/>
    <w:rsid w:val="00360EC4"/>
    <w:rsid w:val="00366399"/>
    <w:rsid w:val="00396E33"/>
    <w:rsid w:val="003B62A6"/>
    <w:rsid w:val="003B64A1"/>
    <w:rsid w:val="003C07E5"/>
    <w:rsid w:val="003C5076"/>
    <w:rsid w:val="003D0B7E"/>
    <w:rsid w:val="003E4280"/>
    <w:rsid w:val="0041491D"/>
    <w:rsid w:val="00417330"/>
    <w:rsid w:val="00425740"/>
    <w:rsid w:val="0046224C"/>
    <w:rsid w:val="00470F29"/>
    <w:rsid w:val="0047775D"/>
    <w:rsid w:val="0049435E"/>
    <w:rsid w:val="00495F5A"/>
    <w:rsid w:val="004A5554"/>
    <w:rsid w:val="004B3198"/>
    <w:rsid w:val="004C001C"/>
    <w:rsid w:val="004C236E"/>
    <w:rsid w:val="004C25EB"/>
    <w:rsid w:val="004C57AF"/>
    <w:rsid w:val="004E6E31"/>
    <w:rsid w:val="004F219B"/>
    <w:rsid w:val="005002B8"/>
    <w:rsid w:val="005002DE"/>
    <w:rsid w:val="005013D3"/>
    <w:rsid w:val="00504FF2"/>
    <w:rsid w:val="005064A1"/>
    <w:rsid w:val="00525B98"/>
    <w:rsid w:val="0054021E"/>
    <w:rsid w:val="0054444C"/>
    <w:rsid w:val="005604FC"/>
    <w:rsid w:val="005652C2"/>
    <w:rsid w:val="00577BDC"/>
    <w:rsid w:val="00582739"/>
    <w:rsid w:val="005852FA"/>
    <w:rsid w:val="00585FC9"/>
    <w:rsid w:val="005A5E1F"/>
    <w:rsid w:val="005B152B"/>
    <w:rsid w:val="005D2698"/>
    <w:rsid w:val="005D3EDF"/>
    <w:rsid w:val="005D65CA"/>
    <w:rsid w:val="005E16BD"/>
    <w:rsid w:val="005E5165"/>
    <w:rsid w:val="005E651C"/>
    <w:rsid w:val="005E6B1B"/>
    <w:rsid w:val="005F411C"/>
    <w:rsid w:val="005F4E2F"/>
    <w:rsid w:val="00606D9C"/>
    <w:rsid w:val="006110FB"/>
    <w:rsid w:val="00611394"/>
    <w:rsid w:val="006204E9"/>
    <w:rsid w:val="00623EE6"/>
    <w:rsid w:val="00623F52"/>
    <w:rsid w:val="00624698"/>
    <w:rsid w:val="00641C3F"/>
    <w:rsid w:val="0064288B"/>
    <w:rsid w:val="00643964"/>
    <w:rsid w:val="00647B55"/>
    <w:rsid w:val="00651E0B"/>
    <w:rsid w:val="0065376A"/>
    <w:rsid w:val="00654CF7"/>
    <w:rsid w:val="00660A16"/>
    <w:rsid w:val="006623F1"/>
    <w:rsid w:val="006671AA"/>
    <w:rsid w:val="00667237"/>
    <w:rsid w:val="006814F9"/>
    <w:rsid w:val="00681D7C"/>
    <w:rsid w:val="006830C6"/>
    <w:rsid w:val="00685914"/>
    <w:rsid w:val="006A7F8A"/>
    <w:rsid w:val="006B7BAF"/>
    <w:rsid w:val="006C2EAE"/>
    <w:rsid w:val="006C49B8"/>
    <w:rsid w:val="006C727C"/>
    <w:rsid w:val="006D2D59"/>
    <w:rsid w:val="006D36AA"/>
    <w:rsid w:val="006D3954"/>
    <w:rsid w:val="006D695D"/>
    <w:rsid w:val="006E0D6B"/>
    <w:rsid w:val="006E7034"/>
    <w:rsid w:val="00701F68"/>
    <w:rsid w:val="00706A1B"/>
    <w:rsid w:val="007111DF"/>
    <w:rsid w:val="00711B34"/>
    <w:rsid w:val="007129BB"/>
    <w:rsid w:val="00741C88"/>
    <w:rsid w:val="00742A1D"/>
    <w:rsid w:val="00747C0C"/>
    <w:rsid w:val="00750C82"/>
    <w:rsid w:val="00755A19"/>
    <w:rsid w:val="0076039D"/>
    <w:rsid w:val="00765ACE"/>
    <w:rsid w:val="00773C76"/>
    <w:rsid w:val="00775011"/>
    <w:rsid w:val="00776000"/>
    <w:rsid w:val="00784BDF"/>
    <w:rsid w:val="00791875"/>
    <w:rsid w:val="007956F5"/>
    <w:rsid w:val="007A1464"/>
    <w:rsid w:val="007B7A03"/>
    <w:rsid w:val="007C7CC4"/>
    <w:rsid w:val="007D7281"/>
    <w:rsid w:val="007E789C"/>
    <w:rsid w:val="007F1D4D"/>
    <w:rsid w:val="007F5EBE"/>
    <w:rsid w:val="00811C3F"/>
    <w:rsid w:val="00825742"/>
    <w:rsid w:val="00830B66"/>
    <w:rsid w:val="00832C9D"/>
    <w:rsid w:val="0083666F"/>
    <w:rsid w:val="00840CCA"/>
    <w:rsid w:val="00854CB8"/>
    <w:rsid w:val="0087346A"/>
    <w:rsid w:val="00876FBD"/>
    <w:rsid w:val="0088365A"/>
    <w:rsid w:val="00890E52"/>
    <w:rsid w:val="00895172"/>
    <w:rsid w:val="008952CD"/>
    <w:rsid w:val="008A1619"/>
    <w:rsid w:val="008A1F82"/>
    <w:rsid w:val="008B5A51"/>
    <w:rsid w:val="008C5118"/>
    <w:rsid w:val="008D05CA"/>
    <w:rsid w:val="008D26E5"/>
    <w:rsid w:val="008E6280"/>
    <w:rsid w:val="008F0165"/>
    <w:rsid w:val="008F0C7F"/>
    <w:rsid w:val="008F3146"/>
    <w:rsid w:val="0090023A"/>
    <w:rsid w:val="0090119B"/>
    <w:rsid w:val="00904CA0"/>
    <w:rsid w:val="00910B6A"/>
    <w:rsid w:val="00911446"/>
    <w:rsid w:val="00912EFB"/>
    <w:rsid w:val="00914D42"/>
    <w:rsid w:val="0092495D"/>
    <w:rsid w:val="009321A6"/>
    <w:rsid w:val="009326E8"/>
    <w:rsid w:val="0093671B"/>
    <w:rsid w:val="00936F3E"/>
    <w:rsid w:val="009376CB"/>
    <w:rsid w:val="009447EE"/>
    <w:rsid w:val="00947308"/>
    <w:rsid w:val="009506A6"/>
    <w:rsid w:val="00952013"/>
    <w:rsid w:val="00966F64"/>
    <w:rsid w:val="009821B0"/>
    <w:rsid w:val="00987A7E"/>
    <w:rsid w:val="00991A01"/>
    <w:rsid w:val="009925F2"/>
    <w:rsid w:val="009969BD"/>
    <w:rsid w:val="009B34D5"/>
    <w:rsid w:val="009C62DA"/>
    <w:rsid w:val="009D0D9D"/>
    <w:rsid w:val="009D1BC6"/>
    <w:rsid w:val="009E21A1"/>
    <w:rsid w:val="009E232E"/>
    <w:rsid w:val="009E33BC"/>
    <w:rsid w:val="009F233D"/>
    <w:rsid w:val="00A02C33"/>
    <w:rsid w:val="00A03FC1"/>
    <w:rsid w:val="00A22C2E"/>
    <w:rsid w:val="00A26EDD"/>
    <w:rsid w:val="00A2763E"/>
    <w:rsid w:val="00A35C98"/>
    <w:rsid w:val="00A40715"/>
    <w:rsid w:val="00A57056"/>
    <w:rsid w:val="00A63477"/>
    <w:rsid w:val="00A655A6"/>
    <w:rsid w:val="00A70EE2"/>
    <w:rsid w:val="00A71A19"/>
    <w:rsid w:val="00A7322C"/>
    <w:rsid w:val="00A73513"/>
    <w:rsid w:val="00A750E9"/>
    <w:rsid w:val="00A757D5"/>
    <w:rsid w:val="00A84AE7"/>
    <w:rsid w:val="00A90AE1"/>
    <w:rsid w:val="00A96B03"/>
    <w:rsid w:val="00AB4E1B"/>
    <w:rsid w:val="00AB5A5F"/>
    <w:rsid w:val="00AC79EE"/>
    <w:rsid w:val="00AD2B51"/>
    <w:rsid w:val="00AE46EB"/>
    <w:rsid w:val="00AE527D"/>
    <w:rsid w:val="00B02077"/>
    <w:rsid w:val="00B05755"/>
    <w:rsid w:val="00B230E2"/>
    <w:rsid w:val="00B25A16"/>
    <w:rsid w:val="00B40AD7"/>
    <w:rsid w:val="00B610F4"/>
    <w:rsid w:val="00B72A46"/>
    <w:rsid w:val="00B90376"/>
    <w:rsid w:val="00BA3F68"/>
    <w:rsid w:val="00BB45F2"/>
    <w:rsid w:val="00BD6351"/>
    <w:rsid w:val="00BD66A8"/>
    <w:rsid w:val="00BE0ECD"/>
    <w:rsid w:val="00BE38B6"/>
    <w:rsid w:val="00BE60A5"/>
    <w:rsid w:val="00C01A1D"/>
    <w:rsid w:val="00C02301"/>
    <w:rsid w:val="00C02DC6"/>
    <w:rsid w:val="00C02E34"/>
    <w:rsid w:val="00C04520"/>
    <w:rsid w:val="00C13406"/>
    <w:rsid w:val="00C17B45"/>
    <w:rsid w:val="00C17B5C"/>
    <w:rsid w:val="00C22B94"/>
    <w:rsid w:val="00C22FD5"/>
    <w:rsid w:val="00C24AC9"/>
    <w:rsid w:val="00C36560"/>
    <w:rsid w:val="00C4290C"/>
    <w:rsid w:val="00C47968"/>
    <w:rsid w:val="00C516B4"/>
    <w:rsid w:val="00C6634C"/>
    <w:rsid w:val="00C720ED"/>
    <w:rsid w:val="00C75EA3"/>
    <w:rsid w:val="00C77DA9"/>
    <w:rsid w:val="00C813A4"/>
    <w:rsid w:val="00C87385"/>
    <w:rsid w:val="00C97B8B"/>
    <w:rsid w:val="00CA1164"/>
    <w:rsid w:val="00CA414B"/>
    <w:rsid w:val="00CB0640"/>
    <w:rsid w:val="00CC2FE5"/>
    <w:rsid w:val="00CC5326"/>
    <w:rsid w:val="00CC6D92"/>
    <w:rsid w:val="00CD7840"/>
    <w:rsid w:val="00CF1EE7"/>
    <w:rsid w:val="00CF387A"/>
    <w:rsid w:val="00D00163"/>
    <w:rsid w:val="00D03BA5"/>
    <w:rsid w:val="00D10F29"/>
    <w:rsid w:val="00D16AF3"/>
    <w:rsid w:val="00D306DE"/>
    <w:rsid w:val="00D31C0E"/>
    <w:rsid w:val="00D37C8B"/>
    <w:rsid w:val="00D41E0F"/>
    <w:rsid w:val="00D60C0C"/>
    <w:rsid w:val="00D60DAD"/>
    <w:rsid w:val="00D64392"/>
    <w:rsid w:val="00D704AB"/>
    <w:rsid w:val="00D71C79"/>
    <w:rsid w:val="00D73913"/>
    <w:rsid w:val="00D93818"/>
    <w:rsid w:val="00DA1800"/>
    <w:rsid w:val="00DA320D"/>
    <w:rsid w:val="00DA48F9"/>
    <w:rsid w:val="00DB1CD3"/>
    <w:rsid w:val="00DB31B0"/>
    <w:rsid w:val="00DB69AC"/>
    <w:rsid w:val="00DC3A4D"/>
    <w:rsid w:val="00DC45FA"/>
    <w:rsid w:val="00DD1B3C"/>
    <w:rsid w:val="00DD6AA7"/>
    <w:rsid w:val="00DE129D"/>
    <w:rsid w:val="00DF22D4"/>
    <w:rsid w:val="00E44486"/>
    <w:rsid w:val="00E45C09"/>
    <w:rsid w:val="00E473C7"/>
    <w:rsid w:val="00E5229A"/>
    <w:rsid w:val="00E56A5D"/>
    <w:rsid w:val="00E579F4"/>
    <w:rsid w:val="00E625EB"/>
    <w:rsid w:val="00E62C5B"/>
    <w:rsid w:val="00E73287"/>
    <w:rsid w:val="00E85E00"/>
    <w:rsid w:val="00E9410C"/>
    <w:rsid w:val="00EA0AB5"/>
    <w:rsid w:val="00EA2655"/>
    <w:rsid w:val="00EA3099"/>
    <w:rsid w:val="00EC022E"/>
    <w:rsid w:val="00EC2733"/>
    <w:rsid w:val="00EC6848"/>
    <w:rsid w:val="00ED5A4C"/>
    <w:rsid w:val="00EE1D4E"/>
    <w:rsid w:val="00EE4CE5"/>
    <w:rsid w:val="00EE59CA"/>
    <w:rsid w:val="00EE78BD"/>
    <w:rsid w:val="00F056F0"/>
    <w:rsid w:val="00F160E8"/>
    <w:rsid w:val="00F22EEF"/>
    <w:rsid w:val="00F36CD2"/>
    <w:rsid w:val="00F40382"/>
    <w:rsid w:val="00F4320D"/>
    <w:rsid w:val="00F447A7"/>
    <w:rsid w:val="00F54640"/>
    <w:rsid w:val="00F57463"/>
    <w:rsid w:val="00F6070B"/>
    <w:rsid w:val="00F633F3"/>
    <w:rsid w:val="00F63E35"/>
    <w:rsid w:val="00F71E60"/>
    <w:rsid w:val="00F73AD4"/>
    <w:rsid w:val="00F85DBD"/>
    <w:rsid w:val="00F92E09"/>
    <w:rsid w:val="00F94C1A"/>
    <w:rsid w:val="00FA0DCB"/>
    <w:rsid w:val="00FA14D6"/>
    <w:rsid w:val="00FA5C42"/>
    <w:rsid w:val="00FB34DE"/>
    <w:rsid w:val="00FC17DA"/>
    <w:rsid w:val="00FC3621"/>
    <w:rsid w:val="00FD21C1"/>
    <w:rsid w:val="00FE6B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6EF"/>
  <w15:chartTrackingRefBased/>
  <w15:docId w15:val="{1198FEFA-C5B7-449E-BB3F-056FC63A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B03"/>
    <w:pPr>
      <w:widowControl w:val="0"/>
      <w:jc w:val="both"/>
    </w:pPr>
  </w:style>
  <w:style w:type="paragraph" w:styleId="Heading1">
    <w:name w:val="heading 1"/>
    <w:basedOn w:val="Normal"/>
    <w:next w:val="Normal"/>
    <w:link w:val="Heading1Char"/>
    <w:uiPriority w:val="9"/>
    <w:qFormat/>
    <w:rsid w:val="00316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640"/>
    <w:pPr>
      <w:spacing w:after="0" w:line="240" w:lineRule="auto"/>
    </w:pPr>
    <w:rPr>
      <w:lang w:val="en-US" w:eastAsia="en-US"/>
    </w:rPr>
  </w:style>
  <w:style w:type="character" w:customStyle="1" w:styleId="NoSpacingChar">
    <w:name w:val="No Spacing Char"/>
    <w:basedOn w:val="DefaultParagraphFont"/>
    <w:link w:val="NoSpacing"/>
    <w:uiPriority w:val="1"/>
    <w:rsid w:val="00CB0640"/>
    <w:rPr>
      <w:lang w:val="en-US" w:eastAsia="en-US"/>
    </w:rPr>
  </w:style>
  <w:style w:type="paragraph" w:styleId="Date">
    <w:name w:val="Date"/>
    <w:basedOn w:val="Normal"/>
    <w:next w:val="Normal"/>
    <w:link w:val="DateChar"/>
    <w:uiPriority w:val="99"/>
    <w:semiHidden/>
    <w:unhideWhenUsed/>
    <w:rsid w:val="00CB0640"/>
  </w:style>
  <w:style w:type="character" w:customStyle="1" w:styleId="DateChar">
    <w:name w:val="Date Char"/>
    <w:basedOn w:val="DefaultParagraphFont"/>
    <w:link w:val="Date"/>
    <w:uiPriority w:val="99"/>
    <w:semiHidden/>
    <w:rsid w:val="00CB0640"/>
  </w:style>
  <w:style w:type="character" w:customStyle="1" w:styleId="Heading1Char">
    <w:name w:val="Heading 1 Char"/>
    <w:basedOn w:val="DefaultParagraphFont"/>
    <w:link w:val="Heading1"/>
    <w:uiPriority w:val="9"/>
    <w:rsid w:val="003168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6870"/>
    <w:pPr>
      <w:widowControl/>
      <w:jc w:val="left"/>
      <w:outlineLvl w:val="9"/>
    </w:pPr>
    <w:rPr>
      <w:lang w:val="en-US" w:eastAsia="en-US"/>
    </w:rPr>
  </w:style>
  <w:style w:type="paragraph" w:styleId="Bibliography">
    <w:name w:val="Bibliography"/>
    <w:basedOn w:val="Normal"/>
    <w:next w:val="Normal"/>
    <w:uiPriority w:val="37"/>
    <w:unhideWhenUsed/>
    <w:rsid w:val="002E1703"/>
  </w:style>
  <w:style w:type="paragraph" w:styleId="TOC1">
    <w:name w:val="toc 1"/>
    <w:basedOn w:val="Normal"/>
    <w:next w:val="Normal"/>
    <w:autoRedefine/>
    <w:uiPriority w:val="39"/>
    <w:unhideWhenUsed/>
    <w:rsid w:val="00A90AE1"/>
    <w:pPr>
      <w:spacing w:after="100"/>
    </w:pPr>
  </w:style>
  <w:style w:type="character" w:styleId="Hyperlink">
    <w:name w:val="Hyperlink"/>
    <w:basedOn w:val="DefaultParagraphFont"/>
    <w:uiPriority w:val="99"/>
    <w:unhideWhenUsed/>
    <w:rsid w:val="00A90AE1"/>
    <w:rPr>
      <w:color w:val="0563C1" w:themeColor="hyperlink"/>
      <w:u w:val="single"/>
    </w:rPr>
  </w:style>
  <w:style w:type="paragraph" w:styleId="Header">
    <w:name w:val="header"/>
    <w:basedOn w:val="Normal"/>
    <w:link w:val="HeaderChar"/>
    <w:uiPriority w:val="99"/>
    <w:unhideWhenUsed/>
    <w:rsid w:val="00A90A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AE1"/>
  </w:style>
  <w:style w:type="paragraph" w:styleId="Footer">
    <w:name w:val="footer"/>
    <w:basedOn w:val="Normal"/>
    <w:link w:val="FooterChar"/>
    <w:uiPriority w:val="99"/>
    <w:unhideWhenUsed/>
    <w:rsid w:val="00A90A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AE1"/>
  </w:style>
  <w:style w:type="character" w:customStyle="1" w:styleId="Heading2Char">
    <w:name w:val="Heading 2 Char"/>
    <w:basedOn w:val="DefaultParagraphFont"/>
    <w:link w:val="Heading2"/>
    <w:uiPriority w:val="9"/>
    <w:rsid w:val="00504F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82D1D"/>
    <w:pPr>
      <w:spacing w:after="100"/>
      <w:ind w:left="220"/>
    </w:pPr>
  </w:style>
  <w:style w:type="paragraph" w:styleId="Caption">
    <w:name w:val="caption"/>
    <w:basedOn w:val="Normal"/>
    <w:next w:val="Normal"/>
    <w:uiPriority w:val="35"/>
    <w:unhideWhenUsed/>
    <w:qFormat/>
    <w:rsid w:val="00D306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448">
      <w:bodyDiv w:val="1"/>
      <w:marLeft w:val="0"/>
      <w:marRight w:val="0"/>
      <w:marTop w:val="0"/>
      <w:marBottom w:val="0"/>
      <w:divBdr>
        <w:top w:val="none" w:sz="0" w:space="0" w:color="auto"/>
        <w:left w:val="none" w:sz="0" w:space="0" w:color="auto"/>
        <w:bottom w:val="none" w:sz="0" w:space="0" w:color="auto"/>
        <w:right w:val="none" w:sz="0" w:space="0" w:color="auto"/>
      </w:divBdr>
    </w:div>
    <w:div w:id="15815991">
      <w:bodyDiv w:val="1"/>
      <w:marLeft w:val="0"/>
      <w:marRight w:val="0"/>
      <w:marTop w:val="0"/>
      <w:marBottom w:val="0"/>
      <w:divBdr>
        <w:top w:val="none" w:sz="0" w:space="0" w:color="auto"/>
        <w:left w:val="none" w:sz="0" w:space="0" w:color="auto"/>
        <w:bottom w:val="none" w:sz="0" w:space="0" w:color="auto"/>
        <w:right w:val="none" w:sz="0" w:space="0" w:color="auto"/>
      </w:divBdr>
    </w:div>
    <w:div w:id="66266561">
      <w:bodyDiv w:val="1"/>
      <w:marLeft w:val="0"/>
      <w:marRight w:val="0"/>
      <w:marTop w:val="0"/>
      <w:marBottom w:val="0"/>
      <w:divBdr>
        <w:top w:val="none" w:sz="0" w:space="0" w:color="auto"/>
        <w:left w:val="none" w:sz="0" w:space="0" w:color="auto"/>
        <w:bottom w:val="none" w:sz="0" w:space="0" w:color="auto"/>
        <w:right w:val="none" w:sz="0" w:space="0" w:color="auto"/>
      </w:divBdr>
    </w:div>
    <w:div w:id="85464860">
      <w:bodyDiv w:val="1"/>
      <w:marLeft w:val="0"/>
      <w:marRight w:val="0"/>
      <w:marTop w:val="0"/>
      <w:marBottom w:val="0"/>
      <w:divBdr>
        <w:top w:val="none" w:sz="0" w:space="0" w:color="auto"/>
        <w:left w:val="none" w:sz="0" w:space="0" w:color="auto"/>
        <w:bottom w:val="none" w:sz="0" w:space="0" w:color="auto"/>
        <w:right w:val="none" w:sz="0" w:space="0" w:color="auto"/>
      </w:divBdr>
    </w:div>
    <w:div w:id="129709076">
      <w:bodyDiv w:val="1"/>
      <w:marLeft w:val="0"/>
      <w:marRight w:val="0"/>
      <w:marTop w:val="0"/>
      <w:marBottom w:val="0"/>
      <w:divBdr>
        <w:top w:val="none" w:sz="0" w:space="0" w:color="auto"/>
        <w:left w:val="none" w:sz="0" w:space="0" w:color="auto"/>
        <w:bottom w:val="none" w:sz="0" w:space="0" w:color="auto"/>
        <w:right w:val="none" w:sz="0" w:space="0" w:color="auto"/>
      </w:divBdr>
    </w:div>
    <w:div w:id="177433622">
      <w:bodyDiv w:val="1"/>
      <w:marLeft w:val="0"/>
      <w:marRight w:val="0"/>
      <w:marTop w:val="0"/>
      <w:marBottom w:val="0"/>
      <w:divBdr>
        <w:top w:val="none" w:sz="0" w:space="0" w:color="auto"/>
        <w:left w:val="none" w:sz="0" w:space="0" w:color="auto"/>
        <w:bottom w:val="none" w:sz="0" w:space="0" w:color="auto"/>
        <w:right w:val="none" w:sz="0" w:space="0" w:color="auto"/>
      </w:divBdr>
    </w:div>
    <w:div w:id="201135885">
      <w:bodyDiv w:val="1"/>
      <w:marLeft w:val="0"/>
      <w:marRight w:val="0"/>
      <w:marTop w:val="0"/>
      <w:marBottom w:val="0"/>
      <w:divBdr>
        <w:top w:val="none" w:sz="0" w:space="0" w:color="auto"/>
        <w:left w:val="none" w:sz="0" w:space="0" w:color="auto"/>
        <w:bottom w:val="none" w:sz="0" w:space="0" w:color="auto"/>
        <w:right w:val="none" w:sz="0" w:space="0" w:color="auto"/>
      </w:divBdr>
    </w:div>
    <w:div w:id="237591239">
      <w:bodyDiv w:val="1"/>
      <w:marLeft w:val="0"/>
      <w:marRight w:val="0"/>
      <w:marTop w:val="0"/>
      <w:marBottom w:val="0"/>
      <w:divBdr>
        <w:top w:val="none" w:sz="0" w:space="0" w:color="auto"/>
        <w:left w:val="none" w:sz="0" w:space="0" w:color="auto"/>
        <w:bottom w:val="none" w:sz="0" w:space="0" w:color="auto"/>
        <w:right w:val="none" w:sz="0" w:space="0" w:color="auto"/>
      </w:divBdr>
    </w:div>
    <w:div w:id="242221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8724">
          <w:marLeft w:val="0"/>
          <w:marRight w:val="240"/>
          <w:marTop w:val="0"/>
          <w:marBottom w:val="0"/>
          <w:divBdr>
            <w:top w:val="none" w:sz="0" w:space="0" w:color="auto"/>
            <w:left w:val="none" w:sz="0" w:space="0" w:color="auto"/>
            <w:bottom w:val="none" w:sz="0" w:space="0" w:color="auto"/>
            <w:right w:val="none" w:sz="0" w:space="0" w:color="auto"/>
          </w:divBdr>
          <w:divsChild>
            <w:div w:id="880823721">
              <w:marLeft w:val="0"/>
              <w:marRight w:val="0"/>
              <w:marTop w:val="0"/>
              <w:marBottom w:val="0"/>
              <w:divBdr>
                <w:top w:val="none" w:sz="0" w:space="0" w:color="auto"/>
                <w:left w:val="none" w:sz="0" w:space="0" w:color="auto"/>
                <w:bottom w:val="none" w:sz="0" w:space="0" w:color="auto"/>
                <w:right w:val="none" w:sz="0" w:space="0" w:color="auto"/>
              </w:divBdr>
              <w:divsChild>
                <w:div w:id="2025787691">
                  <w:marLeft w:val="0"/>
                  <w:marRight w:val="0"/>
                  <w:marTop w:val="0"/>
                  <w:marBottom w:val="0"/>
                  <w:divBdr>
                    <w:top w:val="none" w:sz="0" w:space="0" w:color="auto"/>
                    <w:left w:val="none" w:sz="0" w:space="0" w:color="auto"/>
                    <w:bottom w:val="none" w:sz="0" w:space="0" w:color="auto"/>
                    <w:right w:val="none" w:sz="0" w:space="0" w:color="auto"/>
                  </w:divBdr>
                  <w:divsChild>
                    <w:div w:id="1435327521">
                      <w:marLeft w:val="0"/>
                      <w:marRight w:val="0"/>
                      <w:marTop w:val="0"/>
                      <w:marBottom w:val="0"/>
                      <w:divBdr>
                        <w:top w:val="none" w:sz="0" w:space="0" w:color="auto"/>
                        <w:left w:val="none" w:sz="0" w:space="0" w:color="auto"/>
                        <w:bottom w:val="none" w:sz="0" w:space="0" w:color="auto"/>
                        <w:right w:val="none" w:sz="0" w:space="0" w:color="auto"/>
                      </w:divBdr>
                      <w:divsChild>
                        <w:div w:id="1751929991">
                          <w:marLeft w:val="0"/>
                          <w:marRight w:val="0"/>
                          <w:marTop w:val="0"/>
                          <w:marBottom w:val="0"/>
                          <w:divBdr>
                            <w:top w:val="none" w:sz="0" w:space="0" w:color="auto"/>
                            <w:left w:val="none" w:sz="0" w:space="0" w:color="auto"/>
                            <w:bottom w:val="none" w:sz="0" w:space="0" w:color="auto"/>
                            <w:right w:val="none" w:sz="0" w:space="0" w:color="auto"/>
                          </w:divBdr>
                          <w:divsChild>
                            <w:div w:id="503669413">
                              <w:marLeft w:val="0"/>
                              <w:marRight w:val="0"/>
                              <w:marTop w:val="0"/>
                              <w:marBottom w:val="0"/>
                              <w:divBdr>
                                <w:top w:val="none" w:sz="0" w:space="0" w:color="auto"/>
                                <w:left w:val="none" w:sz="0" w:space="0" w:color="auto"/>
                                <w:bottom w:val="none" w:sz="0" w:space="0" w:color="auto"/>
                                <w:right w:val="none" w:sz="0" w:space="0" w:color="auto"/>
                              </w:divBdr>
                              <w:divsChild>
                                <w:div w:id="1081368790">
                                  <w:marLeft w:val="0"/>
                                  <w:marRight w:val="0"/>
                                  <w:marTop w:val="0"/>
                                  <w:marBottom w:val="0"/>
                                  <w:divBdr>
                                    <w:top w:val="none" w:sz="0" w:space="0" w:color="auto"/>
                                    <w:left w:val="none" w:sz="0" w:space="0" w:color="auto"/>
                                    <w:bottom w:val="none" w:sz="0" w:space="0" w:color="auto"/>
                                    <w:right w:val="none" w:sz="0" w:space="0" w:color="auto"/>
                                  </w:divBdr>
                                  <w:divsChild>
                                    <w:div w:id="1537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892117">
      <w:bodyDiv w:val="1"/>
      <w:marLeft w:val="0"/>
      <w:marRight w:val="0"/>
      <w:marTop w:val="0"/>
      <w:marBottom w:val="0"/>
      <w:divBdr>
        <w:top w:val="none" w:sz="0" w:space="0" w:color="auto"/>
        <w:left w:val="none" w:sz="0" w:space="0" w:color="auto"/>
        <w:bottom w:val="none" w:sz="0" w:space="0" w:color="auto"/>
        <w:right w:val="none" w:sz="0" w:space="0" w:color="auto"/>
      </w:divBdr>
    </w:div>
    <w:div w:id="283391003">
      <w:bodyDiv w:val="1"/>
      <w:marLeft w:val="0"/>
      <w:marRight w:val="0"/>
      <w:marTop w:val="0"/>
      <w:marBottom w:val="0"/>
      <w:divBdr>
        <w:top w:val="none" w:sz="0" w:space="0" w:color="auto"/>
        <w:left w:val="none" w:sz="0" w:space="0" w:color="auto"/>
        <w:bottom w:val="none" w:sz="0" w:space="0" w:color="auto"/>
        <w:right w:val="none" w:sz="0" w:space="0" w:color="auto"/>
      </w:divBdr>
    </w:div>
    <w:div w:id="292443628">
      <w:bodyDiv w:val="1"/>
      <w:marLeft w:val="0"/>
      <w:marRight w:val="0"/>
      <w:marTop w:val="0"/>
      <w:marBottom w:val="0"/>
      <w:divBdr>
        <w:top w:val="none" w:sz="0" w:space="0" w:color="auto"/>
        <w:left w:val="none" w:sz="0" w:space="0" w:color="auto"/>
        <w:bottom w:val="none" w:sz="0" w:space="0" w:color="auto"/>
        <w:right w:val="none" w:sz="0" w:space="0" w:color="auto"/>
      </w:divBdr>
    </w:div>
    <w:div w:id="302541700">
      <w:bodyDiv w:val="1"/>
      <w:marLeft w:val="0"/>
      <w:marRight w:val="0"/>
      <w:marTop w:val="0"/>
      <w:marBottom w:val="0"/>
      <w:divBdr>
        <w:top w:val="none" w:sz="0" w:space="0" w:color="auto"/>
        <w:left w:val="none" w:sz="0" w:space="0" w:color="auto"/>
        <w:bottom w:val="none" w:sz="0" w:space="0" w:color="auto"/>
        <w:right w:val="none" w:sz="0" w:space="0" w:color="auto"/>
      </w:divBdr>
    </w:div>
    <w:div w:id="336152113">
      <w:bodyDiv w:val="1"/>
      <w:marLeft w:val="0"/>
      <w:marRight w:val="0"/>
      <w:marTop w:val="0"/>
      <w:marBottom w:val="0"/>
      <w:divBdr>
        <w:top w:val="none" w:sz="0" w:space="0" w:color="auto"/>
        <w:left w:val="none" w:sz="0" w:space="0" w:color="auto"/>
        <w:bottom w:val="none" w:sz="0" w:space="0" w:color="auto"/>
        <w:right w:val="none" w:sz="0" w:space="0" w:color="auto"/>
      </w:divBdr>
    </w:div>
    <w:div w:id="380131731">
      <w:bodyDiv w:val="1"/>
      <w:marLeft w:val="0"/>
      <w:marRight w:val="0"/>
      <w:marTop w:val="0"/>
      <w:marBottom w:val="0"/>
      <w:divBdr>
        <w:top w:val="none" w:sz="0" w:space="0" w:color="auto"/>
        <w:left w:val="none" w:sz="0" w:space="0" w:color="auto"/>
        <w:bottom w:val="none" w:sz="0" w:space="0" w:color="auto"/>
        <w:right w:val="none" w:sz="0" w:space="0" w:color="auto"/>
      </w:divBdr>
    </w:div>
    <w:div w:id="380598510">
      <w:bodyDiv w:val="1"/>
      <w:marLeft w:val="0"/>
      <w:marRight w:val="0"/>
      <w:marTop w:val="0"/>
      <w:marBottom w:val="0"/>
      <w:divBdr>
        <w:top w:val="none" w:sz="0" w:space="0" w:color="auto"/>
        <w:left w:val="none" w:sz="0" w:space="0" w:color="auto"/>
        <w:bottom w:val="none" w:sz="0" w:space="0" w:color="auto"/>
        <w:right w:val="none" w:sz="0" w:space="0" w:color="auto"/>
      </w:divBdr>
    </w:div>
    <w:div w:id="393818230">
      <w:bodyDiv w:val="1"/>
      <w:marLeft w:val="0"/>
      <w:marRight w:val="0"/>
      <w:marTop w:val="0"/>
      <w:marBottom w:val="0"/>
      <w:divBdr>
        <w:top w:val="none" w:sz="0" w:space="0" w:color="auto"/>
        <w:left w:val="none" w:sz="0" w:space="0" w:color="auto"/>
        <w:bottom w:val="none" w:sz="0" w:space="0" w:color="auto"/>
        <w:right w:val="none" w:sz="0" w:space="0" w:color="auto"/>
      </w:divBdr>
    </w:div>
    <w:div w:id="413934955">
      <w:bodyDiv w:val="1"/>
      <w:marLeft w:val="0"/>
      <w:marRight w:val="0"/>
      <w:marTop w:val="0"/>
      <w:marBottom w:val="0"/>
      <w:divBdr>
        <w:top w:val="none" w:sz="0" w:space="0" w:color="auto"/>
        <w:left w:val="none" w:sz="0" w:space="0" w:color="auto"/>
        <w:bottom w:val="none" w:sz="0" w:space="0" w:color="auto"/>
        <w:right w:val="none" w:sz="0" w:space="0" w:color="auto"/>
      </w:divBdr>
    </w:div>
    <w:div w:id="420224306">
      <w:bodyDiv w:val="1"/>
      <w:marLeft w:val="0"/>
      <w:marRight w:val="0"/>
      <w:marTop w:val="0"/>
      <w:marBottom w:val="0"/>
      <w:divBdr>
        <w:top w:val="none" w:sz="0" w:space="0" w:color="auto"/>
        <w:left w:val="none" w:sz="0" w:space="0" w:color="auto"/>
        <w:bottom w:val="none" w:sz="0" w:space="0" w:color="auto"/>
        <w:right w:val="none" w:sz="0" w:space="0" w:color="auto"/>
      </w:divBdr>
    </w:div>
    <w:div w:id="438065885">
      <w:bodyDiv w:val="1"/>
      <w:marLeft w:val="0"/>
      <w:marRight w:val="0"/>
      <w:marTop w:val="0"/>
      <w:marBottom w:val="0"/>
      <w:divBdr>
        <w:top w:val="none" w:sz="0" w:space="0" w:color="auto"/>
        <w:left w:val="none" w:sz="0" w:space="0" w:color="auto"/>
        <w:bottom w:val="none" w:sz="0" w:space="0" w:color="auto"/>
        <w:right w:val="none" w:sz="0" w:space="0" w:color="auto"/>
      </w:divBdr>
    </w:div>
    <w:div w:id="479734880">
      <w:bodyDiv w:val="1"/>
      <w:marLeft w:val="0"/>
      <w:marRight w:val="0"/>
      <w:marTop w:val="0"/>
      <w:marBottom w:val="0"/>
      <w:divBdr>
        <w:top w:val="none" w:sz="0" w:space="0" w:color="auto"/>
        <w:left w:val="none" w:sz="0" w:space="0" w:color="auto"/>
        <w:bottom w:val="none" w:sz="0" w:space="0" w:color="auto"/>
        <w:right w:val="none" w:sz="0" w:space="0" w:color="auto"/>
      </w:divBdr>
    </w:div>
    <w:div w:id="491874131">
      <w:bodyDiv w:val="1"/>
      <w:marLeft w:val="0"/>
      <w:marRight w:val="0"/>
      <w:marTop w:val="0"/>
      <w:marBottom w:val="0"/>
      <w:divBdr>
        <w:top w:val="none" w:sz="0" w:space="0" w:color="auto"/>
        <w:left w:val="none" w:sz="0" w:space="0" w:color="auto"/>
        <w:bottom w:val="none" w:sz="0" w:space="0" w:color="auto"/>
        <w:right w:val="none" w:sz="0" w:space="0" w:color="auto"/>
      </w:divBdr>
    </w:div>
    <w:div w:id="502360324">
      <w:bodyDiv w:val="1"/>
      <w:marLeft w:val="0"/>
      <w:marRight w:val="0"/>
      <w:marTop w:val="0"/>
      <w:marBottom w:val="0"/>
      <w:divBdr>
        <w:top w:val="none" w:sz="0" w:space="0" w:color="auto"/>
        <w:left w:val="none" w:sz="0" w:space="0" w:color="auto"/>
        <w:bottom w:val="none" w:sz="0" w:space="0" w:color="auto"/>
        <w:right w:val="none" w:sz="0" w:space="0" w:color="auto"/>
      </w:divBdr>
    </w:div>
    <w:div w:id="515577987">
      <w:bodyDiv w:val="1"/>
      <w:marLeft w:val="0"/>
      <w:marRight w:val="0"/>
      <w:marTop w:val="0"/>
      <w:marBottom w:val="0"/>
      <w:divBdr>
        <w:top w:val="none" w:sz="0" w:space="0" w:color="auto"/>
        <w:left w:val="none" w:sz="0" w:space="0" w:color="auto"/>
        <w:bottom w:val="none" w:sz="0" w:space="0" w:color="auto"/>
        <w:right w:val="none" w:sz="0" w:space="0" w:color="auto"/>
      </w:divBdr>
    </w:div>
    <w:div w:id="534804825">
      <w:bodyDiv w:val="1"/>
      <w:marLeft w:val="0"/>
      <w:marRight w:val="0"/>
      <w:marTop w:val="0"/>
      <w:marBottom w:val="0"/>
      <w:divBdr>
        <w:top w:val="none" w:sz="0" w:space="0" w:color="auto"/>
        <w:left w:val="none" w:sz="0" w:space="0" w:color="auto"/>
        <w:bottom w:val="none" w:sz="0" w:space="0" w:color="auto"/>
        <w:right w:val="none" w:sz="0" w:space="0" w:color="auto"/>
      </w:divBdr>
    </w:div>
    <w:div w:id="536166243">
      <w:bodyDiv w:val="1"/>
      <w:marLeft w:val="0"/>
      <w:marRight w:val="0"/>
      <w:marTop w:val="0"/>
      <w:marBottom w:val="0"/>
      <w:divBdr>
        <w:top w:val="none" w:sz="0" w:space="0" w:color="auto"/>
        <w:left w:val="none" w:sz="0" w:space="0" w:color="auto"/>
        <w:bottom w:val="none" w:sz="0" w:space="0" w:color="auto"/>
        <w:right w:val="none" w:sz="0" w:space="0" w:color="auto"/>
      </w:divBdr>
    </w:div>
    <w:div w:id="564030859">
      <w:bodyDiv w:val="1"/>
      <w:marLeft w:val="0"/>
      <w:marRight w:val="0"/>
      <w:marTop w:val="0"/>
      <w:marBottom w:val="0"/>
      <w:divBdr>
        <w:top w:val="none" w:sz="0" w:space="0" w:color="auto"/>
        <w:left w:val="none" w:sz="0" w:space="0" w:color="auto"/>
        <w:bottom w:val="none" w:sz="0" w:space="0" w:color="auto"/>
        <w:right w:val="none" w:sz="0" w:space="0" w:color="auto"/>
      </w:divBdr>
    </w:div>
    <w:div w:id="576136670">
      <w:bodyDiv w:val="1"/>
      <w:marLeft w:val="0"/>
      <w:marRight w:val="0"/>
      <w:marTop w:val="0"/>
      <w:marBottom w:val="0"/>
      <w:divBdr>
        <w:top w:val="none" w:sz="0" w:space="0" w:color="auto"/>
        <w:left w:val="none" w:sz="0" w:space="0" w:color="auto"/>
        <w:bottom w:val="none" w:sz="0" w:space="0" w:color="auto"/>
        <w:right w:val="none" w:sz="0" w:space="0" w:color="auto"/>
      </w:divBdr>
    </w:div>
    <w:div w:id="592974894">
      <w:bodyDiv w:val="1"/>
      <w:marLeft w:val="0"/>
      <w:marRight w:val="0"/>
      <w:marTop w:val="0"/>
      <w:marBottom w:val="0"/>
      <w:divBdr>
        <w:top w:val="none" w:sz="0" w:space="0" w:color="auto"/>
        <w:left w:val="none" w:sz="0" w:space="0" w:color="auto"/>
        <w:bottom w:val="none" w:sz="0" w:space="0" w:color="auto"/>
        <w:right w:val="none" w:sz="0" w:space="0" w:color="auto"/>
      </w:divBdr>
    </w:div>
    <w:div w:id="607203844">
      <w:bodyDiv w:val="1"/>
      <w:marLeft w:val="0"/>
      <w:marRight w:val="0"/>
      <w:marTop w:val="0"/>
      <w:marBottom w:val="0"/>
      <w:divBdr>
        <w:top w:val="none" w:sz="0" w:space="0" w:color="auto"/>
        <w:left w:val="none" w:sz="0" w:space="0" w:color="auto"/>
        <w:bottom w:val="none" w:sz="0" w:space="0" w:color="auto"/>
        <w:right w:val="none" w:sz="0" w:space="0" w:color="auto"/>
      </w:divBdr>
    </w:div>
    <w:div w:id="607352125">
      <w:bodyDiv w:val="1"/>
      <w:marLeft w:val="0"/>
      <w:marRight w:val="0"/>
      <w:marTop w:val="0"/>
      <w:marBottom w:val="0"/>
      <w:divBdr>
        <w:top w:val="none" w:sz="0" w:space="0" w:color="auto"/>
        <w:left w:val="none" w:sz="0" w:space="0" w:color="auto"/>
        <w:bottom w:val="none" w:sz="0" w:space="0" w:color="auto"/>
        <w:right w:val="none" w:sz="0" w:space="0" w:color="auto"/>
      </w:divBdr>
    </w:div>
    <w:div w:id="612129981">
      <w:bodyDiv w:val="1"/>
      <w:marLeft w:val="0"/>
      <w:marRight w:val="0"/>
      <w:marTop w:val="0"/>
      <w:marBottom w:val="0"/>
      <w:divBdr>
        <w:top w:val="none" w:sz="0" w:space="0" w:color="auto"/>
        <w:left w:val="none" w:sz="0" w:space="0" w:color="auto"/>
        <w:bottom w:val="none" w:sz="0" w:space="0" w:color="auto"/>
        <w:right w:val="none" w:sz="0" w:space="0" w:color="auto"/>
      </w:divBdr>
    </w:div>
    <w:div w:id="613370410">
      <w:bodyDiv w:val="1"/>
      <w:marLeft w:val="0"/>
      <w:marRight w:val="0"/>
      <w:marTop w:val="0"/>
      <w:marBottom w:val="0"/>
      <w:divBdr>
        <w:top w:val="none" w:sz="0" w:space="0" w:color="auto"/>
        <w:left w:val="none" w:sz="0" w:space="0" w:color="auto"/>
        <w:bottom w:val="none" w:sz="0" w:space="0" w:color="auto"/>
        <w:right w:val="none" w:sz="0" w:space="0" w:color="auto"/>
      </w:divBdr>
    </w:div>
    <w:div w:id="619264130">
      <w:bodyDiv w:val="1"/>
      <w:marLeft w:val="0"/>
      <w:marRight w:val="0"/>
      <w:marTop w:val="0"/>
      <w:marBottom w:val="0"/>
      <w:divBdr>
        <w:top w:val="none" w:sz="0" w:space="0" w:color="auto"/>
        <w:left w:val="none" w:sz="0" w:space="0" w:color="auto"/>
        <w:bottom w:val="none" w:sz="0" w:space="0" w:color="auto"/>
        <w:right w:val="none" w:sz="0" w:space="0" w:color="auto"/>
      </w:divBdr>
    </w:div>
    <w:div w:id="619535884">
      <w:bodyDiv w:val="1"/>
      <w:marLeft w:val="0"/>
      <w:marRight w:val="0"/>
      <w:marTop w:val="0"/>
      <w:marBottom w:val="0"/>
      <w:divBdr>
        <w:top w:val="none" w:sz="0" w:space="0" w:color="auto"/>
        <w:left w:val="none" w:sz="0" w:space="0" w:color="auto"/>
        <w:bottom w:val="none" w:sz="0" w:space="0" w:color="auto"/>
        <w:right w:val="none" w:sz="0" w:space="0" w:color="auto"/>
      </w:divBdr>
    </w:div>
    <w:div w:id="624385768">
      <w:bodyDiv w:val="1"/>
      <w:marLeft w:val="0"/>
      <w:marRight w:val="0"/>
      <w:marTop w:val="0"/>
      <w:marBottom w:val="0"/>
      <w:divBdr>
        <w:top w:val="none" w:sz="0" w:space="0" w:color="auto"/>
        <w:left w:val="none" w:sz="0" w:space="0" w:color="auto"/>
        <w:bottom w:val="none" w:sz="0" w:space="0" w:color="auto"/>
        <w:right w:val="none" w:sz="0" w:space="0" w:color="auto"/>
      </w:divBdr>
    </w:div>
    <w:div w:id="630088538">
      <w:bodyDiv w:val="1"/>
      <w:marLeft w:val="0"/>
      <w:marRight w:val="0"/>
      <w:marTop w:val="0"/>
      <w:marBottom w:val="0"/>
      <w:divBdr>
        <w:top w:val="none" w:sz="0" w:space="0" w:color="auto"/>
        <w:left w:val="none" w:sz="0" w:space="0" w:color="auto"/>
        <w:bottom w:val="none" w:sz="0" w:space="0" w:color="auto"/>
        <w:right w:val="none" w:sz="0" w:space="0" w:color="auto"/>
      </w:divBdr>
    </w:div>
    <w:div w:id="633291500">
      <w:bodyDiv w:val="1"/>
      <w:marLeft w:val="0"/>
      <w:marRight w:val="0"/>
      <w:marTop w:val="0"/>
      <w:marBottom w:val="0"/>
      <w:divBdr>
        <w:top w:val="none" w:sz="0" w:space="0" w:color="auto"/>
        <w:left w:val="none" w:sz="0" w:space="0" w:color="auto"/>
        <w:bottom w:val="none" w:sz="0" w:space="0" w:color="auto"/>
        <w:right w:val="none" w:sz="0" w:space="0" w:color="auto"/>
      </w:divBdr>
    </w:div>
    <w:div w:id="667248242">
      <w:bodyDiv w:val="1"/>
      <w:marLeft w:val="0"/>
      <w:marRight w:val="0"/>
      <w:marTop w:val="0"/>
      <w:marBottom w:val="0"/>
      <w:divBdr>
        <w:top w:val="none" w:sz="0" w:space="0" w:color="auto"/>
        <w:left w:val="none" w:sz="0" w:space="0" w:color="auto"/>
        <w:bottom w:val="none" w:sz="0" w:space="0" w:color="auto"/>
        <w:right w:val="none" w:sz="0" w:space="0" w:color="auto"/>
      </w:divBdr>
    </w:div>
    <w:div w:id="673068613">
      <w:bodyDiv w:val="1"/>
      <w:marLeft w:val="0"/>
      <w:marRight w:val="0"/>
      <w:marTop w:val="0"/>
      <w:marBottom w:val="0"/>
      <w:divBdr>
        <w:top w:val="none" w:sz="0" w:space="0" w:color="auto"/>
        <w:left w:val="none" w:sz="0" w:space="0" w:color="auto"/>
        <w:bottom w:val="none" w:sz="0" w:space="0" w:color="auto"/>
        <w:right w:val="none" w:sz="0" w:space="0" w:color="auto"/>
      </w:divBdr>
    </w:div>
    <w:div w:id="677929323">
      <w:bodyDiv w:val="1"/>
      <w:marLeft w:val="0"/>
      <w:marRight w:val="0"/>
      <w:marTop w:val="0"/>
      <w:marBottom w:val="0"/>
      <w:divBdr>
        <w:top w:val="none" w:sz="0" w:space="0" w:color="auto"/>
        <w:left w:val="none" w:sz="0" w:space="0" w:color="auto"/>
        <w:bottom w:val="none" w:sz="0" w:space="0" w:color="auto"/>
        <w:right w:val="none" w:sz="0" w:space="0" w:color="auto"/>
      </w:divBdr>
    </w:div>
    <w:div w:id="678000428">
      <w:bodyDiv w:val="1"/>
      <w:marLeft w:val="0"/>
      <w:marRight w:val="0"/>
      <w:marTop w:val="0"/>
      <w:marBottom w:val="0"/>
      <w:divBdr>
        <w:top w:val="none" w:sz="0" w:space="0" w:color="auto"/>
        <w:left w:val="none" w:sz="0" w:space="0" w:color="auto"/>
        <w:bottom w:val="none" w:sz="0" w:space="0" w:color="auto"/>
        <w:right w:val="none" w:sz="0" w:space="0" w:color="auto"/>
      </w:divBdr>
    </w:div>
    <w:div w:id="709838859">
      <w:bodyDiv w:val="1"/>
      <w:marLeft w:val="0"/>
      <w:marRight w:val="0"/>
      <w:marTop w:val="0"/>
      <w:marBottom w:val="0"/>
      <w:divBdr>
        <w:top w:val="none" w:sz="0" w:space="0" w:color="auto"/>
        <w:left w:val="none" w:sz="0" w:space="0" w:color="auto"/>
        <w:bottom w:val="none" w:sz="0" w:space="0" w:color="auto"/>
        <w:right w:val="none" w:sz="0" w:space="0" w:color="auto"/>
      </w:divBdr>
    </w:div>
    <w:div w:id="709961102">
      <w:bodyDiv w:val="1"/>
      <w:marLeft w:val="0"/>
      <w:marRight w:val="0"/>
      <w:marTop w:val="0"/>
      <w:marBottom w:val="0"/>
      <w:divBdr>
        <w:top w:val="none" w:sz="0" w:space="0" w:color="auto"/>
        <w:left w:val="none" w:sz="0" w:space="0" w:color="auto"/>
        <w:bottom w:val="none" w:sz="0" w:space="0" w:color="auto"/>
        <w:right w:val="none" w:sz="0" w:space="0" w:color="auto"/>
      </w:divBdr>
    </w:div>
    <w:div w:id="728262369">
      <w:bodyDiv w:val="1"/>
      <w:marLeft w:val="0"/>
      <w:marRight w:val="0"/>
      <w:marTop w:val="0"/>
      <w:marBottom w:val="0"/>
      <w:divBdr>
        <w:top w:val="none" w:sz="0" w:space="0" w:color="auto"/>
        <w:left w:val="none" w:sz="0" w:space="0" w:color="auto"/>
        <w:bottom w:val="none" w:sz="0" w:space="0" w:color="auto"/>
        <w:right w:val="none" w:sz="0" w:space="0" w:color="auto"/>
      </w:divBdr>
    </w:div>
    <w:div w:id="730076001">
      <w:bodyDiv w:val="1"/>
      <w:marLeft w:val="0"/>
      <w:marRight w:val="0"/>
      <w:marTop w:val="0"/>
      <w:marBottom w:val="0"/>
      <w:divBdr>
        <w:top w:val="none" w:sz="0" w:space="0" w:color="auto"/>
        <w:left w:val="none" w:sz="0" w:space="0" w:color="auto"/>
        <w:bottom w:val="none" w:sz="0" w:space="0" w:color="auto"/>
        <w:right w:val="none" w:sz="0" w:space="0" w:color="auto"/>
      </w:divBdr>
    </w:div>
    <w:div w:id="738332697">
      <w:bodyDiv w:val="1"/>
      <w:marLeft w:val="0"/>
      <w:marRight w:val="0"/>
      <w:marTop w:val="0"/>
      <w:marBottom w:val="0"/>
      <w:divBdr>
        <w:top w:val="none" w:sz="0" w:space="0" w:color="auto"/>
        <w:left w:val="none" w:sz="0" w:space="0" w:color="auto"/>
        <w:bottom w:val="none" w:sz="0" w:space="0" w:color="auto"/>
        <w:right w:val="none" w:sz="0" w:space="0" w:color="auto"/>
      </w:divBdr>
    </w:div>
    <w:div w:id="746852468">
      <w:bodyDiv w:val="1"/>
      <w:marLeft w:val="0"/>
      <w:marRight w:val="0"/>
      <w:marTop w:val="0"/>
      <w:marBottom w:val="0"/>
      <w:divBdr>
        <w:top w:val="none" w:sz="0" w:space="0" w:color="auto"/>
        <w:left w:val="none" w:sz="0" w:space="0" w:color="auto"/>
        <w:bottom w:val="none" w:sz="0" w:space="0" w:color="auto"/>
        <w:right w:val="none" w:sz="0" w:space="0" w:color="auto"/>
      </w:divBdr>
    </w:div>
    <w:div w:id="764107172">
      <w:bodyDiv w:val="1"/>
      <w:marLeft w:val="0"/>
      <w:marRight w:val="0"/>
      <w:marTop w:val="0"/>
      <w:marBottom w:val="0"/>
      <w:divBdr>
        <w:top w:val="none" w:sz="0" w:space="0" w:color="auto"/>
        <w:left w:val="none" w:sz="0" w:space="0" w:color="auto"/>
        <w:bottom w:val="none" w:sz="0" w:space="0" w:color="auto"/>
        <w:right w:val="none" w:sz="0" w:space="0" w:color="auto"/>
      </w:divBdr>
    </w:div>
    <w:div w:id="773130418">
      <w:bodyDiv w:val="1"/>
      <w:marLeft w:val="0"/>
      <w:marRight w:val="0"/>
      <w:marTop w:val="0"/>
      <w:marBottom w:val="0"/>
      <w:divBdr>
        <w:top w:val="none" w:sz="0" w:space="0" w:color="auto"/>
        <w:left w:val="none" w:sz="0" w:space="0" w:color="auto"/>
        <w:bottom w:val="none" w:sz="0" w:space="0" w:color="auto"/>
        <w:right w:val="none" w:sz="0" w:space="0" w:color="auto"/>
      </w:divBdr>
    </w:div>
    <w:div w:id="777259492">
      <w:bodyDiv w:val="1"/>
      <w:marLeft w:val="0"/>
      <w:marRight w:val="0"/>
      <w:marTop w:val="0"/>
      <w:marBottom w:val="0"/>
      <w:divBdr>
        <w:top w:val="none" w:sz="0" w:space="0" w:color="auto"/>
        <w:left w:val="none" w:sz="0" w:space="0" w:color="auto"/>
        <w:bottom w:val="none" w:sz="0" w:space="0" w:color="auto"/>
        <w:right w:val="none" w:sz="0" w:space="0" w:color="auto"/>
      </w:divBdr>
    </w:div>
    <w:div w:id="809830313">
      <w:bodyDiv w:val="1"/>
      <w:marLeft w:val="0"/>
      <w:marRight w:val="0"/>
      <w:marTop w:val="0"/>
      <w:marBottom w:val="0"/>
      <w:divBdr>
        <w:top w:val="none" w:sz="0" w:space="0" w:color="auto"/>
        <w:left w:val="none" w:sz="0" w:space="0" w:color="auto"/>
        <w:bottom w:val="none" w:sz="0" w:space="0" w:color="auto"/>
        <w:right w:val="none" w:sz="0" w:space="0" w:color="auto"/>
      </w:divBdr>
    </w:div>
    <w:div w:id="827984653">
      <w:bodyDiv w:val="1"/>
      <w:marLeft w:val="0"/>
      <w:marRight w:val="0"/>
      <w:marTop w:val="0"/>
      <w:marBottom w:val="0"/>
      <w:divBdr>
        <w:top w:val="none" w:sz="0" w:space="0" w:color="auto"/>
        <w:left w:val="none" w:sz="0" w:space="0" w:color="auto"/>
        <w:bottom w:val="none" w:sz="0" w:space="0" w:color="auto"/>
        <w:right w:val="none" w:sz="0" w:space="0" w:color="auto"/>
      </w:divBdr>
    </w:div>
    <w:div w:id="829712278">
      <w:bodyDiv w:val="1"/>
      <w:marLeft w:val="0"/>
      <w:marRight w:val="0"/>
      <w:marTop w:val="0"/>
      <w:marBottom w:val="0"/>
      <w:divBdr>
        <w:top w:val="none" w:sz="0" w:space="0" w:color="auto"/>
        <w:left w:val="none" w:sz="0" w:space="0" w:color="auto"/>
        <w:bottom w:val="none" w:sz="0" w:space="0" w:color="auto"/>
        <w:right w:val="none" w:sz="0" w:space="0" w:color="auto"/>
      </w:divBdr>
    </w:div>
    <w:div w:id="842932281">
      <w:bodyDiv w:val="1"/>
      <w:marLeft w:val="0"/>
      <w:marRight w:val="0"/>
      <w:marTop w:val="0"/>
      <w:marBottom w:val="0"/>
      <w:divBdr>
        <w:top w:val="none" w:sz="0" w:space="0" w:color="auto"/>
        <w:left w:val="none" w:sz="0" w:space="0" w:color="auto"/>
        <w:bottom w:val="none" w:sz="0" w:space="0" w:color="auto"/>
        <w:right w:val="none" w:sz="0" w:space="0" w:color="auto"/>
      </w:divBdr>
    </w:div>
    <w:div w:id="844633426">
      <w:bodyDiv w:val="1"/>
      <w:marLeft w:val="0"/>
      <w:marRight w:val="0"/>
      <w:marTop w:val="0"/>
      <w:marBottom w:val="0"/>
      <w:divBdr>
        <w:top w:val="none" w:sz="0" w:space="0" w:color="auto"/>
        <w:left w:val="none" w:sz="0" w:space="0" w:color="auto"/>
        <w:bottom w:val="none" w:sz="0" w:space="0" w:color="auto"/>
        <w:right w:val="none" w:sz="0" w:space="0" w:color="auto"/>
      </w:divBdr>
    </w:div>
    <w:div w:id="856848277">
      <w:bodyDiv w:val="1"/>
      <w:marLeft w:val="0"/>
      <w:marRight w:val="0"/>
      <w:marTop w:val="0"/>
      <w:marBottom w:val="0"/>
      <w:divBdr>
        <w:top w:val="none" w:sz="0" w:space="0" w:color="auto"/>
        <w:left w:val="none" w:sz="0" w:space="0" w:color="auto"/>
        <w:bottom w:val="none" w:sz="0" w:space="0" w:color="auto"/>
        <w:right w:val="none" w:sz="0" w:space="0" w:color="auto"/>
      </w:divBdr>
    </w:div>
    <w:div w:id="905526482">
      <w:bodyDiv w:val="1"/>
      <w:marLeft w:val="0"/>
      <w:marRight w:val="0"/>
      <w:marTop w:val="0"/>
      <w:marBottom w:val="0"/>
      <w:divBdr>
        <w:top w:val="none" w:sz="0" w:space="0" w:color="auto"/>
        <w:left w:val="none" w:sz="0" w:space="0" w:color="auto"/>
        <w:bottom w:val="none" w:sz="0" w:space="0" w:color="auto"/>
        <w:right w:val="none" w:sz="0" w:space="0" w:color="auto"/>
      </w:divBdr>
    </w:div>
    <w:div w:id="913202085">
      <w:bodyDiv w:val="1"/>
      <w:marLeft w:val="0"/>
      <w:marRight w:val="0"/>
      <w:marTop w:val="0"/>
      <w:marBottom w:val="0"/>
      <w:divBdr>
        <w:top w:val="none" w:sz="0" w:space="0" w:color="auto"/>
        <w:left w:val="none" w:sz="0" w:space="0" w:color="auto"/>
        <w:bottom w:val="none" w:sz="0" w:space="0" w:color="auto"/>
        <w:right w:val="none" w:sz="0" w:space="0" w:color="auto"/>
      </w:divBdr>
    </w:div>
    <w:div w:id="915167436">
      <w:bodyDiv w:val="1"/>
      <w:marLeft w:val="0"/>
      <w:marRight w:val="0"/>
      <w:marTop w:val="0"/>
      <w:marBottom w:val="0"/>
      <w:divBdr>
        <w:top w:val="none" w:sz="0" w:space="0" w:color="auto"/>
        <w:left w:val="none" w:sz="0" w:space="0" w:color="auto"/>
        <w:bottom w:val="none" w:sz="0" w:space="0" w:color="auto"/>
        <w:right w:val="none" w:sz="0" w:space="0" w:color="auto"/>
      </w:divBdr>
    </w:div>
    <w:div w:id="925845969">
      <w:bodyDiv w:val="1"/>
      <w:marLeft w:val="0"/>
      <w:marRight w:val="0"/>
      <w:marTop w:val="0"/>
      <w:marBottom w:val="0"/>
      <w:divBdr>
        <w:top w:val="none" w:sz="0" w:space="0" w:color="auto"/>
        <w:left w:val="none" w:sz="0" w:space="0" w:color="auto"/>
        <w:bottom w:val="none" w:sz="0" w:space="0" w:color="auto"/>
        <w:right w:val="none" w:sz="0" w:space="0" w:color="auto"/>
      </w:divBdr>
    </w:div>
    <w:div w:id="927886802">
      <w:bodyDiv w:val="1"/>
      <w:marLeft w:val="0"/>
      <w:marRight w:val="0"/>
      <w:marTop w:val="0"/>
      <w:marBottom w:val="0"/>
      <w:divBdr>
        <w:top w:val="none" w:sz="0" w:space="0" w:color="auto"/>
        <w:left w:val="none" w:sz="0" w:space="0" w:color="auto"/>
        <w:bottom w:val="none" w:sz="0" w:space="0" w:color="auto"/>
        <w:right w:val="none" w:sz="0" w:space="0" w:color="auto"/>
      </w:divBdr>
    </w:div>
    <w:div w:id="963191340">
      <w:bodyDiv w:val="1"/>
      <w:marLeft w:val="0"/>
      <w:marRight w:val="0"/>
      <w:marTop w:val="0"/>
      <w:marBottom w:val="0"/>
      <w:divBdr>
        <w:top w:val="none" w:sz="0" w:space="0" w:color="auto"/>
        <w:left w:val="none" w:sz="0" w:space="0" w:color="auto"/>
        <w:bottom w:val="none" w:sz="0" w:space="0" w:color="auto"/>
        <w:right w:val="none" w:sz="0" w:space="0" w:color="auto"/>
      </w:divBdr>
    </w:div>
    <w:div w:id="975456353">
      <w:bodyDiv w:val="1"/>
      <w:marLeft w:val="0"/>
      <w:marRight w:val="0"/>
      <w:marTop w:val="0"/>
      <w:marBottom w:val="0"/>
      <w:divBdr>
        <w:top w:val="none" w:sz="0" w:space="0" w:color="auto"/>
        <w:left w:val="none" w:sz="0" w:space="0" w:color="auto"/>
        <w:bottom w:val="none" w:sz="0" w:space="0" w:color="auto"/>
        <w:right w:val="none" w:sz="0" w:space="0" w:color="auto"/>
      </w:divBdr>
    </w:div>
    <w:div w:id="1035736110">
      <w:bodyDiv w:val="1"/>
      <w:marLeft w:val="0"/>
      <w:marRight w:val="0"/>
      <w:marTop w:val="0"/>
      <w:marBottom w:val="0"/>
      <w:divBdr>
        <w:top w:val="none" w:sz="0" w:space="0" w:color="auto"/>
        <w:left w:val="none" w:sz="0" w:space="0" w:color="auto"/>
        <w:bottom w:val="none" w:sz="0" w:space="0" w:color="auto"/>
        <w:right w:val="none" w:sz="0" w:space="0" w:color="auto"/>
      </w:divBdr>
    </w:div>
    <w:div w:id="1040208771">
      <w:bodyDiv w:val="1"/>
      <w:marLeft w:val="0"/>
      <w:marRight w:val="0"/>
      <w:marTop w:val="0"/>
      <w:marBottom w:val="0"/>
      <w:divBdr>
        <w:top w:val="none" w:sz="0" w:space="0" w:color="auto"/>
        <w:left w:val="none" w:sz="0" w:space="0" w:color="auto"/>
        <w:bottom w:val="none" w:sz="0" w:space="0" w:color="auto"/>
        <w:right w:val="none" w:sz="0" w:space="0" w:color="auto"/>
      </w:divBdr>
    </w:div>
    <w:div w:id="1045257512">
      <w:bodyDiv w:val="1"/>
      <w:marLeft w:val="0"/>
      <w:marRight w:val="0"/>
      <w:marTop w:val="0"/>
      <w:marBottom w:val="0"/>
      <w:divBdr>
        <w:top w:val="none" w:sz="0" w:space="0" w:color="auto"/>
        <w:left w:val="none" w:sz="0" w:space="0" w:color="auto"/>
        <w:bottom w:val="none" w:sz="0" w:space="0" w:color="auto"/>
        <w:right w:val="none" w:sz="0" w:space="0" w:color="auto"/>
      </w:divBdr>
    </w:div>
    <w:div w:id="1105543062">
      <w:bodyDiv w:val="1"/>
      <w:marLeft w:val="0"/>
      <w:marRight w:val="0"/>
      <w:marTop w:val="0"/>
      <w:marBottom w:val="0"/>
      <w:divBdr>
        <w:top w:val="none" w:sz="0" w:space="0" w:color="auto"/>
        <w:left w:val="none" w:sz="0" w:space="0" w:color="auto"/>
        <w:bottom w:val="none" w:sz="0" w:space="0" w:color="auto"/>
        <w:right w:val="none" w:sz="0" w:space="0" w:color="auto"/>
      </w:divBdr>
    </w:div>
    <w:div w:id="1139375169">
      <w:bodyDiv w:val="1"/>
      <w:marLeft w:val="0"/>
      <w:marRight w:val="0"/>
      <w:marTop w:val="0"/>
      <w:marBottom w:val="0"/>
      <w:divBdr>
        <w:top w:val="none" w:sz="0" w:space="0" w:color="auto"/>
        <w:left w:val="none" w:sz="0" w:space="0" w:color="auto"/>
        <w:bottom w:val="none" w:sz="0" w:space="0" w:color="auto"/>
        <w:right w:val="none" w:sz="0" w:space="0" w:color="auto"/>
      </w:divBdr>
    </w:div>
    <w:div w:id="1147475288">
      <w:bodyDiv w:val="1"/>
      <w:marLeft w:val="0"/>
      <w:marRight w:val="0"/>
      <w:marTop w:val="0"/>
      <w:marBottom w:val="0"/>
      <w:divBdr>
        <w:top w:val="none" w:sz="0" w:space="0" w:color="auto"/>
        <w:left w:val="none" w:sz="0" w:space="0" w:color="auto"/>
        <w:bottom w:val="none" w:sz="0" w:space="0" w:color="auto"/>
        <w:right w:val="none" w:sz="0" w:space="0" w:color="auto"/>
      </w:divBdr>
    </w:div>
    <w:div w:id="1168406887">
      <w:bodyDiv w:val="1"/>
      <w:marLeft w:val="0"/>
      <w:marRight w:val="0"/>
      <w:marTop w:val="0"/>
      <w:marBottom w:val="0"/>
      <w:divBdr>
        <w:top w:val="none" w:sz="0" w:space="0" w:color="auto"/>
        <w:left w:val="none" w:sz="0" w:space="0" w:color="auto"/>
        <w:bottom w:val="none" w:sz="0" w:space="0" w:color="auto"/>
        <w:right w:val="none" w:sz="0" w:space="0" w:color="auto"/>
      </w:divBdr>
    </w:div>
    <w:div w:id="1177966263">
      <w:bodyDiv w:val="1"/>
      <w:marLeft w:val="0"/>
      <w:marRight w:val="0"/>
      <w:marTop w:val="0"/>
      <w:marBottom w:val="0"/>
      <w:divBdr>
        <w:top w:val="none" w:sz="0" w:space="0" w:color="auto"/>
        <w:left w:val="none" w:sz="0" w:space="0" w:color="auto"/>
        <w:bottom w:val="none" w:sz="0" w:space="0" w:color="auto"/>
        <w:right w:val="none" w:sz="0" w:space="0" w:color="auto"/>
      </w:divBdr>
    </w:div>
    <w:div w:id="1192380915">
      <w:bodyDiv w:val="1"/>
      <w:marLeft w:val="0"/>
      <w:marRight w:val="0"/>
      <w:marTop w:val="0"/>
      <w:marBottom w:val="0"/>
      <w:divBdr>
        <w:top w:val="none" w:sz="0" w:space="0" w:color="auto"/>
        <w:left w:val="none" w:sz="0" w:space="0" w:color="auto"/>
        <w:bottom w:val="none" w:sz="0" w:space="0" w:color="auto"/>
        <w:right w:val="none" w:sz="0" w:space="0" w:color="auto"/>
      </w:divBdr>
    </w:div>
    <w:div w:id="1244146821">
      <w:bodyDiv w:val="1"/>
      <w:marLeft w:val="0"/>
      <w:marRight w:val="0"/>
      <w:marTop w:val="0"/>
      <w:marBottom w:val="0"/>
      <w:divBdr>
        <w:top w:val="none" w:sz="0" w:space="0" w:color="auto"/>
        <w:left w:val="none" w:sz="0" w:space="0" w:color="auto"/>
        <w:bottom w:val="none" w:sz="0" w:space="0" w:color="auto"/>
        <w:right w:val="none" w:sz="0" w:space="0" w:color="auto"/>
      </w:divBdr>
    </w:div>
    <w:div w:id="1251042680">
      <w:bodyDiv w:val="1"/>
      <w:marLeft w:val="0"/>
      <w:marRight w:val="0"/>
      <w:marTop w:val="0"/>
      <w:marBottom w:val="0"/>
      <w:divBdr>
        <w:top w:val="none" w:sz="0" w:space="0" w:color="auto"/>
        <w:left w:val="none" w:sz="0" w:space="0" w:color="auto"/>
        <w:bottom w:val="none" w:sz="0" w:space="0" w:color="auto"/>
        <w:right w:val="none" w:sz="0" w:space="0" w:color="auto"/>
      </w:divBdr>
    </w:div>
    <w:div w:id="1279067588">
      <w:bodyDiv w:val="1"/>
      <w:marLeft w:val="0"/>
      <w:marRight w:val="0"/>
      <w:marTop w:val="0"/>
      <w:marBottom w:val="0"/>
      <w:divBdr>
        <w:top w:val="none" w:sz="0" w:space="0" w:color="auto"/>
        <w:left w:val="none" w:sz="0" w:space="0" w:color="auto"/>
        <w:bottom w:val="none" w:sz="0" w:space="0" w:color="auto"/>
        <w:right w:val="none" w:sz="0" w:space="0" w:color="auto"/>
      </w:divBdr>
    </w:div>
    <w:div w:id="1292132448">
      <w:bodyDiv w:val="1"/>
      <w:marLeft w:val="0"/>
      <w:marRight w:val="0"/>
      <w:marTop w:val="0"/>
      <w:marBottom w:val="0"/>
      <w:divBdr>
        <w:top w:val="none" w:sz="0" w:space="0" w:color="auto"/>
        <w:left w:val="none" w:sz="0" w:space="0" w:color="auto"/>
        <w:bottom w:val="none" w:sz="0" w:space="0" w:color="auto"/>
        <w:right w:val="none" w:sz="0" w:space="0" w:color="auto"/>
      </w:divBdr>
    </w:div>
    <w:div w:id="1294098550">
      <w:bodyDiv w:val="1"/>
      <w:marLeft w:val="0"/>
      <w:marRight w:val="0"/>
      <w:marTop w:val="0"/>
      <w:marBottom w:val="0"/>
      <w:divBdr>
        <w:top w:val="none" w:sz="0" w:space="0" w:color="auto"/>
        <w:left w:val="none" w:sz="0" w:space="0" w:color="auto"/>
        <w:bottom w:val="none" w:sz="0" w:space="0" w:color="auto"/>
        <w:right w:val="none" w:sz="0" w:space="0" w:color="auto"/>
      </w:divBdr>
    </w:div>
    <w:div w:id="1302155011">
      <w:bodyDiv w:val="1"/>
      <w:marLeft w:val="0"/>
      <w:marRight w:val="0"/>
      <w:marTop w:val="0"/>
      <w:marBottom w:val="0"/>
      <w:divBdr>
        <w:top w:val="none" w:sz="0" w:space="0" w:color="auto"/>
        <w:left w:val="none" w:sz="0" w:space="0" w:color="auto"/>
        <w:bottom w:val="none" w:sz="0" w:space="0" w:color="auto"/>
        <w:right w:val="none" w:sz="0" w:space="0" w:color="auto"/>
      </w:divBdr>
    </w:div>
    <w:div w:id="1315988833">
      <w:bodyDiv w:val="1"/>
      <w:marLeft w:val="0"/>
      <w:marRight w:val="0"/>
      <w:marTop w:val="0"/>
      <w:marBottom w:val="0"/>
      <w:divBdr>
        <w:top w:val="none" w:sz="0" w:space="0" w:color="auto"/>
        <w:left w:val="none" w:sz="0" w:space="0" w:color="auto"/>
        <w:bottom w:val="none" w:sz="0" w:space="0" w:color="auto"/>
        <w:right w:val="none" w:sz="0" w:space="0" w:color="auto"/>
      </w:divBdr>
    </w:div>
    <w:div w:id="1327441065">
      <w:bodyDiv w:val="1"/>
      <w:marLeft w:val="0"/>
      <w:marRight w:val="0"/>
      <w:marTop w:val="0"/>
      <w:marBottom w:val="0"/>
      <w:divBdr>
        <w:top w:val="none" w:sz="0" w:space="0" w:color="auto"/>
        <w:left w:val="none" w:sz="0" w:space="0" w:color="auto"/>
        <w:bottom w:val="none" w:sz="0" w:space="0" w:color="auto"/>
        <w:right w:val="none" w:sz="0" w:space="0" w:color="auto"/>
      </w:divBdr>
    </w:div>
    <w:div w:id="1339163444">
      <w:bodyDiv w:val="1"/>
      <w:marLeft w:val="0"/>
      <w:marRight w:val="0"/>
      <w:marTop w:val="0"/>
      <w:marBottom w:val="0"/>
      <w:divBdr>
        <w:top w:val="none" w:sz="0" w:space="0" w:color="auto"/>
        <w:left w:val="none" w:sz="0" w:space="0" w:color="auto"/>
        <w:bottom w:val="none" w:sz="0" w:space="0" w:color="auto"/>
        <w:right w:val="none" w:sz="0" w:space="0" w:color="auto"/>
      </w:divBdr>
    </w:div>
    <w:div w:id="1365329021">
      <w:bodyDiv w:val="1"/>
      <w:marLeft w:val="0"/>
      <w:marRight w:val="0"/>
      <w:marTop w:val="0"/>
      <w:marBottom w:val="0"/>
      <w:divBdr>
        <w:top w:val="none" w:sz="0" w:space="0" w:color="auto"/>
        <w:left w:val="none" w:sz="0" w:space="0" w:color="auto"/>
        <w:bottom w:val="none" w:sz="0" w:space="0" w:color="auto"/>
        <w:right w:val="none" w:sz="0" w:space="0" w:color="auto"/>
      </w:divBdr>
    </w:div>
    <w:div w:id="1382366366">
      <w:bodyDiv w:val="1"/>
      <w:marLeft w:val="0"/>
      <w:marRight w:val="0"/>
      <w:marTop w:val="0"/>
      <w:marBottom w:val="0"/>
      <w:divBdr>
        <w:top w:val="none" w:sz="0" w:space="0" w:color="auto"/>
        <w:left w:val="none" w:sz="0" w:space="0" w:color="auto"/>
        <w:bottom w:val="none" w:sz="0" w:space="0" w:color="auto"/>
        <w:right w:val="none" w:sz="0" w:space="0" w:color="auto"/>
      </w:divBdr>
    </w:div>
    <w:div w:id="1384407819">
      <w:bodyDiv w:val="1"/>
      <w:marLeft w:val="0"/>
      <w:marRight w:val="0"/>
      <w:marTop w:val="0"/>
      <w:marBottom w:val="0"/>
      <w:divBdr>
        <w:top w:val="none" w:sz="0" w:space="0" w:color="auto"/>
        <w:left w:val="none" w:sz="0" w:space="0" w:color="auto"/>
        <w:bottom w:val="none" w:sz="0" w:space="0" w:color="auto"/>
        <w:right w:val="none" w:sz="0" w:space="0" w:color="auto"/>
      </w:divBdr>
    </w:div>
    <w:div w:id="1392655806">
      <w:bodyDiv w:val="1"/>
      <w:marLeft w:val="0"/>
      <w:marRight w:val="0"/>
      <w:marTop w:val="0"/>
      <w:marBottom w:val="0"/>
      <w:divBdr>
        <w:top w:val="none" w:sz="0" w:space="0" w:color="auto"/>
        <w:left w:val="none" w:sz="0" w:space="0" w:color="auto"/>
        <w:bottom w:val="none" w:sz="0" w:space="0" w:color="auto"/>
        <w:right w:val="none" w:sz="0" w:space="0" w:color="auto"/>
      </w:divBdr>
    </w:div>
    <w:div w:id="1393041902">
      <w:bodyDiv w:val="1"/>
      <w:marLeft w:val="0"/>
      <w:marRight w:val="0"/>
      <w:marTop w:val="0"/>
      <w:marBottom w:val="0"/>
      <w:divBdr>
        <w:top w:val="none" w:sz="0" w:space="0" w:color="auto"/>
        <w:left w:val="none" w:sz="0" w:space="0" w:color="auto"/>
        <w:bottom w:val="none" w:sz="0" w:space="0" w:color="auto"/>
        <w:right w:val="none" w:sz="0" w:space="0" w:color="auto"/>
      </w:divBdr>
    </w:div>
    <w:div w:id="1400834104">
      <w:bodyDiv w:val="1"/>
      <w:marLeft w:val="0"/>
      <w:marRight w:val="0"/>
      <w:marTop w:val="0"/>
      <w:marBottom w:val="0"/>
      <w:divBdr>
        <w:top w:val="none" w:sz="0" w:space="0" w:color="auto"/>
        <w:left w:val="none" w:sz="0" w:space="0" w:color="auto"/>
        <w:bottom w:val="none" w:sz="0" w:space="0" w:color="auto"/>
        <w:right w:val="none" w:sz="0" w:space="0" w:color="auto"/>
      </w:divBdr>
    </w:div>
    <w:div w:id="1420567329">
      <w:bodyDiv w:val="1"/>
      <w:marLeft w:val="0"/>
      <w:marRight w:val="0"/>
      <w:marTop w:val="0"/>
      <w:marBottom w:val="0"/>
      <w:divBdr>
        <w:top w:val="none" w:sz="0" w:space="0" w:color="auto"/>
        <w:left w:val="none" w:sz="0" w:space="0" w:color="auto"/>
        <w:bottom w:val="none" w:sz="0" w:space="0" w:color="auto"/>
        <w:right w:val="none" w:sz="0" w:space="0" w:color="auto"/>
      </w:divBdr>
    </w:div>
    <w:div w:id="1441298020">
      <w:bodyDiv w:val="1"/>
      <w:marLeft w:val="0"/>
      <w:marRight w:val="0"/>
      <w:marTop w:val="0"/>
      <w:marBottom w:val="0"/>
      <w:divBdr>
        <w:top w:val="none" w:sz="0" w:space="0" w:color="auto"/>
        <w:left w:val="none" w:sz="0" w:space="0" w:color="auto"/>
        <w:bottom w:val="none" w:sz="0" w:space="0" w:color="auto"/>
        <w:right w:val="none" w:sz="0" w:space="0" w:color="auto"/>
      </w:divBdr>
    </w:div>
    <w:div w:id="1441758185">
      <w:bodyDiv w:val="1"/>
      <w:marLeft w:val="0"/>
      <w:marRight w:val="0"/>
      <w:marTop w:val="0"/>
      <w:marBottom w:val="0"/>
      <w:divBdr>
        <w:top w:val="none" w:sz="0" w:space="0" w:color="auto"/>
        <w:left w:val="none" w:sz="0" w:space="0" w:color="auto"/>
        <w:bottom w:val="none" w:sz="0" w:space="0" w:color="auto"/>
        <w:right w:val="none" w:sz="0" w:space="0" w:color="auto"/>
      </w:divBdr>
    </w:div>
    <w:div w:id="1446271484">
      <w:bodyDiv w:val="1"/>
      <w:marLeft w:val="0"/>
      <w:marRight w:val="0"/>
      <w:marTop w:val="0"/>
      <w:marBottom w:val="0"/>
      <w:divBdr>
        <w:top w:val="none" w:sz="0" w:space="0" w:color="auto"/>
        <w:left w:val="none" w:sz="0" w:space="0" w:color="auto"/>
        <w:bottom w:val="none" w:sz="0" w:space="0" w:color="auto"/>
        <w:right w:val="none" w:sz="0" w:space="0" w:color="auto"/>
      </w:divBdr>
    </w:div>
    <w:div w:id="1446659322">
      <w:bodyDiv w:val="1"/>
      <w:marLeft w:val="0"/>
      <w:marRight w:val="0"/>
      <w:marTop w:val="0"/>
      <w:marBottom w:val="0"/>
      <w:divBdr>
        <w:top w:val="none" w:sz="0" w:space="0" w:color="auto"/>
        <w:left w:val="none" w:sz="0" w:space="0" w:color="auto"/>
        <w:bottom w:val="none" w:sz="0" w:space="0" w:color="auto"/>
        <w:right w:val="none" w:sz="0" w:space="0" w:color="auto"/>
      </w:divBdr>
    </w:div>
    <w:div w:id="1451051321">
      <w:bodyDiv w:val="1"/>
      <w:marLeft w:val="0"/>
      <w:marRight w:val="0"/>
      <w:marTop w:val="0"/>
      <w:marBottom w:val="0"/>
      <w:divBdr>
        <w:top w:val="none" w:sz="0" w:space="0" w:color="auto"/>
        <w:left w:val="none" w:sz="0" w:space="0" w:color="auto"/>
        <w:bottom w:val="none" w:sz="0" w:space="0" w:color="auto"/>
        <w:right w:val="none" w:sz="0" w:space="0" w:color="auto"/>
      </w:divBdr>
    </w:div>
    <w:div w:id="1460488820">
      <w:bodyDiv w:val="1"/>
      <w:marLeft w:val="0"/>
      <w:marRight w:val="0"/>
      <w:marTop w:val="0"/>
      <w:marBottom w:val="0"/>
      <w:divBdr>
        <w:top w:val="none" w:sz="0" w:space="0" w:color="auto"/>
        <w:left w:val="none" w:sz="0" w:space="0" w:color="auto"/>
        <w:bottom w:val="none" w:sz="0" w:space="0" w:color="auto"/>
        <w:right w:val="none" w:sz="0" w:space="0" w:color="auto"/>
      </w:divBdr>
    </w:div>
    <w:div w:id="1470706189">
      <w:bodyDiv w:val="1"/>
      <w:marLeft w:val="0"/>
      <w:marRight w:val="0"/>
      <w:marTop w:val="0"/>
      <w:marBottom w:val="0"/>
      <w:divBdr>
        <w:top w:val="none" w:sz="0" w:space="0" w:color="auto"/>
        <w:left w:val="none" w:sz="0" w:space="0" w:color="auto"/>
        <w:bottom w:val="none" w:sz="0" w:space="0" w:color="auto"/>
        <w:right w:val="none" w:sz="0" w:space="0" w:color="auto"/>
      </w:divBdr>
    </w:div>
    <w:div w:id="1471240734">
      <w:bodyDiv w:val="1"/>
      <w:marLeft w:val="0"/>
      <w:marRight w:val="0"/>
      <w:marTop w:val="0"/>
      <w:marBottom w:val="0"/>
      <w:divBdr>
        <w:top w:val="none" w:sz="0" w:space="0" w:color="auto"/>
        <w:left w:val="none" w:sz="0" w:space="0" w:color="auto"/>
        <w:bottom w:val="none" w:sz="0" w:space="0" w:color="auto"/>
        <w:right w:val="none" w:sz="0" w:space="0" w:color="auto"/>
      </w:divBdr>
    </w:div>
    <w:div w:id="1476296613">
      <w:bodyDiv w:val="1"/>
      <w:marLeft w:val="0"/>
      <w:marRight w:val="0"/>
      <w:marTop w:val="0"/>
      <w:marBottom w:val="0"/>
      <w:divBdr>
        <w:top w:val="none" w:sz="0" w:space="0" w:color="auto"/>
        <w:left w:val="none" w:sz="0" w:space="0" w:color="auto"/>
        <w:bottom w:val="none" w:sz="0" w:space="0" w:color="auto"/>
        <w:right w:val="none" w:sz="0" w:space="0" w:color="auto"/>
      </w:divBdr>
    </w:div>
    <w:div w:id="1484420851">
      <w:bodyDiv w:val="1"/>
      <w:marLeft w:val="0"/>
      <w:marRight w:val="0"/>
      <w:marTop w:val="0"/>
      <w:marBottom w:val="0"/>
      <w:divBdr>
        <w:top w:val="none" w:sz="0" w:space="0" w:color="auto"/>
        <w:left w:val="none" w:sz="0" w:space="0" w:color="auto"/>
        <w:bottom w:val="none" w:sz="0" w:space="0" w:color="auto"/>
        <w:right w:val="none" w:sz="0" w:space="0" w:color="auto"/>
      </w:divBdr>
    </w:div>
    <w:div w:id="1489177190">
      <w:bodyDiv w:val="1"/>
      <w:marLeft w:val="0"/>
      <w:marRight w:val="0"/>
      <w:marTop w:val="0"/>
      <w:marBottom w:val="0"/>
      <w:divBdr>
        <w:top w:val="none" w:sz="0" w:space="0" w:color="auto"/>
        <w:left w:val="none" w:sz="0" w:space="0" w:color="auto"/>
        <w:bottom w:val="none" w:sz="0" w:space="0" w:color="auto"/>
        <w:right w:val="none" w:sz="0" w:space="0" w:color="auto"/>
      </w:divBdr>
    </w:div>
    <w:div w:id="1493981766">
      <w:bodyDiv w:val="1"/>
      <w:marLeft w:val="0"/>
      <w:marRight w:val="0"/>
      <w:marTop w:val="0"/>
      <w:marBottom w:val="0"/>
      <w:divBdr>
        <w:top w:val="none" w:sz="0" w:space="0" w:color="auto"/>
        <w:left w:val="none" w:sz="0" w:space="0" w:color="auto"/>
        <w:bottom w:val="none" w:sz="0" w:space="0" w:color="auto"/>
        <w:right w:val="none" w:sz="0" w:space="0" w:color="auto"/>
      </w:divBdr>
    </w:div>
    <w:div w:id="1526865649">
      <w:bodyDiv w:val="1"/>
      <w:marLeft w:val="0"/>
      <w:marRight w:val="0"/>
      <w:marTop w:val="0"/>
      <w:marBottom w:val="0"/>
      <w:divBdr>
        <w:top w:val="none" w:sz="0" w:space="0" w:color="auto"/>
        <w:left w:val="none" w:sz="0" w:space="0" w:color="auto"/>
        <w:bottom w:val="none" w:sz="0" w:space="0" w:color="auto"/>
        <w:right w:val="none" w:sz="0" w:space="0" w:color="auto"/>
      </w:divBdr>
    </w:div>
    <w:div w:id="1542747760">
      <w:bodyDiv w:val="1"/>
      <w:marLeft w:val="0"/>
      <w:marRight w:val="0"/>
      <w:marTop w:val="0"/>
      <w:marBottom w:val="0"/>
      <w:divBdr>
        <w:top w:val="none" w:sz="0" w:space="0" w:color="auto"/>
        <w:left w:val="none" w:sz="0" w:space="0" w:color="auto"/>
        <w:bottom w:val="none" w:sz="0" w:space="0" w:color="auto"/>
        <w:right w:val="none" w:sz="0" w:space="0" w:color="auto"/>
      </w:divBdr>
    </w:div>
    <w:div w:id="1558125763">
      <w:bodyDiv w:val="1"/>
      <w:marLeft w:val="0"/>
      <w:marRight w:val="0"/>
      <w:marTop w:val="0"/>
      <w:marBottom w:val="0"/>
      <w:divBdr>
        <w:top w:val="none" w:sz="0" w:space="0" w:color="auto"/>
        <w:left w:val="none" w:sz="0" w:space="0" w:color="auto"/>
        <w:bottom w:val="none" w:sz="0" w:space="0" w:color="auto"/>
        <w:right w:val="none" w:sz="0" w:space="0" w:color="auto"/>
      </w:divBdr>
    </w:div>
    <w:div w:id="1559049069">
      <w:bodyDiv w:val="1"/>
      <w:marLeft w:val="0"/>
      <w:marRight w:val="0"/>
      <w:marTop w:val="0"/>
      <w:marBottom w:val="0"/>
      <w:divBdr>
        <w:top w:val="none" w:sz="0" w:space="0" w:color="auto"/>
        <w:left w:val="none" w:sz="0" w:space="0" w:color="auto"/>
        <w:bottom w:val="none" w:sz="0" w:space="0" w:color="auto"/>
        <w:right w:val="none" w:sz="0" w:space="0" w:color="auto"/>
      </w:divBdr>
    </w:div>
    <w:div w:id="1571959175">
      <w:bodyDiv w:val="1"/>
      <w:marLeft w:val="0"/>
      <w:marRight w:val="0"/>
      <w:marTop w:val="0"/>
      <w:marBottom w:val="0"/>
      <w:divBdr>
        <w:top w:val="none" w:sz="0" w:space="0" w:color="auto"/>
        <w:left w:val="none" w:sz="0" w:space="0" w:color="auto"/>
        <w:bottom w:val="none" w:sz="0" w:space="0" w:color="auto"/>
        <w:right w:val="none" w:sz="0" w:space="0" w:color="auto"/>
      </w:divBdr>
    </w:div>
    <w:div w:id="1577595819">
      <w:bodyDiv w:val="1"/>
      <w:marLeft w:val="0"/>
      <w:marRight w:val="0"/>
      <w:marTop w:val="0"/>
      <w:marBottom w:val="0"/>
      <w:divBdr>
        <w:top w:val="none" w:sz="0" w:space="0" w:color="auto"/>
        <w:left w:val="none" w:sz="0" w:space="0" w:color="auto"/>
        <w:bottom w:val="none" w:sz="0" w:space="0" w:color="auto"/>
        <w:right w:val="none" w:sz="0" w:space="0" w:color="auto"/>
      </w:divBdr>
    </w:div>
    <w:div w:id="1636838136">
      <w:bodyDiv w:val="1"/>
      <w:marLeft w:val="0"/>
      <w:marRight w:val="0"/>
      <w:marTop w:val="0"/>
      <w:marBottom w:val="0"/>
      <w:divBdr>
        <w:top w:val="none" w:sz="0" w:space="0" w:color="auto"/>
        <w:left w:val="none" w:sz="0" w:space="0" w:color="auto"/>
        <w:bottom w:val="none" w:sz="0" w:space="0" w:color="auto"/>
        <w:right w:val="none" w:sz="0" w:space="0" w:color="auto"/>
      </w:divBdr>
    </w:div>
    <w:div w:id="1637445067">
      <w:bodyDiv w:val="1"/>
      <w:marLeft w:val="0"/>
      <w:marRight w:val="0"/>
      <w:marTop w:val="0"/>
      <w:marBottom w:val="0"/>
      <w:divBdr>
        <w:top w:val="none" w:sz="0" w:space="0" w:color="auto"/>
        <w:left w:val="none" w:sz="0" w:space="0" w:color="auto"/>
        <w:bottom w:val="none" w:sz="0" w:space="0" w:color="auto"/>
        <w:right w:val="none" w:sz="0" w:space="0" w:color="auto"/>
      </w:divBdr>
    </w:div>
    <w:div w:id="1637640923">
      <w:bodyDiv w:val="1"/>
      <w:marLeft w:val="0"/>
      <w:marRight w:val="0"/>
      <w:marTop w:val="0"/>
      <w:marBottom w:val="0"/>
      <w:divBdr>
        <w:top w:val="none" w:sz="0" w:space="0" w:color="auto"/>
        <w:left w:val="none" w:sz="0" w:space="0" w:color="auto"/>
        <w:bottom w:val="none" w:sz="0" w:space="0" w:color="auto"/>
        <w:right w:val="none" w:sz="0" w:space="0" w:color="auto"/>
      </w:divBdr>
    </w:div>
    <w:div w:id="1645429983">
      <w:bodyDiv w:val="1"/>
      <w:marLeft w:val="0"/>
      <w:marRight w:val="0"/>
      <w:marTop w:val="0"/>
      <w:marBottom w:val="0"/>
      <w:divBdr>
        <w:top w:val="none" w:sz="0" w:space="0" w:color="auto"/>
        <w:left w:val="none" w:sz="0" w:space="0" w:color="auto"/>
        <w:bottom w:val="none" w:sz="0" w:space="0" w:color="auto"/>
        <w:right w:val="none" w:sz="0" w:space="0" w:color="auto"/>
      </w:divBdr>
    </w:div>
    <w:div w:id="1652758245">
      <w:bodyDiv w:val="1"/>
      <w:marLeft w:val="0"/>
      <w:marRight w:val="0"/>
      <w:marTop w:val="0"/>
      <w:marBottom w:val="0"/>
      <w:divBdr>
        <w:top w:val="none" w:sz="0" w:space="0" w:color="auto"/>
        <w:left w:val="none" w:sz="0" w:space="0" w:color="auto"/>
        <w:bottom w:val="none" w:sz="0" w:space="0" w:color="auto"/>
        <w:right w:val="none" w:sz="0" w:space="0" w:color="auto"/>
      </w:divBdr>
    </w:div>
    <w:div w:id="1682396076">
      <w:bodyDiv w:val="1"/>
      <w:marLeft w:val="0"/>
      <w:marRight w:val="0"/>
      <w:marTop w:val="0"/>
      <w:marBottom w:val="0"/>
      <w:divBdr>
        <w:top w:val="none" w:sz="0" w:space="0" w:color="auto"/>
        <w:left w:val="none" w:sz="0" w:space="0" w:color="auto"/>
        <w:bottom w:val="none" w:sz="0" w:space="0" w:color="auto"/>
        <w:right w:val="none" w:sz="0" w:space="0" w:color="auto"/>
      </w:divBdr>
    </w:div>
    <w:div w:id="1712144282">
      <w:bodyDiv w:val="1"/>
      <w:marLeft w:val="0"/>
      <w:marRight w:val="0"/>
      <w:marTop w:val="0"/>
      <w:marBottom w:val="0"/>
      <w:divBdr>
        <w:top w:val="none" w:sz="0" w:space="0" w:color="auto"/>
        <w:left w:val="none" w:sz="0" w:space="0" w:color="auto"/>
        <w:bottom w:val="none" w:sz="0" w:space="0" w:color="auto"/>
        <w:right w:val="none" w:sz="0" w:space="0" w:color="auto"/>
      </w:divBdr>
    </w:div>
    <w:div w:id="1728797556">
      <w:bodyDiv w:val="1"/>
      <w:marLeft w:val="0"/>
      <w:marRight w:val="0"/>
      <w:marTop w:val="0"/>
      <w:marBottom w:val="0"/>
      <w:divBdr>
        <w:top w:val="none" w:sz="0" w:space="0" w:color="auto"/>
        <w:left w:val="none" w:sz="0" w:space="0" w:color="auto"/>
        <w:bottom w:val="none" w:sz="0" w:space="0" w:color="auto"/>
        <w:right w:val="none" w:sz="0" w:space="0" w:color="auto"/>
      </w:divBdr>
    </w:div>
    <w:div w:id="1731882688">
      <w:bodyDiv w:val="1"/>
      <w:marLeft w:val="0"/>
      <w:marRight w:val="0"/>
      <w:marTop w:val="0"/>
      <w:marBottom w:val="0"/>
      <w:divBdr>
        <w:top w:val="none" w:sz="0" w:space="0" w:color="auto"/>
        <w:left w:val="none" w:sz="0" w:space="0" w:color="auto"/>
        <w:bottom w:val="none" w:sz="0" w:space="0" w:color="auto"/>
        <w:right w:val="none" w:sz="0" w:space="0" w:color="auto"/>
      </w:divBdr>
    </w:div>
    <w:div w:id="1742560371">
      <w:bodyDiv w:val="1"/>
      <w:marLeft w:val="0"/>
      <w:marRight w:val="0"/>
      <w:marTop w:val="0"/>
      <w:marBottom w:val="0"/>
      <w:divBdr>
        <w:top w:val="none" w:sz="0" w:space="0" w:color="auto"/>
        <w:left w:val="none" w:sz="0" w:space="0" w:color="auto"/>
        <w:bottom w:val="none" w:sz="0" w:space="0" w:color="auto"/>
        <w:right w:val="none" w:sz="0" w:space="0" w:color="auto"/>
      </w:divBdr>
    </w:div>
    <w:div w:id="1746802825">
      <w:bodyDiv w:val="1"/>
      <w:marLeft w:val="0"/>
      <w:marRight w:val="0"/>
      <w:marTop w:val="0"/>
      <w:marBottom w:val="0"/>
      <w:divBdr>
        <w:top w:val="none" w:sz="0" w:space="0" w:color="auto"/>
        <w:left w:val="none" w:sz="0" w:space="0" w:color="auto"/>
        <w:bottom w:val="none" w:sz="0" w:space="0" w:color="auto"/>
        <w:right w:val="none" w:sz="0" w:space="0" w:color="auto"/>
      </w:divBdr>
    </w:div>
    <w:div w:id="1748310316">
      <w:bodyDiv w:val="1"/>
      <w:marLeft w:val="0"/>
      <w:marRight w:val="0"/>
      <w:marTop w:val="0"/>
      <w:marBottom w:val="0"/>
      <w:divBdr>
        <w:top w:val="none" w:sz="0" w:space="0" w:color="auto"/>
        <w:left w:val="none" w:sz="0" w:space="0" w:color="auto"/>
        <w:bottom w:val="none" w:sz="0" w:space="0" w:color="auto"/>
        <w:right w:val="none" w:sz="0" w:space="0" w:color="auto"/>
      </w:divBdr>
    </w:div>
    <w:div w:id="1764951275">
      <w:bodyDiv w:val="1"/>
      <w:marLeft w:val="0"/>
      <w:marRight w:val="0"/>
      <w:marTop w:val="0"/>
      <w:marBottom w:val="0"/>
      <w:divBdr>
        <w:top w:val="none" w:sz="0" w:space="0" w:color="auto"/>
        <w:left w:val="none" w:sz="0" w:space="0" w:color="auto"/>
        <w:bottom w:val="none" w:sz="0" w:space="0" w:color="auto"/>
        <w:right w:val="none" w:sz="0" w:space="0" w:color="auto"/>
      </w:divBdr>
    </w:div>
    <w:div w:id="1770999209">
      <w:bodyDiv w:val="1"/>
      <w:marLeft w:val="0"/>
      <w:marRight w:val="0"/>
      <w:marTop w:val="0"/>
      <w:marBottom w:val="0"/>
      <w:divBdr>
        <w:top w:val="none" w:sz="0" w:space="0" w:color="auto"/>
        <w:left w:val="none" w:sz="0" w:space="0" w:color="auto"/>
        <w:bottom w:val="none" w:sz="0" w:space="0" w:color="auto"/>
        <w:right w:val="none" w:sz="0" w:space="0" w:color="auto"/>
      </w:divBdr>
    </w:div>
    <w:div w:id="1785225932">
      <w:bodyDiv w:val="1"/>
      <w:marLeft w:val="0"/>
      <w:marRight w:val="0"/>
      <w:marTop w:val="0"/>
      <w:marBottom w:val="0"/>
      <w:divBdr>
        <w:top w:val="none" w:sz="0" w:space="0" w:color="auto"/>
        <w:left w:val="none" w:sz="0" w:space="0" w:color="auto"/>
        <w:bottom w:val="none" w:sz="0" w:space="0" w:color="auto"/>
        <w:right w:val="none" w:sz="0" w:space="0" w:color="auto"/>
      </w:divBdr>
    </w:div>
    <w:div w:id="1786659387">
      <w:bodyDiv w:val="1"/>
      <w:marLeft w:val="0"/>
      <w:marRight w:val="0"/>
      <w:marTop w:val="0"/>
      <w:marBottom w:val="0"/>
      <w:divBdr>
        <w:top w:val="none" w:sz="0" w:space="0" w:color="auto"/>
        <w:left w:val="none" w:sz="0" w:space="0" w:color="auto"/>
        <w:bottom w:val="none" w:sz="0" w:space="0" w:color="auto"/>
        <w:right w:val="none" w:sz="0" w:space="0" w:color="auto"/>
      </w:divBdr>
    </w:div>
    <w:div w:id="1801680397">
      <w:bodyDiv w:val="1"/>
      <w:marLeft w:val="0"/>
      <w:marRight w:val="0"/>
      <w:marTop w:val="0"/>
      <w:marBottom w:val="0"/>
      <w:divBdr>
        <w:top w:val="none" w:sz="0" w:space="0" w:color="auto"/>
        <w:left w:val="none" w:sz="0" w:space="0" w:color="auto"/>
        <w:bottom w:val="none" w:sz="0" w:space="0" w:color="auto"/>
        <w:right w:val="none" w:sz="0" w:space="0" w:color="auto"/>
      </w:divBdr>
    </w:div>
    <w:div w:id="1822378988">
      <w:bodyDiv w:val="1"/>
      <w:marLeft w:val="0"/>
      <w:marRight w:val="0"/>
      <w:marTop w:val="0"/>
      <w:marBottom w:val="0"/>
      <w:divBdr>
        <w:top w:val="none" w:sz="0" w:space="0" w:color="auto"/>
        <w:left w:val="none" w:sz="0" w:space="0" w:color="auto"/>
        <w:bottom w:val="none" w:sz="0" w:space="0" w:color="auto"/>
        <w:right w:val="none" w:sz="0" w:space="0" w:color="auto"/>
      </w:divBdr>
    </w:div>
    <w:div w:id="1841457332">
      <w:bodyDiv w:val="1"/>
      <w:marLeft w:val="0"/>
      <w:marRight w:val="0"/>
      <w:marTop w:val="0"/>
      <w:marBottom w:val="0"/>
      <w:divBdr>
        <w:top w:val="none" w:sz="0" w:space="0" w:color="auto"/>
        <w:left w:val="none" w:sz="0" w:space="0" w:color="auto"/>
        <w:bottom w:val="none" w:sz="0" w:space="0" w:color="auto"/>
        <w:right w:val="none" w:sz="0" w:space="0" w:color="auto"/>
      </w:divBdr>
    </w:div>
    <w:div w:id="1846046343">
      <w:bodyDiv w:val="1"/>
      <w:marLeft w:val="0"/>
      <w:marRight w:val="0"/>
      <w:marTop w:val="0"/>
      <w:marBottom w:val="0"/>
      <w:divBdr>
        <w:top w:val="none" w:sz="0" w:space="0" w:color="auto"/>
        <w:left w:val="none" w:sz="0" w:space="0" w:color="auto"/>
        <w:bottom w:val="none" w:sz="0" w:space="0" w:color="auto"/>
        <w:right w:val="none" w:sz="0" w:space="0" w:color="auto"/>
      </w:divBdr>
    </w:div>
    <w:div w:id="1859350132">
      <w:bodyDiv w:val="1"/>
      <w:marLeft w:val="0"/>
      <w:marRight w:val="0"/>
      <w:marTop w:val="0"/>
      <w:marBottom w:val="0"/>
      <w:divBdr>
        <w:top w:val="none" w:sz="0" w:space="0" w:color="auto"/>
        <w:left w:val="none" w:sz="0" w:space="0" w:color="auto"/>
        <w:bottom w:val="none" w:sz="0" w:space="0" w:color="auto"/>
        <w:right w:val="none" w:sz="0" w:space="0" w:color="auto"/>
      </w:divBdr>
    </w:div>
    <w:div w:id="1873154859">
      <w:bodyDiv w:val="1"/>
      <w:marLeft w:val="0"/>
      <w:marRight w:val="0"/>
      <w:marTop w:val="0"/>
      <w:marBottom w:val="0"/>
      <w:divBdr>
        <w:top w:val="none" w:sz="0" w:space="0" w:color="auto"/>
        <w:left w:val="none" w:sz="0" w:space="0" w:color="auto"/>
        <w:bottom w:val="none" w:sz="0" w:space="0" w:color="auto"/>
        <w:right w:val="none" w:sz="0" w:space="0" w:color="auto"/>
      </w:divBdr>
    </w:div>
    <w:div w:id="1876500426">
      <w:bodyDiv w:val="1"/>
      <w:marLeft w:val="0"/>
      <w:marRight w:val="0"/>
      <w:marTop w:val="0"/>
      <w:marBottom w:val="0"/>
      <w:divBdr>
        <w:top w:val="none" w:sz="0" w:space="0" w:color="auto"/>
        <w:left w:val="none" w:sz="0" w:space="0" w:color="auto"/>
        <w:bottom w:val="none" w:sz="0" w:space="0" w:color="auto"/>
        <w:right w:val="none" w:sz="0" w:space="0" w:color="auto"/>
      </w:divBdr>
    </w:div>
    <w:div w:id="1881354948">
      <w:bodyDiv w:val="1"/>
      <w:marLeft w:val="0"/>
      <w:marRight w:val="0"/>
      <w:marTop w:val="0"/>
      <w:marBottom w:val="0"/>
      <w:divBdr>
        <w:top w:val="none" w:sz="0" w:space="0" w:color="auto"/>
        <w:left w:val="none" w:sz="0" w:space="0" w:color="auto"/>
        <w:bottom w:val="none" w:sz="0" w:space="0" w:color="auto"/>
        <w:right w:val="none" w:sz="0" w:space="0" w:color="auto"/>
      </w:divBdr>
    </w:div>
    <w:div w:id="1893689539">
      <w:bodyDiv w:val="1"/>
      <w:marLeft w:val="0"/>
      <w:marRight w:val="0"/>
      <w:marTop w:val="0"/>
      <w:marBottom w:val="0"/>
      <w:divBdr>
        <w:top w:val="none" w:sz="0" w:space="0" w:color="auto"/>
        <w:left w:val="none" w:sz="0" w:space="0" w:color="auto"/>
        <w:bottom w:val="none" w:sz="0" w:space="0" w:color="auto"/>
        <w:right w:val="none" w:sz="0" w:space="0" w:color="auto"/>
      </w:divBdr>
    </w:div>
    <w:div w:id="1903245897">
      <w:bodyDiv w:val="1"/>
      <w:marLeft w:val="0"/>
      <w:marRight w:val="0"/>
      <w:marTop w:val="0"/>
      <w:marBottom w:val="0"/>
      <w:divBdr>
        <w:top w:val="none" w:sz="0" w:space="0" w:color="auto"/>
        <w:left w:val="none" w:sz="0" w:space="0" w:color="auto"/>
        <w:bottom w:val="none" w:sz="0" w:space="0" w:color="auto"/>
        <w:right w:val="none" w:sz="0" w:space="0" w:color="auto"/>
      </w:divBdr>
    </w:div>
    <w:div w:id="1904218741">
      <w:bodyDiv w:val="1"/>
      <w:marLeft w:val="0"/>
      <w:marRight w:val="0"/>
      <w:marTop w:val="0"/>
      <w:marBottom w:val="0"/>
      <w:divBdr>
        <w:top w:val="none" w:sz="0" w:space="0" w:color="auto"/>
        <w:left w:val="none" w:sz="0" w:space="0" w:color="auto"/>
        <w:bottom w:val="none" w:sz="0" w:space="0" w:color="auto"/>
        <w:right w:val="none" w:sz="0" w:space="0" w:color="auto"/>
      </w:divBdr>
    </w:div>
    <w:div w:id="1933272884">
      <w:bodyDiv w:val="1"/>
      <w:marLeft w:val="0"/>
      <w:marRight w:val="0"/>
      <w:marTop w:val="0"/>
      <w:marBottom w:val="0"/>
      <w:divBdr>
        <w:top w:val="none" w:sz="0" w:space="0" w:color="auto"/>
        <w:left w:val="none" w:sz="0" w:space="0" w:color="auto"/>
        <w:bottom w:val="none" w:sz="0" w:space="0" w:color="auto"/>
        <w:right w:val="none" w:sz="0" w:space="0" w:color="auto"/>
      </w:divBdr>
    </w:div>
    <w:div w:id="1937976663">
      <w:bodyDiv w:val="1"/>
      <w:marLeft w:val="0"/>
      <w:marRight w:val="0"/>
      <w:marTop w:val="0"/>
      <w:marBottom w:val="0"/>
      <w:divBdr>
        <w:top w:val="none" w:sz="0" w:space="0" w:color="auto"/>
        <w:left w:val="none" w:sz="0" w:space="0" w:color="auto"/>
        <w:bottom w:val="none" w:sz="0" w:space="0" w:color="auto"/>
        <w:right w:val="none" w:sz="0" w:space="0" w:color="auto"/>
      </w:divBdr>
    </w:div>
    <w:div w:id="1963220930">
      <w:bodyDiv w:val="1"/>
      <w:marLeft w:val="0"/>
      <w:marRight w:val="0"/>
      <w:marTop w:val="0"/>
      <w:marBottom w:val="0"/>
      <w:divBdr>
        <w:top w:val="none" w:sz="0" w:space="0" w:color="auto"/>
        <w:left w:val="none" w:sz="0" w:space="0" w:color="auto"/>
        <w:bottom w:val="none" w:sz="0" w:space="0" w:color="auto"/>
        <w:right w:val="none" w:sz="0" w:space="0" w:color="auto"/>
      </w:divBdr>
    </w:div>
    <w:div w:id="1986157872">
      <w:bodyDiv w:val="1"/>
      <w:marLeft w:val="0"/>
      <w:marRight w:val="0"/>
      <w:marTop w:val="0"/>
      <w:marBottom w:val="0"/>
      <w:divBdr>
        <w:top w:val="none" w:sz="0" w:space="0" w:color="auto"/>
        <w:left w:val="none" w:sz="0" w:space="0" w:color="auto"/>
        <w:bottom w:val="none" w:sz="0" w:space="0" w:color="auto"/>
        <w:right w:val="none" w:sz="0" w:space="0" w:color="auto"/>
      </w:divBdr>
    </w:div>
    <w:div w:id="2023124155">
      <w:bodyDiv w:val="1"/>
      <w:marLeft w:val="0"/>
      <w:marRight w:val="0"/>
      <w:marTop w:val="0"/>
      <w:marBottom w:val="0"/>
      <w:divBdr>
        <w:top w:val="none" w:sz="0" w:space="0" w:color="auto"/>
        <w:left w:val="none" w:sz="0" w:space="0" w:color="auto"/>
        <w:bottom w:val="none" w:sz="0" w:space="0" w:color="auto"/>
        <w:right w:val="none" w:sz="0" w:space="0" w:color="auto"/>
      </w:divBdr>
    </w:div>
    <w:div w:id="2031711757">
      <w:bodyDiv w:val="1"/>
      <w:marLeft w:val="0"/>
      <w:marRight w:val="0"/>
      <w:marTop w:val="0"/>
      <w:marBottom w:val="0"/>
      <w:divBdr>
        <w:top w:val="none" w:sz="0" w:space="0" w:color="auto"/>
        <w:left w:val="none" w:sz="0" w:space="0" w:color="auto"/>
        <w:bottom w:val="none" w:sz="0" w:space="0" w:color="auto"/>
        <w:right w:val="none" w:sz="0" w:space="0" w:color="auto"/>
      </w:divBdr>
    </w:div>
    <w:div w:id="2063098007">
      <w:bodyDiv w:val="1"/>
      <w:marLeft w:val="0"/>
      <w:marRight w:val="0"/>
      <w:marTop w:val="0"/>
      <w:marBottom w:val="0"/>
      <w:divBdr>
        <w:top w:val="none" w:sz="0" w:space="0" w:color="auto"/>
        <w:left w:val="none" w:sz="0" w:space="0" w:color="auto"/>
        <w:bottom w:val="none" w:sz="0" w:space="0" w:color="auto"/>
        <w:right w:val="none" w:sz="0" w:space="0" w:color="auto"/>
      </w:divBdr>
    </w:div>
    <w:div w:id="2079473485">
      <w:bodyDiv w:val="1"/>
      <w:marLeft w:val="0"/>
      <w:marRight w:val="0"/>
      <w:marTop w:val="0"/>
      <w:marBottom w:val="0"/>
      <w:divBdr>
        <w:top w:val="none" w:sz="0" w:space="0" w:color="auto"/>
        <w:left w:val="none" w:sz="0" w:space="0" w:color="auto"/>
        <w:bottom w:val="none" w:sz="0" w:space="0" w:color="auto"/>
        <w:right w:val="none" w:sz="0" w:space="0" w:color="auto"/>
      </w:divBdr>
    </w:div>
    <w:div w:id="2136215982">
      <w:bodyDiv w:val="1"/>
      <w:marLeft w:val="0"/>
      <w:marRight w:val="0"/>
      <w:marTop w:val="0"/>
      <w:marBottom w:val="0"/>
      <w:divBdr>
        <w:top w:val="none" w:sz="0" w:space="0" w:color="auto"/>
        <w:left w:val="none" w:sz="0" w:space="0" w:color="auto"/>
        <w:bottom w:val="none" w:sz="0" w:space="0" w:color="auto"/>
        <w:right w:val="none" w:sz="0" w:space="0" w:color="auto"/>
      </w:divBdr>
    </w:div>
    <w:div w:id="21463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package" Target="embeddings/Microsoft_Excel_Worksheet5.xls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package" Target="embeddings/Microsoft_Excel_Worksheet18.xlsx"/><Relationship Id="rId50" Type="http://schemas.openxmlformats.org/officeDocument/2006/relationships/image" Target="media/image23.emf"/><Relationship Id="rId55" Type="http://schemas.openxmlformats.org/officeDocument/2006/relationships/package" Target="embeddings/Microsoft_Excel_Worksheet22.xlsx"/><Relationship Id="rId63" Type="http://schemas.openxmlformats.org/officeDocument/2006/relationships/package" Target="embeddings/Microsoft_Excel_Worksheet26.xlsx"/><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package" Target="embeddings/Microsoft_Excel_Worksheet9.xlsx"/><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Excel_Worksheet13.xlsx"/><Relationship Id="rId40" Type="http://schemas.openxmlformats.org/officeDocument/2006/relationships/image" Target="media/image18.emf"/><Relationship Id="rId45" Type="http://schemas.openxmlformats.org/officeDocument/2006/relationships/package" Target="embeddings/Microsoft_Excel_Worksheet17.xlsx"/><Relationship Id="rId53" Type="http://schemas.openxmlformats.org/officeDocument/2006/relationships/package" Target="embeddings/Microsoft_Excel_Worksheet21.xlsx"/><Relationship Id="rId58" Type="http://schemas.openxmlformats.org/officeDocument/2006/relationships/image" Target="media/image27.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package" Target="embeddings/Microsoft_Excel_Worksheet25.xlsx"/><Relationship Id="rId19" Type="http://schemas.openxmlformats.org/officeDocument/2006/relationships/package" Target="embeddings/Microsoft_Excel_Worksheet4.xls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Excel_Worksheet8.xlsx"/><Relationship Id="rId30" Type="http://schemas.openxmlformats.org/officeDocument/2006/relationships/image" Target="media/image13.emf"/><Relationship Id="rId35" Type="http://schemas.openxmlformats.org/officeDocument/2006/relationships/package" Target="embeddings/Microsoft_Excel_Worksheet12.xlsx"/><Relationship Id="rId43" Type="http://schemas.openxmlformats.org/officeDocument/2006/relationships/package" Target="embeddings/Microsoft_Excel_Worksheet16.xlsx"/><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package" Target="embeddings/Microsoft_Excel_Worksheet20.xlsx"/><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Excel_Worksheet3.xlsx"/><Relationship Id="rId25" Type="http://schemas.openxmlformats.org/officeDocument/2006/relationships/package" Target="embeddings/Microsoft_Excel_Worksheet7.xlsx"/><Relationship Id="rId33" Type="http://schemas.openxmlformats.org/officeDocument/2006/relationships/package" Target="embeddings/Microsoft_Excel_Worksheet11.xlsx"/><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package" Target="embeddings/Microsoft_Excel_Worksheet24.xlsx"/><Relationship Id="rId20" Type="http://schemas.openxmlformats.org/officeDocument/2006/relationships/image" Target="media/image8.emf"/><Relationship Id="rId41" Type="http://schemas.openxmlformats.org/officeDocument/2006/relationships/package" Target="embeddings/Microsoft_Excel_Worksheet15.xlsx"/><Relationship Id="rId54" Type="http://schemas.openxmlformats.org/officeDocument/2006/relationships/image" Target="media/image25.emf"/><Relationship Id="rId62"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package" Target="embeddings/Microsoft_Excel_Worksheet19.xlsx"/><Relationship Id="rId57" Type="http://schemas.openxmlformats.org/officeDocument/2006/relationships/package" Target="embeddings/Microsoft_Excel_Worksheet23.xlsx"/><Relationship Id="rId10" Type="http://schemas.openxmlformats.org/officeDocument/2006/relationships/chart" Target="charts/chart1.xml"/><Relationship Id="rId31" Type="http://schemas.openxmlformats.org/officeDocument/2006/relationships/package" Target="embeddings/Microsoft_Excel_Worksheet10.xlsx"/><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package" Target="embeddings/Microsoft_Excel_Worksheet1.xlsx"/><Relationship Id="rId18" Type="http://schemas.openxmlformats.org/officeDocument/2006/relationships/image" Target="media/image7.emf"/><Relationship Id="rId39" Type="http://schemas.openxmlformats.org/officeDocument/2006/relationships/package" Target="embeddings/Microsoft_Excel_Worksheet14.xlsx"/></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3.5420178184444998E-2"/>
          <c:y val="2.4767801857585141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doughnutChart>
        <c:varyColors val="1"/>
        <c:ser>
          <c:idx val="0"/>
          <c:order val="0"/>
          <c:tx>
            <c:strRef>
              <c:f>Sheet1!$B$1</c:f>
              <c:strCache>
                <c:ptCount val="1"/>
                <c:pt idx="0">
                  <c:v>Revenue by segment
(C$ billion)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BBF0-405B-932F-FEC26A3C90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6-BBF0-405B-932F-FEC26A3C906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F0-405B-932F-FEC26A3C906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3-BBF0-405B-932F-FEC26A3C906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4-BBF0-405B-932F-FEC26A3C9061}"/>
              </c:ext>
            </c:extLst>
          </c:dPt>
          <c:dLbls>
            <c:dLbl>
              <c:idx val="0"/>
              <c:layout>
                <c:manualLayout>
                  <c:x val="0.13243438478208525"/>
                  <c:y val="-6.191950464396292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BBF0-405B-932F-FEC26A3C9061}"/>
                </c:ext>
              </c:extLst>
            </c:dLbl>
            <c:dLbl>
              <c:idx val="1"/>
              <c:layout>
                <c:manualLayout>
                  <c:x val="0.24560558632313989"/>
                  <c:y val="0"/>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BBF0-405B-932F-FEC26A3C9061}"/>
                </c:ext>
              </c:extLst>
            </c:dLbl>
            <c:dLbl>
              <c:idx val="2"/>
              <c:layout>
                <c:manualLayout>
                  <c:x val="-0.11317120154105466"/>
                  <c:y val="-8.6687306501547989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BBF0-405B-932F-FEC26A3C9061}"/>
                </c:ext>
              </c:extLst>
            </c:dLbl>
            <c:dLbl>
              <c:idx val="3"/>
              <c:layout>
                <c:manualLayout>
                  <c:x val="-0.10353960992053939"/>
                  <c:y val="-8.668730650154803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BBF0-405B-932F-FEC26A3C9061}"/>
                </c:ext>
              </c:extLst>
            </c:dLbl>
            <c:dLbl>
              <c:idx val="4"/>
              <c:layout>
                <c:manualLayout>
                  <c:x val="-2.1671081146159402E-2"/>
                  <c:y val="-0.14860681114551086"/>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BBF0-405B-932F-FEC26A3C9061}"/>
                </c:ext>
              </c:extLst>
            </c:dLbl>
            <c:numFmt formatCode="_(&quot;$&quot;* #,##0.0_);_(&quot;$&quot;* \(#,##0.0\);_(&quot;$&quot;* &quot;-&quot;?_);_(@_)"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5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P&amp;CB</c:v>
                </c:pt>
                <c:pt idx="1">
                  <c:v>Wealth Management</c:v>
                </c:pt>
                <c:pt idx="2">
                  <c:v>Capital Markets</c:v>
                </c:pt>
                <c:pt idx="3">
                  <c:v>Insurance</c:v>
                </c:pt>
                <c:pt idx="4">
                  <c:v>I&amp;TS</c:v>
                </c:pt>
              </c:strCache>
            </c:strRef>
          </c:cat>
          <c:val>
            <c:numRef>
              <c:f>Sheet1!$B$2:$B$6</c:f>
              <c:numCache>
                <c:formatCode>_("$"* #,##0.0_);_("$"* \(#,##0.0\);_("$"* "-"??_);_(@_)</c:formatCode>
                <c:ptCount val="5"/>
                <c:pt idx="0">
                  <c:v>18.3</c:v>
                </c:pt>
                <c:pt idx="1">
                  <c:v>13.3</c:v>
                </c:pt>
                <c:pt idx="2">
                  <c:v>10.199999999999999</c:v>
                </c:pt>
                <c:pt idx="3">
                  <c:v>5.6</c:v>
                </c:pt>
                <c:pt idx="4">
                  <c:v>2.2000000000000002</c:v>
                </c:pt>
              </c:numCache>
            </c:numRef>
          </c:val>
          <c:extLst>
            <c:ext xmlns:c16="http://schemas.microsoft.com/office/drawing/2014/chart" uri="{C3380CC4-5D6E-409C-BE32-E72D297353CC}">
              <c16:uniqueId val="{00000000-BBF0-405B-932F-FEC26A3C9061}"/>
            </c:ext>
          </c:extLst>
        </c:ser>
        <c:dLbls>
          <c:showLegendKey val="0"/>
          <c:showVal val="0"/>
          <c:showCatName val="0"/>
          <c:showSerName val="0"/>
          <c:showPercent val="0"/>
          <c:showBubbleSize val="0"/>
          <c:showLeaderLines val="0"/>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Joseph Siu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Bon22</b:Tag>
    <b:SourceType>JournalArticle</b:SourceType>
    <b:Guid>{8CFC30C4-BFC5-4075-BA49-988AB0DB351D}</b:Guid>
    <b:Author>
      <b:Author>
        <b:NameList>
          <b:Person>
            <b:Last>Bonham</b:Last>
            <b:First>M.</b:First>
          </b:Person>
        </b:NameList>
      </b:Author>
    </b:Author>
    <b:Title>Royal Bank of Canada (RBC)</b:Title>
    <b:Year>2022</b:Year>
    <b:JournalName>The Canadian Encyclopedia</b:JournalName>
    <b:URL>https://www.thecanadianencyclopedia.ca/en/article/royal-bank-of-canada</b:URL>
    <b:RefOrder>1</b:RefOrder>
  </b:Source>
  <b:Source>
    <b:Tag>RBC1</b:Tag>
    <b:SourceType>Report</b:SourceType>
    <b:Guid>{53B433B8-CE35-4DE1-98BF-E26EBC0CFA9D}</b:Guid>
    <b:Author>
      <b:Author>
        <b:Corporate>Royal Bank of Canada</b:Corporate>
      </b:Author>
    </b:Author>
    <b:Title>Annual Report 2021</b:Title>
    <b:Year>2021</b:Year>
    <b:URL>https://www.rbc.com/investor-relations/_assets-custom/pdf/ar_2021_e.pdf</b:URL>
    <b:RefOrder>4</b:RefOrder>
  </b:Source>
  <b:Source>
    <b:Tag>RBC2</b:Tag>
    <b:SourceType>InternetSite</b:SourceType>
    <b:Guid>{BA3AB142-B765-409B-9FCC-A665ED2ABDB4}</b:Guid>
    <b:Title>RBC Capital Markets | Our Offices | Canada</b:Title>
    <b:Author>
      <b:Author>
        <b:Corporate>Royal Bank of Canada</b:Corporate>
      </b:Author>
    </b:Author>
    <b:InternetSiteTitle>Royal Bank of Canada</b:InternetSiteTitle>
    <b:URL>https://www.rbccm.com/en/offices/canada.page</b:URL>
    <b:Year>n.d.-a</b:Year>
    <b:RefOrder>2</b:RefOrder>
  </b:Source>
  <b:Source>
    <b:Tag>RBC3</b:Tag>
    <b:SourceType>InternetSite</b:SourceType>
    <b:Guid>{46FD2A46-2B1F-49C3-9C15-13DE269C52F1}</b:Guid>
    <b:Author>
      <b:Author>
        <b:Corporate>Royal Bank of Canada</b:Corporate>
      </b:Author>
    </b:Author>
    <b:URL>https://www.rbc.com/our-company/index.html</b:URL>
    <b:Title>Our Company</b:Title>
    <b:Year>n.d.-b</b:Year>
    <b:RefOrder>3</b:RefOrder>
  </b:Source>
  <b:Source>
    <b:Tag>Scotiabank</b:Tag>
    <b:SourceType>Report</b:SourceType>
    <b:Guid>{BFEB981A-2B5A-497B-AFA5-9B40F3E59777}</b:Guid>
    <b:Title>2021 Annual Report</b:Title>
    <b:Year>2021</b:Year>
    <b:URL>https://www.scotiabank.com/content/dam/scotiabank/corporate/quarterly-reports/2021/q4/Annual_Report_2021_AODA_EN.pdf</b:URL>
    <b:Author>
      <b:Author>
        <b:Corporate>Scotiabank</b:Corporate>
      </b:Author>
    </b:Author>
    <b:RefOrder>6</b:RefOrder>
  </b:Source>
  <b:Source>
    <b:Tag>Bon221</b:Tag>
    <b:SourceType>JournalArticle</b:SourceType>
    <b:Guid>{79745636-12A4-4EB1-9D71-E3708D463E53}</b:Guid>
    <b:Title>Bank of Nova Scotia (Scotiabank)</b:Title>
    <b:Author>
      <b:Author>
        <b:NameList>
          <b:Person>
            <b:Last>Bonham</b:Last>
            <b:First>M.</b:First>
          </b:Person>
        </b:NameList>
      </b:Author>
    </b:Author>
    <b:JournalName>In The Canadian Encyclopedia</b:JournalName>
    <b:Year>2022</b:Year>
    <b:URL>https://www.thecanadianencyclopedia.ca/en/article/bank-of-nova-scotia</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BBA66-5F7A-45E4-9C66-62461AF4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28</Pages>
  <Words>5613</Words>
  <Characters>31998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Financial analysis report</vt:lpstr>
    </vt:vector>
  </TitlesOfParts>
  <Company/>
  <LinksUpToDate>false</LinksUpToDate>
  <CharactersWithSpaces>37536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 report</dc:title>
  <dc:subject>Royal Bank of Canada &amp; Bank of Nova Scotia</dc:subject>
  <dc:creator>Joseph Siu</dc:creator>
  <cp:keywords/>
  <dc:description/>
  <cp:lastModifiedBy>Joseph Siu</cp:lastModifiedBy>
  <cp:revision>285</cp:revision>
  <dcterms:created xsi:type="dcterms:W3CDTF">2022-07-25T16:40:00Z</dcterms:created>
  <dcterms:modified xsi:type="dcterms:W3CDTF">2022-07-26T16:56:00Z</dcterms:modified>
</cp:coreProperties>
</file>