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2F751">
      <w:pPr>
        <w:pStyle w:val="31"/>
        <w:jc w:val="center"/>
      </w:pPr>
      <w:r>
        <w:rPr>
          <w:rFonts w:ascii="Arial" w:hAnsi="Arial" w:eastAsia="微软雅黑"/>
          <w:b/>
          <w:sz w:val="48"/>
        </w:rPr>
        <w:t>专利申请技术交底书</w:t>
      </w:r>
    </w:p>
    <w:p w14:paraId="4352D7AC">
      <w:pPr>
        <w:spacing w:after="360"/>
        <w:jc w:val="center"/>
      </w:pPr>
      <w:r>
        <w:rPr>
          <w:rFonts w:ascii="Arial" w:hAnsi="Arial" w:eastAsia="微软雅黑"/>
          <w:color w:val="555555"/>
          <w:sz w:val="22"/>
        </w:rPr>
        <w:t>项目：基于级联检测裁剪与差分注意力动态通道路由的大豆品种细粒度视觉分类方法及系统</w:t>
      </w:r>
    </w:p>
    <w:p w14:paraId="5B4D5F21">
      <w:pPr>
        <w:pStyle w:val="3"/>
      </w:pPr>
      <w:r>
        <w:t>一、申请人信息</w:t>
      </w:r>
    </w:p>
    <w:tbl>
      <w:tblPr>
        <w:tblStyle w:val="32"/>
        <w:tblW w:w="0" w:type="auto"/>
        <w:tblInd w:w="0" w:type="dxa"/>
        <w:tblLayout w:type="fixed"/>
        <w:tblCellMar>
          <w:top w:w="0" w:type="dxa"/>
          <w:left w:w="108" w:type="dxa"/>
          <w:bottom w:w="0" w:type="dxa"/>
          <w:right w:w="108" w:type="dxa"/>
        </w:tblCellMar>
      </w:tblPr>
      <w:tblGrid>
        <w:gridCol w:w="4680"/>
        <w:gridCol w:w="4680"/>
      </w:tblGrid>
      <w:tr w14:paraId="3E7B8967">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323D3FB6">
            <w:pPr>
              <w:spacing w:before="0" w:after="80" w:line="276" w:lineRule="auto"/>
            </w:pPr>
            <w:r>
              <w:rPr>
                <w:rFonts w:ascii="Arial" w:hAnsi="Arial" w:eastAsia="微软雅黑"/>
                <w:b/>
                <w:color w:val="000000"/>
                <w:sz w:val="21"/>
              </w:rPr>
              <w:t>申请人名称（个人/公司）</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33D4EC03">
            <w:pPr>
              <w:spacing w:before="0" w:after="80" w:line="276" w:lineRule="auto"/>
            </w:pPr>
          </w:p>
        </w:tc>
      </w:tr>
      <w:tr w14:paraId="78682F5E">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5269632F">
            <w:pPr>
              <w:spacing w:before="0" w:after="80" w:line="276" w:lineRule="auto"/>
            </w:pPr>
            <w:r>
              <w:rPr>
                <w:rFonts w:ascii="Arial" w:hAnsi="Arial" w:eastAsia="微软雅黑"/>
                <w:b/>
                <w:color w:val="000000"/>
                <w:sz w:val="21"/>
              </w:rPr>
              <w:t>申请人代码（个人身份证号码/公司组织机构代码）</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6428CCB7">
            <w:pPr>
              <w:spacing w:before="0" w:after="80" w:line="276" w:lineRule="auto"/>
            </w:pPr>
          </w:p>
        </w:tc>
      </w:tr>
      <w:tr w14:paraId="1B305950">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1F210F3F">
            <w:pPr>
              <w:spacing w:before="0" w:after="80" w:line="276" w:lineRule="auto"/>
            </w:pPr>
            <w:r>
              <w:rPr>
                <w:rFonts w:ascii="Arial" w:hAnsi="Arial" w:eastAsia="微软雅黑"/>
                <w:b/>
                <w:color w:val="000000"/>
                <w:sz w:val="21"/>
              </w:rPr>
              <w:t>申请人详细地址和邮编</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269326E3">
            <w:pPr>
              <w:spacing w:before="0" w:after="80" w:line="276" w:lineRule="auto"/>
            </w:pPr>
          </w:p>
        </w:tc>
      </w:tr>
      <w:tr w14:paraId="69AFF052">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5C16E75C">
            <w:pPr>
              <w:spacing w:before="0" w:after="80" w:line="276" w:lineRule="auto"/>
            </w:pPr>
            <w:r>
              <w:rPr>
                <w:rFonts w:ascii="Arial" w:hAnsi="Arial" w:eastAsia="微软雅黑"/>
                <w:b/>
                <w:color w:val="000000"/>
                <w:sz w:val="21"/>
              </w:rPr>
              <w:t>申请人电话</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60E7718B">
            <w:pPr>
              <w:spacing w:before="0" w:after="80" w:line="276" w:lineRule="auto"/>
            </w:pPr>
          </w:p>
        </w:tc>
      </w:tr>
    </w:tbl>
    <w:p w14:paraId="65185F71">
      <w:pPr>
        <w:pStyle w:val="3"/>
      </w:pPr>
      <w:r>
        <w:t>二、发明人信息</w:t>
      </w:r>
    </w:p>
    <w:tbl>
      <w:tblPr>
        <w:tblStyle w:val="32"/>
        <w:tblW w:w="0" w:type="auto"/>
        <w:tblInd w:w="0" w:type="dxa"/>
        <w:tblLayout w:type="fixed"/>
        <w:tblCellMar>
          <w:top w:w="0" w:type="dxa"/>
          <w:left w:w="108" w:type="dxa"/>
          <w:bottom w:w="0" w:type="dxa"/>
          <w:right w:w="108" w:type="dxa"/>
        </w:tblCellMar>
      </w:tblPr>
      <w:tblGrid>
        <w:gridCol w:w="4680"/>
        <w:gridCol w:w="4680"/>
      </w:tblGrid>
      <w:tr w14:paraId="2218B58B">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4DFE7036">
            <w:pPr>
              <w:spacing w:before="0" w:after="80" w:line="276" w:lineRule="auto"/>
            </w:pPr>
            <w:r>
              <w:rPr>
                <w:rFonts w:ascii="Arial" w:hAnsi="Arial" w:eastAsia="微软雅黑"/>
                <w:b/>
                <w:color w:val="000000"/>
                <w:sz w:val="21"/>
              </w:rPr>
              <w:t>发明人姓名</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50F0E383">
            <w:pPr>
              <w:spacing w:before="0" w:after="80" w:line="276" w:lineRule="auto"/>
            </w:pPr>
          </w:p>
        </w:tc>
      </w:tr>
      <w:tr w14:paraId="6C42F975">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61A26D1B">
            <w:pPr>
              <w:spacing w:before="0" w:after="80" w:line="276" w:lineRule="auto"/>
            </w:pPr>
            <w:r>
              <w:rPr>
                <w:rFonts w:ascii="Arial" w:hAnsi="Arial" w:eastAsia="微软雅黑"/>
                <w:b/>
                <w:color w:val="000000"/>
                <w:sz w:val="21"/>
              </w:rPr>
              <w:t>指定联系人</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4B392A3E">
            <w:pPr>
              <w:spacing w:before="0" w:after="80" w:line="276" w:lineRule="auto"/>
            </w:pPr>
          </w:p>
        </w:tc>
      </w:tr>
      <w:tr w14:paraId="6D561007">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4C59D521">
            <w:pPr>
              <w:spacing w:before="0" w:after="80" w:line="276" w:lineRule="auto"/>
            </w:pPr>
            <w:r>
              <w:rPr>
                <w:rFonts w:ascii="Arial" w:hAnsi="Arial" w:eastAsia="微软雅黑"/>
                <w:b/>
                <w:color w:val="000000"/>
                <w:sz w:val="21"/>
              </w:rPr>
              <w:t>指定联系人（手机/电话）</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00E512F6">
            <w:pPr>
              <w:spacing w:before="0" w:after="80" w:line="276" w:lineRule="auto"/>
            </w:pPr>
          </w:p>
        </w:tc>
      </w:tr>
      <w:tr w14:paraId="05EF41FC">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2237CA5B">
            <w:pPr>
              <w:spacing w:before="0" w:after="80" w:line="276" w:lineRule="auto"/>
            </w:pPr>
            <w:r>
              <w:rPr>
                <w:rFonts w:ascii="Arial" w:hAnsi="Arial" w:eastAsia="微软雅黑"/>
                <w:b/>
                <w:color w:val="000000"/>
                <w:sz w:val="21"/>
              </w:rPr>
              <w:t>指定联系信箱（非常重要）</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49D1FEC0">
            <w:pPr>
              <w:spacing w:before="0" w:after="80" w:line="276" w:lineRule="auto"/>
            </w:pPr>
          </w:p>
        </w:tc>
      </w:tr>
    </w:tbl>
    <w:p w14:paraId="5670E0C8">
      <w:pPr>
        <w:pStyle w:val="3"/>
      </w:pPr>
      <w:r>
        <w:t>三、申请专利用途</w:t>
      </w:r>
    </w:p>
    <w:tbl>
      <w:tblPr>
        <w:tblStyle w:val="32"/>
        <w:tblW w:w="0" w:type="auto"/>
        <w:tblInd w:w="0" w:type="dxa"/>
        <w:tblLayout w:type="fixed"/>
        <w:tblCellMar>
          <w:top w:w="0" w:type="dxa"/>
          <w:left w:w="108" w:type="dxa"/>
          <w:bottom w:w="0" w:type="dxa"/>
          <w:right w:w="108" w:type="dxa"/>
        </w:tblCellMar>
      </w:tblPr>
      <w:tblGrid>
        <w:gridCol w:w="4680"/>
        <w:gridCol w:w="4680"/>
      </w:tblGrid>
      <w:tr w14:paraId="7211550B">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3D44577D">
            <w:pPr>
              <w:spacing w:before="0" w:after="80" w:line="276" w:lineRule="auto"/>
            </w:pPr>
            <w:r>
              <w:rPr>
                <w:rFonts w:ascii="Arial" w:hAnsi="Arial" w:eastAsia="微软雅黑"/>
                <w:b/>
                <w:color w:val="000000"/>
                <w:sz w:val="21"/>
              </w:rPr>
              <w:t>申报项目</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260F36B7">
            <w:pPr>
              <w:spacing w:before="0" w:after="80" w:line="276" w:lineRule="auto"/>
            </w:pPr>
            <w:r>
              <w:rPr>
                <w:rFonts w:ascii="Arial" w:hAnsi="Arial" w:eastAsia="微软雅黑"/>
                <w:b w:val="0"/>
                <w:color w:val="000000"/>
                <w:sz w:val="21"/>
              </w:rPr>
              <w:t>该技术可用于农业表型智能识别、作物种质资源管理、育种材料快速初筛等项目。</w:t>
            </w:r>
          </w:p>
        </w:tc>
      </w:tr>
      <w:tr w14:paraId="73989602">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11A3E0BC">
            <w:pPr>
              <w:spacing w:before="0" w:after="80" w:line="276" w:lineRule="auto"/>
            </w:pPr>
            <w:r>
              <w:rPr>
                <w:rFonts w:ascii="Arial" w:hAnsi="Arial" w:eastAsia="微软雅黑"/>
                <w:b/>
                <w:color w:val="000000"/>
                <w:sz w:val="21"/>
              </w:rPr>
              <w:t>积累专利数量</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41BD5285">
            <w:pPr>
              <w:spacing w:before="0" w:after="80" w:line="276" w:lineRule="auto"/>
            </w:pPr>
            <w:r>
              <w:rPr>
                <w:rFonts w:ascii="Arial" w:hAnsi="Arial" w:eastAsia="微软雅黑"/>
                <w:b w:val="0"/>
                <w:color w:val="000000"/>
                <w:sz w:val="21"/>
              </w:rPr>
              <w:t>作为大豆品种细粒度视觉识别方向的核心算法储备，形成围绕检测、裁剪、分类、评估的一体化知识产权布局。</w:t>
            </w:r>
          </w:p>
        </w:tc>
      </w:tr>
      <w:tr w14:paraId="7B474516">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76BC49AC">
            <w:pPr>
              <w:spacing w:before="0" w:after="80" w:line="276" w:lineRule="auto"/>
            </w:pPr>
            <w:r>
              <w:rPr>
                <w:rFonts w:ascii="Arial" w:hAnsi="Arial" w:eastAsia="微软雅黑"/>
                <w:b/>
                <w:color w:val="000000"/>
                <w:sz w:val="21"/>
              </w:rPr>
              <w:t>保护该项技术</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3858E338">
            <w:pPr>
              <w:spacing w:before="0" w:after="80" w:line="276" w:lineRule="auto"/>
            </w:pPr>
            <w:r>
              <w:rPr>
                <w:rFonts w:ascii="Arial" w:hAnsi="Arial" w:eastAsia="微软雅黑"/>
                <w:b w:val="0"/>
                <w:color w:val="000000"/>
                <w:sz w:val="21"/>
              </w:rPr>
              <w:t>该技术面向大豆品种细粒度视觉分类的实际业务流程，涉及数据处理链路、模型结构改进和训练评估规范，适合作为进攻型专利保护对象。</w:t>
            </w:r>
          </w:p>
        </w:tc>
      </w:tr>
      <w:tr w14:paraId="2F26A759">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3D8AAD0B">
            <w:pPr>
              <w:spacing w:before="0" w:after="80" w:line="276" w:lineRule="auto"/>
            </w:pPr>
            <w:r>
              <w:rPr>
                <w:rFonts w:ascii="Arial" w:hAnsi="Arial" w:eastAsia="微软雅黑"/>
                <w:b/>
                <w:color w:val="000000"/>
                <w:sz w:val="21"/>
              </w:rPr>
              <w:t>授权许可他人</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6D5DC27C">
            <w:pPr>
              <w:spacing w:before="0" w:after="80" w:line="276" w:lineRule="auto"/>
            </w:pPr>
            <w:r>
              <w:rPr>
                <w:rFonts w:ascii="Arial" w:hAnsi="Arial" w:eastAsia="微软雅黑"/>
                <w:b w:val="0"/>
                <w:color w:val="000000"/>
                <w:sz w:val="21"/>
              </w:rPr>
              <w:t>可向农业科研单位、种业企业、智慧农业设备厂商或育种信息化平台提供算法授权、系统集成或模型服务。</w:t>
            </w:r>
          </w:p>
        </w:tc>
      </w:tr>
      <w:tr w14:paraId="59EBAE70">
        <w:tc>
          <w:tcPr>
            <w:tcW w:w="3168" w:type="dxa"/>
            <w:tcBorders>
              <w:top w:val="single" w:color="DADCE0" w:sz="6" w:space="0"/>
              <w:left w:val="single" w:color="DADCE0" w:sz="6" w:space="0"/>
              <w:bottom w:val="single" w:color="DADCE0" w:sz="6" w:space="0"/>
              <w:right w:val="single" w:color="DADCE0" w:sz="6" w:space="0"/>
            </w:tcBorders>
            <w:shd w:val="clear" w:color="auto" w:fill="F8F9FA"/>
            <w:tcMar>
              <w:top w:w="90" w:type="dxa"/>
              <w:left w:w="120" w:type="dxa"/>
              <w:bottom w:w="90" w:type="dxa"/>
              <w:right w:w="120" w:type="dxa"/>
            </w:tcMar>
            <w:vAlign w:val="center"/>
          </w:tcPr>
          <w:p w14:paraId="1C772E96">
            <w:pPr>
              <w:spacing w:before="0" w:after="80" w:line="276" w:lineRule="auto"/>
            </w:pPr>
            <w:r>
              <w:rPr>
                <w:rFonts w:ascii="Arial" w:hAnsi="Arial" w:eastAsia="微软雅黑"/>
                <w:b/>
                <w:color w:val="000000"/>
                <w:sz w:val="21"/>
              </w:rPr>
              <w:t>其它</w:t>
            </w:r>
          </w:p>
        </w:tc>
        <w:tc>
          <w:tcPr>
            <w:tcW w:w="6192"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6791E2C3">
            <w:pPr>
              <w:spacing w:before="0" w:after="80" w:line="276" w:lineRule="auto"/>
            </w:pPr>
            <w:r>
              <w:rPr>
                <w:rFonts w:ascii="Arial" w:hAnsi="Arial" w:eastAsia="微软雅黑"/>
                <w:b w:val="0"/>
                <w:color w:val="000000"/>
                <w:sz w:val="21"/>
              </w:rPr>
              <w:t>可作为企业或课题组在智慧农业、作物种质识别和农业视觉AI方向的技术积累与成果展示材料。</w:t>
            </w:r>
          </w:p>
        </w:tc>
      </w:tr>
    </w:tbl>
    <w:p w14:paraId="2ECB53F1">
      <w:pPr>
        <w:pStyle w:val="3"/>
      </w:pPr>
      <w:r>
        <w:t>四、发明内容描述</w:t>
      </w:r>
    </w:p>
    <w:p w14:paraId="0710536C">
      <w:pPr>
        <w:pStyle w:val="4"/>
      </w:pPr>
      <w:r>
        <w:t>1．专利名称</w:t>
      </w:r>
    </w:p>
    <w:tbl>
      <w:tblPr>
        <w:tblStyle w:val="32"/>
        <w:tblW w:w="0" w:type="auto"/>
        <w:tblInd w:w="0" w:type="dxa"/>
        <w:tblLayout w:type="fixed"/>
        <w:tblCellMar>
          <w:top w:w="0" w:type="dxa"/>
          <w:left w:w="108" w:type="dxa"/>
          <w:bottom w:w="0" w:type="dxa"/>
          <w:right w:w="108" w:type="dxa"/>
        </w:tblCellMar>
      </w:tblPr>
      <w:tblGrid>
        <w:gridCol w:w="9360"/>
      </w:tblGrid>
      <w:tr w14:paraId="45F589EF">
        <w:tc>
          <w:tcPr>
            <w:tcW w:w="9360"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45171B5B">
            <w:pPr>
              <w:spacing w:before="0" w:after="120" w:line="276" w:lineRule="auto"/>
            </w:pPr>
            <w:r>
              <w:rPr>
                <w:rFonts w:ascii="Arial" w:hAnsi="Arial" w:eastAsia="微软雅黑"/>
                <w:b w:val="0"/>
                <w:color w:val="000000"/>
                <w:sz w:val="21"/>
              </w:rPr>
              <w:t>一种基于级联检测裁剪与差分注意力动态通道路由的大豆品种细粒度视觉分类方法及系统</w:t>
            </w:r>
          </w:p>
        </w:tc>
      </w:tr>
    </w:tbl>
    <w:p w14:paraId="14DEC101">
      <w:pPr>
        <w:pStyle w:val="4"/>
      </w:pPr>
      <w:r>
        <w:t>2．现有技术中缺点的介绍与说明</w:t>
      </w:r>
    </w:p>
    <w:tbl>
      <w:tblPr>
        <w:tblStyle w:val="32"/>
        <w:tblW w:w="0" w:type="auto"/>
        <w:tblInd w:w="0" w:type="dxa"/>
        <w:tblLayout w:type="fixed"/>
        <w:tblCellMar>
          <w:top w:w="0" w:type="dxa"/>
          <w:left w:w="108" w:type="dxa"/>
          <w:bottom w:w="0" w:type="dxa"/>
          <w:right w:w="108" w:type="dxa"/>
        </w:tblCellMar>
      </w:tblPr>
      <w:tblGrid>
        <w:gridCol w:w="9360"/>
      </w:tblGrid>
      <w:tr w14:paraId="3B0F9F71">
        <w:tc>
          <w:tcPr>
            <w:tcW w:w="9360"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537C8A52">
            <w:pPr>
              <w:spacing w:before="0" w:after="60" w:line="276" w:lineRule="auto"/>
            </w:pPr>
            <w:r>
              <w:rPr>
                <w:rFonts w:ascii="Arial" w:hAnsi="Arial" w:eastAsia="微软雅黑"/>
                <w:b/>
                <w:color w:val="000000"/>
                <w:sz w:val="23"/>
              </w:rPr>
              <w:t>一．整图直接分类容易受到复杂背景和目标尺度变化干扰。</w:t>
            </w:r>
          </w:p>
          <w:p w14:paraId="39DAE5ED">
            <w:pPr>
              <w:spacing w:before="0" w:after="120" w:line="276" w:lineRule="auto"/>
            </w:pPr>
            <w:r>
              <w:rPr>
                <w:rFonts w:ascii="Arial" w:hAnsi="Arial" w:eastAsia="微软雅黑"/>
                <w:b w:val="0"/>
                <w:color w:val="000000"/>
                <w:sz w:val="21"/>
              </w:rPr>
              <w:t>大豆图像采集场景中通常包含背景、边缘遮挡、多个籽粒或非目标区域。如果直接将整张原始图像输入品种分类模型，模型可能学习到拍摄背景、摆放位置、光照条件等与品种无关的特征，导致分类结果在换场景或换批次时不稳定。</w:t>
            </w:r>
          </w:p>
          <w:p w14:paraId="06CE2092">
            <w:pPr>
              <w:spacing w:before="0" w:after="120" w:line="276" w:lineRule="auto"/>
            </w:pPr>
            <w:r>
              <w:rPr>
                <w:rFonts w:ascii="Arial" w:hAnsi="Arial" w:eastAsia="微软雅黑"/>
                <w:b w:val="0"/>
                <w:color w:val="000000"/>
                <w:sz w:val="21"/>
              </w:rPr>
              <w:t>现有普通图像分类流程往往忽略检测定位与人工校验裁剪环节，难以保证分类阶段输入的是单粒或局部目标区域，从而降低细粒度识别任务中的有效特征比例。</w:t>
            </w:r>
          </w:p>
          <w:p w14:paraId="5C0259D6">
            <w:pPr>
              <w:spacing w:before="0" w:after="60" w:line="276" w:lineRule="auto"/>
            </w:pPr>
            <w:r>
              <w:rPr>
                <w:rFonts w:ascii="Arial" w:hAnsi="Arial" w:eastAsia="微软雅黑"/>
                <w:b/>
                <w:color w:val="000000"/>
                <w:sz w:val="23"/>
              </w:rPr>
              <w:t>二．大豆品种之间外观差异细微，传统卷积或普通Transformer分类模型容易混淆相似类别。</w:t>
            </w:r>
          </w:p>
          <w:p w14:paraId="379A98BE">
            <w:pPr>
              <w:spacing w:before="0" w:after="120" w:line="276" w:lineRule="auto"/>
            </w:pPr>
            <w:r>
              <w:rPr>
                <w:rFonts w:ascii="Arial" w:hAnsi="Arial" w:eastAsia="微软雅黑"/>
                <w:b w:val="0"/>
                <w:color w:val="000000"/>
                <w:sz w:val="21"/>
              </w:rPr>
              <w:t>大豆品种细粒度识别依赖籽粒颜色、纹理、形态、局部斑纹和边缘轮廓等弱差异特征。不同品种之间可能高度相似，同一品种内部又可能因成熟度、角度、光照和裁剪尺度不同产生较大变化。</w:t>
            </w:r>
          </w:p>
          <w:p w14:paraId="09DBAC2E">
            <w:pPr>
              <w:spacing w:before="0" w:after="120" w:line="276" w:lineRule="auto"/>
            </w:pPr>
            <w:r>
              <w:rPr>
                <w:rFonts w:ascii="Arial" w:hAnsi="Arial" w:eastAsia="微软雅黑"/>
                <w:b w:val="0"/>
                <w:color w:val="000000"/>
                <w:sz w:val="21"/>
              </w:rPr>
              <w:t>普通分类模型在深层特征中可能更关注强响应区域，而忽略对区分相似品种有价值的细节差异；当类别间差异集中在局部纹理或弱边界信息时，模型容易发生跨品种混淆。</w:t>
            </w:r>
          </w:p>
          <w:p w14:paraId="3B243D7D">
            <w:pPr>
              <w:spacing w:before="0" w:after="60" w:line="276" w:lineRule="auto"/>
            </w:pPr>
            <w:r>
              <w:rPr>
                <w:rFonts w:ascii="Arial" w:hAnsi="Arial" w:eastAsia="微软雅黑"/>
                <w:b/>
                <w:color w:val="000000"/>
                <w:sz w:val="23"/>
              </w:rPr>
              <w:t>三．类别样本分布不均衡会影响长尾品种识别。</w:t>
            </w:r>
          </w:p>
          <w:p w14:paraId="7DED32BD">
            <w:pPr>
              <w:spacing w:before="0" w:after="120" w:line="276" w:lineRule="auto"/>
            </w:pPr>
            <w:r>
              <w:rPr>
                <w:rFonts w:ascii="Arial" w:hAnsi="Arial" w:eastAsia="微软雅黑"/>
                <w:b w:val="0"/>
                <w:color w:val="000000"/>
                <w:sz w:val="21"/>
              </w:rPr>
              <w:t>实际采集的大豆分类数据集中，不同品种的样本数量往往差别明显。样本量较少的品种在训练过程中贡献的梯度较少，容易被模型学习不足；样本量较多的品种则可能主导损失函数，使模型在总体准确率较高的情况下仍然牺牲少数类表现。</w:t>
            </w:r>
          </w:p>
          <w:p w14:paraId="3C1CEED6">
            <w:pPr>
              <w:spacing w:before="0" w:after="120" w:line="276" w:lineRule="auto"/>
            </w:pPr>
            <w:r>
              <w:rPr>
                <w:rFonts w:ascii="Arial" w:hAnsi="Arial" w:eastAsia="微软雅黑"/>
                <w:b w:val="0"/>
                <w:color w:val="000000"/>
                <w:sz w:val="21"/>
              </w:rPr>
              <w:t>如果只使用Accuracy作为模型选择指标，容易掩盖低样本类别和困难类别的识别缺陷，因此需要显式关注Macro-F1、per-class precision、recall、F1和support。</w:t>
            </w:r>
          </w:p>
          <w:p w14:paraId="7F146430">
            <w:pPr>
              <w:spacing w:before="0" w:after="60" w:line="276" w:lineRule="auto"/>
            </w:pPr>
            <w:r>
              <w:rPr>
                <w:rFonts w:ascii="Arial" w:hAnsi="Arial" w:eastAsia="微软雅黑"/>
                <w:b/>
                <w:color w:val="000000"/>
                <w:sz w:val="23"/>
              </w:rPr>
              <w:t>四．现有训练和评估流程容易出现不可复现或结构不一致问题。</w:t>
            </w:r>
          </w:p>
          <w:p w14:paraId="3689F737">
            <w:pPr>
              <w:spacing w:before="0" w:after="120" w:line="276" w:lineRule="auto"/>
            </w:pPr>
            <w:r>
              <w:rPr>
                <w:rFonts w:ascii="Arial" w:hAnsi="Arial" w:eastAsia="微软雅黑"/>
                <w:b w:val="0"/>
                <w:color w:val="000000"/>
                <w:sz w:val="21"/>
              </w:rPr>
              <w:t>细粒度分类模型的训练通常涉及预训练权重、数据增强、冻结预热、AMP、学习率调度和类别加权损失等因素。如果验证集或测试集使用随机增强，或者训练端和评估端模型结构不一致，评估结果将难以复现。</w:t>
            </w:r>
          </w:p>
          <w:p w14:paraId="230BFB9C">
            <w:pPr>
              <w:spacing w:before="0" w:after="120" w:line="276" w:lineRule="auto"/>
            </w:pPr>
            <w:r>
              <w:rPr>
                <w:rFonts w:ascii="Arial" w:hAnsi="Arial" w:eastAsia="微软雅黑"/>
                <w:b w:val="0"/>
                <w:color w:val="000000"/>
                <w:sz w:val="21"/>
              </w:rPr>
              <w:t>对于在Swin Transformer中注入自定义注意力或通道路由模块的模型，评估脚本必须先构建完全一致的结构再加载权重，否则会出现权重无法严格匹配、模块未生效或结果不可比较的问题。</w:t>
            </w:r>
          </w:p>
        </w:tc>
      </w:tr>
    </w:tbl>
    <w:p w14:paraId="03BB59BB">
      <w:pPr>
        <w:pStyle w:val="4"/>
      </w:pPr>
      <w:r>
        <w:t>3．本专利要解决的技术问题</w:t>
      </w:r>
    </w:p>
    <w:tbl>
      <w:tblPr>
        <w:tblStyle w:val="32"/>
        <w:tblW w:w="0" w:type="auto"/>
        <w:tblInd w:w="0" w:type="dxa"/>
        <w:tblLayout w:type="fixed"/>
        <w:tblCellMar>
          <w:top w:w="0" w:type="dxa"/>
          <w:left w:w="108" w:type="dxa"/>
          <w:bottom w:w="0" w:type="dxa"/>
          <w:right w:w="108" w:type="dxa"/>
        </w:tblCellMar>
      </w:tblPr>
      <w:tblGrid>
        <w:gridCol w:w="9360"/>
      </w:tblGrid>
      <w:tr w14:paraId="2DAC98E5">
        <w:tc>
          <w:tcPr>
            <w:tcW w:w="9360"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2DABDCFA">
            <w:pPr>
              <w:spacing w:before="0" w:after="60" w:line="276" w:lineRule="auto"/>
            </w:pPr>
            <w:r>
              <w:rPr>
                <w:rFonts w:ascii="Arial" w:hAnsi="Arial" w:eastAsia="微软雅黑"/>
                <w:b/>
                <w:color w:val="000000"/>
                <w:sz w:val="23"/>
              </w:rPr>
              <w:t>一．解决复杂原图到分类输入之间的目标区域一致性问题。</w:t>
            </w:r>
          </w:p>
          <w:p w14:paraId="73FAAD62">
            <w:pPr>
              <w:spacing w:before="0" w:after="120" w:line="276" w:lineRule="auto"/>
            </w:pPr>
            <w:r>
              <w:rPr>
                <w:rFonts w:ascii="Arial" w:hAnsi="Arial" w:eastAsia="微软雅黑"/>
                <w:b w:val="0"/>
                <w:color w:val="000000"/>
                <w:sz w:val="21"/>
              </w:rPr>
              <w:t>本专利拟解决原始图像背景复杂、目标位置不固定和多籽粒混杂对分类识别造成的干扰问题，通过检测定位与人工校验裁剪相结合，使分类模型处理的是经过清洗、裁剪并按类别组织的大豆单粒或局部图像。</w:t>
            </w:r>
          </w:p>
          <w:p w14:paraId="4606E8DD">
            <w:pPr>
              <w:spacing w:before="0" w:after="60" w:line="276" w:lineRule="auto"/>
            </w:pPr>
            <w:r>
              <w:rPr>
                <w:rFonts w:ascii="Arial" w:hAnsi="Arial" w:eastAsia="微软雅黑"/>
                <w:b/>
                <w:color w:val="000000"/>
                <w:sz w:val="23"/>
              </w:rPr>
              <w:t>二．解决相似品种间弱差异特征不易被模型稳定捕捉的问题。</w:t>
            </w:r>
          </w:p>
          <w:p w14:paraId="6A0F0BDC">
            <w:pPr>
              <w:spacing w:before="0" w:after="120" w:line="276" w:lineRule="auto"/>
            </w:pPr>
            <w:r>
              <w:rPr>
                <w:rFonts w:ascii="Arial" w:hAnsi="Arial" w:eastAsia="微软雅黑"/>
                <w:b w:val="0"/>
                <w:color w:val="000000"/>
                <w:sz w:val="21"/>
              </w:rPr>
              <w:t>本专利在Swin Transformer深层窗口注意力中引入差分注意力分支，使模型在保留原始窗口注意力表达的基础上，增加对轻量注意力分支与主注意力响应差异的建模能力，从而强化对局部纹理和弱判别区域的关注。</w:t>
            </w:r>
          </w:p>
          <w:p w14:paraId="55A70006">
            <w:pPr>
              <w:spacing w:before="0" w:after="60" w:line="276" w:lineRule="auto"/>
            </w:pPr>
            <w:r>
              <w:rPr>
                <w:rFonts w:ascii="Arial" w:hAnsi="Arial" w:eastAsia="微软雅黑"/>
                <w:b/>
                <w:color w:val="000000"/>
                <w:sz w:val="23"/>
              </w:rPr>
              <w:t>三．解决中高层通道特征缺乏动态复用的问题。</w:t>
            </w:r>
          </w:p>
          <w:p w14:paraId="108956D9">
            <w:pPr>
              <w:spacing w:before="0" w:after="120" w:line="276" w:lineRule="auto"/>
            </w:pPr>
            <w:r>
              <w:rPr>
                <w:rFonts w:ascii="Arial" w:hAnsi="Arial" w:eastAsia="微软雅黑"/>
                <w:b w:val="0"/>
                <w:color w:val="000000"/>
                <w:sz w:val="21"/>
              </w:rPr>
              <w:t>本专利在Stage 3内部引入动态残差通道路由机制，以若干anchor block的特征作为可路由上下文，并在target block处通过通道门控选择性注入，从而使模型能够在不破坏原始预训练主干的前提下增强中层判别信息流动。</w:t>
            </w:r>
          </w:p>
          <w:p w14:paraId="13AC1A0C">
            <w:pPr>
              <w:spacing w:before="0" w:after="60" w:line="276" w:lineRule="auto"/>
            </w:pPr>
            <w:r>
              <w:rPr>
                <w:rFonts w:ascii="Arial" w:hAnsi="Arial" w:eastAsia="微软雅黑"/>
                <w:b/>
                <w:color w:val="000000"/>
                <w:sz w:val="23"/>
              </w:rPr>
              <w:t>四．解决长尾类别和困难类别评估不充分的问题。</w:t>
            </w:r>
          </w:p>
          <w:p w14:paraId="4A1ACCFB">
            <w:pPr>
              <w:spacing w:before="0" w:after="120" w:line="276" w:lineRule="auto"/>
            </w:pPr>
            <w:r>
              <w:rPr>
                <w:rFonts w:ascii="Arial" w:hAnsi="Arial" w:eastAsia="微软雅黑"/>
                <w:b w:val="0"/>
                <w:color w:val="000000"/>
                <w:sz w:val="21"/>
              </w:rPr>
              <w:t>本专利采用类别加权交叉熵、标签平滑、分组学习率和Macro-F1优先的模型选择方式，并在评估阶段输出每类precision、recall、F1、support、混淆矩阵和预测明细，以便识别低F1或高混淆类别并指导后续数据补充。</w:t>
            </w:r>
          </w:p>
        </w:tc>
      </w:tr>
    </w:tbl>
    <w:p w14:paraId="4D7134E6">
      <w:pPr>
        <w:pStyle w:val="4"/>
      </w:pPr>
      <w:r>
        <w:t>4．详细说明专利“技术方案”的具体内容，并举例说明</w:t>
      </w:r>
    </w:p>
    <w:tbl>
      <w:tblPr>
        <w:tblStyle w:val="32"/>
        <w:tblW w:w="0" w:type="auto"/>
        <w:tblInd w:w="0" w:type="dxa"/>
        <w:tblLayout w:type="fixed"/>
        <w:tblCellMar>
          <w:top w:w="0" w:type="dxa"/>
          <w:left w:w="108" w:type="dxa"/>
          <w:bottom w:w="0" w:type="dxa"/>
          <w:right w:w="108" w:type="dxa"/>
        </w:tblCellMar>
      </w:tblPr>
      <w:tblGrid>
        <w:gridCol w:w="9360"/>
      </w:tblGrid>
      <w:tr w14:paraId="7F58591F">
        <w:tc>
          <w:tcPr>
            <w:tcW w:w="9360"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0891A2E3">
            <w:pPr>
              <w:spacing w:before="0" w:after="60" w:line="276" w:lineRule="auto"/>
            </w:pPr>
            <w:r>
              <w:rPr>
                <w:rFonts w:ascii="Arial" w:hAnsi="Arial" w:eastAsia="微软雅黑"/>
                <w:b/>
                <w:color w:val="000000"/>
                <w:sz w:val="23"/>
              </w:rPr>
              <w:t>一．总体流程。</w:t>
            </w:r>
          </w:p>
          <w:p w14:paraId="1175EBE4">
            <w:pPr>
              <w:spacing w:before="0" w:after="120" w:line="276" w:lineRule="auto"/>
            </w:pPr>
            <w:r>
              <w:rPr>
                <w:rFonts w:ascii="Arial" w:hAnsi="Arial" w:eastAsia="微软雅黑"/>
                <w:b w:val="0"/>
                <w:color w:val="000000"/>
                <w:sz w:val="21"/>
              </w:rPr>
              <w:t>本专利提供一种面向大豆品种细粒度视觉分类的级联方法。该方法首先利用YOLO目标检测模型在原始图像中定位大豆籽粒或候选目标区域；随后由人工校验检测结果并进行手动裁剪，形成按品种类别组织的单粒或局部图像分类数据集；最后使用注入Diff Attention和DCA模块的Swin Transformer对裁剪后的图像进行细粒度品种识别。</w:t>
            </w:r>
          </w:p>
          <w:p w14:paraId="54D73BC2">
            <w:pPr>
              <w:spacing w:before="0" w:after="120" w:line="276" w:lineRule="auto"/>
            </w:pPr>
            <w:r>
              <w:rPr>
                <w:rFonts w:ascii="Arial" w:hAnsi="Arial" w:eastAsia="微软雅黑"/>
                <w:b w:val="0"/>
                <w:color w:val="000000"/>
                <w:sz w:val="21"/>
              </w:rPr>
              <w:t>该流程将目标定位、人工质量控制和细粒度分类明确分离，避免将分类模型误用为整图检测器，也避免将检测指标与分类指标混合评价。</w:t>
            </w:r>
          </w:p>
          <w:p w14:paraId="311ECF48">
            <w:pPr>
              <w:spacing w:before="0" w:after="60" w:line="276" w:lineRule="auto"/>
            </w:pPr>
            <w:r>
              <w:rPr>
                <w:rFonts w:ascii="Arial" w:hAnsi="Arial" w:eastAsia="微软雅黑"/>
                <w:b/>
                <w:color w:val="000000"/>
                <w:sz w:val="23"/>
              </w:rPr>
              <w:t>二．数据预处理与增强。</w:t>
            </w:r>
          </w:p>
          <w:p w14:paraId="0E6781C6">
            <w:pPr>
              <w:spacing w:before="0" w:after="120" w:line="276" w:lineRule="auto"/>
            </w:pPr>
            <w:r>
              <w:rPr>
                <w:rFonts w:ascii="Arial" w:hAnsi="Arial" w:eastAsia="微软雅黑"/>
                <w:b w:val="0"/>
                <w:color w:val="000000"/>
                <w:sz w:val="21"/>
              </w:rPr>
              <w:t>分类阶段输入为已经裁剪、清洗并按类别目录组织的图像。训练集采用固定尺寸Resize、随机水平翻转、随机垂直翻转、随机旋转以及ImageNet均值方差归一化，以提升模型对姿态和方向变化的鲁棒性。</w:t>
            </w:r>
          </w:p>
          <w:p w14:paraId="14FE9FAA">
            <w:pPr>
              <w:spacing w:before="0" w:after="120" w:line="276" w:lineRule="auto"/>
            </w:pPr>
            <w:r>
              <w:rPr>
                <w:rFonts w:ascii="Arial" w:hAnsi="Arial" w:eastAsia="微软雅黑"/>
                <w:b w:val="0"/>
                <w:color w:val="000000"/>
                <w:sz w:val="21"/>
              </w:rPr>
              <w:t>验证集和测试集采用确定性Resize与归一化，不使用随机裁剪、随机翻转或随机旋转，保证评估过程可复现。类别映射保存为与模型版本对应的JSON文件，评估时先校验测试集类别映射与训练保存映射是否一致。</w:t>
            </w:r>
          </w:p>
          <w:p w14:paraId="39F6DE65">
            <w:pPr>
              <w:spacing w:before="0" w:after="60" w:line="276" w:lineRule="auto"/>
            </w:pPr>
            <w:r>
              <w:rPr>
                <w:rFonts w:ascii="Arial" w:hAnsi="Arial" w:eastAsia="微软雅黑"/>
                <w:b/>
                <w:color w:val="000000"/>
                <w:sz w:val="23"/>
              </w:rPr>
              <w:t>三．基础分类主干。</w:t>
            </w:r>
          </w:p>
          <w:p w14:paraId="4BC57F46">
            <w:pPr>
              <w:spacing w:before="0" w:after="120" w:line="276" w:lineRule="auto"/>
            </w:pPr>
            <w:r>
              <w:rPr>
                <w:rFonts w:ascii="Arial" w:hAnsi="Arial" w:eastAsia="微软雅黑"/>
                <w:b w:val="0"/>
                <w:color w:val="000000"/>
                <w:sz w:val="21"/>
              </w:rPr>
              <w:t>分类模型以Swin Transformer为基础主干，具体实现中可采用预训练的swin_base_patch4_window7_224.ms_in22k_ft_in1k作为初始化模型，并将分类头调整为当前大豆品种类别数。当前类别映射示例包含b73、hd16、jd17、jng20839、lk314、nn42、nn43、nn47、nn49、nn55、nn60、sd29、sd30、sn23、sn29、sz2、xd18、xzd1、zd51、zd53、zd57、zd59、zd61、zh301、zld105等25个类别。</w:t>
            </w:r>
          </w:p>
          <w:p w14:paraId="349B935C">
            <w:pPr>
              <w:spacing w:before="0" w:after="120" w:line="276" w:lineRule="auto"/>
            </w:pPr>
            <w:r>
              <w:rPr>
                <w:rFonts w:ascii="Arial" w:hAnsi="Arial" w:eastAsia="微软雅黑"/>
                <w:b w:val="0"/>
                <w:color w:val="000000"/>
                <w:sz w:val="21"/>
              </w:rPr>
              <w:t>为保留预训练权重，本专利优先采用实例级注入或局部替换方式，而不依赖全局monkey patch。新增模块以残差方式接入，并使用较小的初始缩放系数，避免一开始破坏主干网络已有表征。</w:t>
            </w:r>
          </w:p>
          <w:p w14:paraId="5D11A42D">
            <w:pPr>
              <w:spacing w:before="0" w:after="60" w:line="276" w:lineRule="auto"/>
            </w:pPr>
            <w:r>
              <w:rPr>
                <w:rFonts w:ascii="Arial" w:hAnsi="Arial" w:eastAsia="微软雅黑"/>
                <w:b/>
                <w:color w:val="000000"/>
                <w:sz w:val="23"/>
              </w:rPr>
              <w:t>四．Stage 4差分窗口注意力模块。</w:t>
            </w:r>
          </w:p>
          <w:p w14:paraId="5E8A9954">
            <w:pPr>
              <w:spacing w:before="0" w:after="120" w:line="276" w:lineRule="auto"/>
            </w:pPr>
            <w:r>
              <w:rPr>
                <w:rFonts w:ascii="Arial" w:hAnsi="Arial" w:eastAsia="微软雅黑"/>
                <w:b w:val="0"/>
                <w:color w:val="000000"/>
                <w:sz w:val="21"/>
              </w:rPr>
              <w:t>在Swin Transformer的Stage 4窗口注意力中，将原始Window Attention替换为Differential Window Attention。该模块保留原始qkv投影、相对位置偏置和输出投影，同时增加轻量q_lite、k_lite、v_lite分支，计算轻量注意力响应。</w:t>
            </w:r>
          </w:p>
          <w:p w14:paraId="50EE484E">
            <w:pPr>
              <w:spacing w:before="0" w:after="120" w:line="276" w:lineRule="auto"/>
            </w:pPr>
            <w:r>
              <w:rPr>
                <w:rFonts w:ascii="Arial" w:hAnsi="Arial" w:eastAsia="微软雅黑"/>
                <w:b w:val="0"/>
                <w:color w:val="000000"/>
                <w:sz w:val="21"/>
              </w:rPr>
              <w:t>差分分支将轻量注意力分布与原始注意力分布进行带权差分，形式上可表示为Diff = sigmoid(lambda_1) * Softmax(A_lite) - sigmoid(lambda_2) * detach(Softmax(A_main))。差分结果作用于轻量value后，经diff_proj投影回主干维度，并通过diff_gamma缩放后残差加到原始注意力输出上。</w:t>
            </w:r>
          </w:p>
          <w:p w14:paraId="2592D13E">
            <w:pPr>
              <w:spacing w:before="0" w:after="120" w:line="276" w:lineRule="auto"/>
            </w:pPr>
            <w:r>
              <w:rPr>
                <w:rFonts w:ascii="Arial" w:hAnsi="Arial" w:eastAsia="微软雅黑"/>
                <w:b w:val="0"/>
                <w:color w:val="000000"/>
                <w:sz w:val="21"/>
              </w:rPr>
              <w:t>该设计使模型在深层语义窗口中保留原注意力表达，同时显式建模另一条轻量注意力分支与主注意力之间的差异响应，有利于突出相似品种之间的弱判别细节。</w:t>
            </w:r>
          </w:p>
          <w:p w14:paraId="4D329ADB">
            <w:pPr>
              <w:spacing w:before="0" w:after="60" w:line="276" w:lineRule="auto"/>
            </w:pPr>
            <w:r>
              <w:rPr>
                <w:rFonts w:ascii="Arial" w:hAnsi="Arial" w:eastAsia="微软雅黑"/>
                <w:b/>
                <w:color w:val="000000"/>
                <w:sz w:val="23"/>
              </w:rPr>
              <w:t>五．Stage 3动态残差通道路由模块。</w:t>
            </w:r>
          </w:p>
          <w:p w14:paraId="5CE95B76">
            <w:pPr>
              <w:spacing w:before="0" w:after="120" w:line="276" w:lineRule="auto"/>
            </w:pPr>
            <w:r>
              <w:rPr>
                <w:rFonts w:ascii="Arial" w:hAnsi="Arial" w:eastAsia="微软雅黑"/>
                <w:b w:val="0"/>
                <w:color w:val="000000"/>
                <w:sz w:val="21"/>
              </w:rPr>
              <w:t>在Swin Transformer的Stage 3中，将原始stage包装为DCA模块。DCA选择若干anchor block输出作为上下文特征，例如第1、4、9个block；在若干target block处，例如第11、14、17个block，通过Channel Gating模块根据当前特征自适应生成通道级路由权重。</w:t>
            </w:r>
          </w:p>
          <w:p w14:paraId="38D79F3C">
            <w:pPr>
              <w:spacing w:before="0" w:after="120" w:line="276" w:lineRule="auto"/>
            </w:pPr>
            <w:r>
              <w:rPr>
                <w:rFonts w:ascii="Arial" w:hAnsi="Arial" w:eastAsia="微软雅黑"/>
                <w:b w:val="0"/>
                <w:color w:val="000000"/>
                <w:sz w:val="21"/>
              </w:rPr>
              <w:t>Channel Gating先对当前特征进行空间维度平均池化，再经过两层全连接和GELU得到每个anchor特征在每个通道上的权重，并使用softmax保证不同anchor之间形成可比较的通道路由分配。随后将加权后的anchor特征经LayerNorm和gamma缩放后残差注入target block输出。</w:t>
            </w:r>
          </w:p>
          <w:p w14:paraId="11F17F0A">
            <w:pPr>
              <w:spacing w:before="0" w:after="120" w:line="276" w:lineRule="auto"/>
            </w:pPr>
            <w:r>
              <w:rPr>
                <w:rFonts w:ascii="Arial" w:hAnsi="Arial" w:eastAsia="微软雅黑"/>
                <w:b w:val="0"/>
                <w:color w:val="000000"/>
                <w:sz w:val="21"/>
              </w:rPr>
              <w:t>该设计使Stage 3内部的中层纹理、形态和局部结构特征能够被后续target block按通道选择性复用，增强对细粒度差异的表达。</w:t>
            </w:r>
          </w:p>
          <w:p w14:paraId="3111363D">
            <w:pPr>
              <w:spacing w:before="0" w:after="60" w:line="276" w:lineRule="auto"/>
            </w:pPr>
            <w:r>
              <w:rPr>
                <w:rFonts w:ascii="Arial" w:hAnsi="Arial" w:eastAsia="微软雅黑"/>
                <w:b/>
                <w:color w:val="000000"/>
                <w:sz w:val="23"/>
              </w:rPr>
              <w:t>六．训练策略。</w:t>
            </w:r>
          </w:p>
          <w:p w14:paraId="4B11D8D8">
            <w:pPr>
              <w:spacing w:before="0" w:after="120" w:line="276" w:lineRule="auto"/>
            </w:pPr>
            <w:r>
              <w:rPr>
                <w:rFonts w:ascii="Arial" w:hAnsi="Arial" w:eastAsia="微软雅黑"/>
                <w:b w:val="0"/>
                <w:color w:val="000000"/>
                <w:sz w:val="21"/>
              </w:rPr>
              <w:t>训练阶段设置固定随机种子，同时固定random、numpy、torch和torch.cuda，并设置cudnn deterministic为True、benchmark为False。优化器采用AdamW，并将主干参数和新增模块参数分组，主干使用较小学习率，新模块和分类头使用较大学习率。</w:t>
            </w:r>
          </w:p>
          <w:p w14:paraId="475C2135">
            <w:pPr>
              <w:spacing w:before="0" w:after="120" w:line="276" w:lineRule="auto"/>
            </w:pPr>
            <w:r>
              <w:rPr>
                <w:rFonts w:ascii="Arial" w:hAnsi="Arial" w:eastAsia="微软雅黑"/>
                <w:b w:val="0"/>
                <w:color w:val="000000"/>
                <w:sz w:val="21"/>
              </w:rPr>
              <w:t>为适应长尾类别，损失函数采用基于类别样本数的加权交叉熵，权重可按1/sqrt(class_count)计算并归一化，同时启用标签平滑。训练前期可冻结主干，仅训练新增模块和分类头；冻结阶段需同时控制requires_grad和模型train/eval状态，以关闭主干DropPath/Dropout的随机影响。</w:t>
            </w:r>
          </w:p>
          <w:p w14:paraId="5BA1DE1E">
            <w:pPr>
              <w:spacing w:before="0" w:after="120" w:line="276" w:lineRule="auto"/>
            </w:pPr>
            <w:r>
              <w:rPr>
                <w:rFonts w:ascii="Arial" w:hAnsi="Arial" w:eastAsia="微软雅黑"/>
                <w:b w:val="0"/>
                <w:color w:val="000000"/>
                <w:sz w:val="21"/>
              </w:rPr>
              <w:t>使用PyTorch 2.x AMP写法进行自动混合精度训练；若启用梯度裁剪，先调用scaler.unscale_(optimizer)再裁剪活跃参数梯度。学习率调度采用冻结预热后的余弦退火策略。</w:t>
            </w:r>
          </w:p>
          <w:p w14:paraId="62F98ECB">
            <w:pPr>
              <w:spacing w:before="0" w:after="60" w:line="276" w:lineRule="auto"/>
            </w:pPr>
            <w:r>
              <w:rPr>
                <w:rFonts w:ascii="Arial" w:hAnsi="Arial" w:eastAsia="微软雅黑"/>
                <w:b/>
                <w:color w:val="000000"/>
                <w:sz w:val="23"/>
              </w:rPr>
              <w:t>七．评估与结果输出。</w:t>
            </w:r>
          </w:p>
          <w:p w14:paraId="77648ED9">
            <w:pPr>
              <w:spacing w:before="0" w:after="120" w:line="276" w:lineRule="auto"/>
            </w:pPr>
            <w:r>
              <w:rPr>
                <w:rFonts w:ascii="Arial" w:hAnsi="Arial" w:eastAsia="微软雅黑"/>
                <w:b w:val="0"/>
                <w:color w:val="000000"/>
                <w:sz w:val="21"/>
              </w:rPr>
              <w:t>评估脚本先构建与训练端完全一致的Swin + Diff + DCA结构，再加载权重，并严格校验类别映射文件。测试集仅使用确定性Resize、ToTensor和Normalize。</w:t>
            </w:r>
          </w:p>
          <w:p w14:paraId="1CF2A3DB">
            <w:pPr>
              <w:spacing w:before="0" w:after="120" w:line="276" w:lineRule="auto"/>
            </w:pPr>
            <w:r>
              <w:rPr>
                <w:rFonts w:ascii="Arial" w:hAnsi="Arial" w:eastAsia="微软雅黑"/>
                <w:b w:val="0"/>
                <w:color w:val="000000"/>
                <w:sz w:val="21"/>
              </w:rPr>
              <w:t>评估输出每个类别的precision、recall、F1、support和平均loss，并计算Weighted Precision、Weighted Recall、Weighted-F1、Macro Precision、Macro Recall、Macro-F1和全局平均loss。模型选择和论文报告中以Macro-F1作为长尾细粒度分类的核心指标，Accuracy和Weighted-F1作为辅助指标。</w:t>
            </w:r>
          </w:p>
          <w:p w14:paraId="126E0C31">
            <w:pPr>
              <w:spacing w:before="0" w:after="120" w:line="276" w:lineRule="auto"/>
            </w:pPr>
            <w:r>
              <w:rPr>
                <w:rFonts w:ascii="Arial" w:hAnsi="Arial" w:eastAsia="微软雅黑"/>
                <w:b w:val="0"/>
                <w:color w:val="000000"/>
                <w:sz w:val="21"/>
              </w:rPr>
              <w:t>实施例中可对低F1或高混淆类别，例如zd51、zd53、zd57、zd59、zd61、sd29、xd18等进行困难类别分析，并结合混淆矩阵、bad case图像和Grad-CAM或attention可视化解释模型失误原因。</w:t>
            </w:r>
          </w:p>
          <w:p w14:paraId="7ED6FE66">
            <w:pPr>
              <w:spacing w:before="0" w:after="60" w:line="276" w:lineRule="auto"/>
            </w:pPr>
            <w:r>
              <w:rPr>
                <w:rFonts w:ascii="Arial" w:hAnsi="Arial" w:eastAsia="微软雅黑"/>
                <w:b/>
                <w:color w:val="000000"/>
                <w:sz w:val="23"/>
              </w:rPr>
              <w:t>举例说明。</w:t>
            </w:r>
          </w:p>
          <w:p w14:paraId="445B1B0D">
            <w:pPr>
              <w:spacing w:before="0" w:after="120" w:line="276" w:lineRule="auto"/>
            </w:pPr>
            <w:r>
              <w:rPr>
                <w:rFonts w:ascii="Arial" w:hAnsi="Arial" w:eastAsia="微软雅黑"/>
                <w:b w:val="0"/>
                <w:color w:val="000000"/>
                <w:sz w:val="21"/>
              </w:rPr>
              <w:t>在一个实施例中，采集多类别大豆原始图像后，先使用YOLO检测模型得到籽粒候选框；人工检查候选框并裁剪出单粒图像，将图像按品种名称划分到train、val、test目录。训练脚本读取train和val目录，构建Swin + Diff + DCA模型，加载预训练权重并按25类输出分类结果。</w:t>
            </w:r>
          </w:p>
          <w:p w14:paraId="33BB4DC5">
            <w:pPr>
              <w:spacing w:before="0" w:after="120" w:line="276" w:lineRule="auto"/>
            </w:pPr>
            <w:r>
              <w:rPr>
                <w:rFonts w:ascii="Arial" w:hAnsi="Arial" w:eastAsia="微软雅黑"/>
                <w:b w:val="0"/>
                <w:color w:val="000000"/>
                <w:sz w:val="21"/>
              </w:rPr>
              <w:t>训练完成后，保存best_swin_diff_dca_aligned.pth权重和class_indices_swin_diff_dca.json类别映射。评估脚本读取test目录，重建同样结构并输出per-class指标、summary.json、predictions.csv和报告文本，从而形成可复现的训练评估闭环。</w:t>
            </w:r>
          </w:p>
        </w:tc>
      </w:tr>
    </w:tbl>
    <w:p w14:paraId="71B12779">
      <w:pPr>
        <w:pStyle w:val="4"/>
      </w:pPr>
      <w:r>
        <w:t>5．附图或图表</w:t>
      </w:r>
    </w:p>
    <w:tbl>
      <w:tblPr>
        <w:tblStyle w:val="32"/>
        <w:tblW w:w="0" w:type="auto"/>
        <w:tblInd w:w="0" w:type="dxa"/>
        <w:tblLayout w:type="fixed"/>
        <w:tblCellMar>
          <w:top w:w="0" w:type="dxa"/>
          <w:left w:w="108" w:type="dxa"/>
          <w:bottom w:w="0" w:type="dxa"/>
          <w:right w:w="108" w:type="dxa"/>
        </w:tblCellMar>
      </w:tblPr>
      <w:tblGrid>
        <w:gridCol w:w="9360"/>
      </w:tblGrid>
      <w:tr w14:paraId="2669FD17">
        <w:tc>
          <w:tcPr>
            <w:tcW w:w="9360"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51C8AD6C">
            <w:pPr>
              <w:spacing w:before="0" w:after="60" w:line="276" w:lineRule="auto"/>
            </w:pPr>
            <w:bookmarkStart w:id="0" w:name="_GoBack"/>
            <w:bookmarkEnd w:id="0"/>
          </w:p>
          <w:p w14:paraId="237A7937">
            <w:pPr>
              <w:spacing w:before="0" w:after="120" w:line="276" w:lineRule="auto"/>
            </w:pPr>
            <w:r>
              <w:rPr>
                <w:rFonts w:ascii="Arial" w:hAnsi="Arial" w:eastAsia="微软雅黑"/>
                <w:b w:val="0"/>
                <w:color w:val="000000"/>
                <w:sz w:val="21"/>
              </w:rPr>
              <w:t>图1：大豆品种识别总体流程图，包括原始图像输入、YOLO目标检测定位、人工校验裁剪、分类数据集组织、Swin + Diff + DCA分类识别和评估输出。</w:t>
            </w:r>
          </w:p>
          <w:p w14:paraId="6DC7AA43">
            <w:pPr>
              <w:spacing w:before="0" w:after="120" w:line="276" w:lineRule="auto"/>
            </w:pPr>
            <w:r>
              <w:rPr>
                <w:rFonts w:ascii="Arial" w:hAnsi="Arial" w:eastAsia="微软雅黑"/>
                <w:b w:val="0"/>
                <w:color w:val="000000"/>
                <w:sz w:val="21"/>
              </w:rPr>
              <w:t>图2：数据处理流程图，展示训练集随机增强、验证/测试集确定性预处理、类别映射保存和类别映射一致性校验。</w:t>
            </w:r>
          </w:p>
          <w:p w14:paraId="19B2D35A">
            <w:pPr>
              <w:spacing w:before="0" w:after="120" w:line="276" w:lineRule="auto"/>
            </w:pPr>
            <w:r>
              <w:rPr>
                <w:rFonts w:ascii="Arial" w:hAnsi="Arial" w:eastAsia="微软雅黑"/>
                <w:b w:val="0"/>
                <w:color w:val="000000"/>
                <w:sz w:val="21"/>
              </w:rPr>
              <w:t>图3：Swin + Diff + DCA模型结构图，重点标注Stage 3中的DCA动态残差通道路由和Stage 4中的Diff Attention差分窗口注意力。</w:t>
            </w:r>
          </w:p>
          <w:p w14:paraId="1024990D">
            <w:pPr>
              <w:spacing w:before="0" w:after="120" w:line="276" w:lineRule="auto"/>
            </w:pPr>
            <w:r>
              <w:rPr>
                <w:rFonts w:ascii="Arial" w:hAnsi="Arial" w:eastAsia="微软雅黑"/>
                <w:b w:val="0"/>
                <w:color w:val="000000"/>
                <w:sz w:val="21"/>
              </w:rPr>
              <w:t>图4：Differential Window Attention结构图，展示主注意力分支、轻量注意力分支、差分权重lambda、diff_proj和diff_gamma残差注入路径。</w:t>
            </w:r>
          </w:p>
          <w:p w14:paraId="7991D1DD">
            <w:pPr>
              <w:spacing w:before="0" w:after="120" w:line="276" w:lineRule="auto"/>
            </w:pPr>
            <w:r>
              <w:rPr>
                <w:rFonts w:ascii="Arial" w:hAnsi="Arial" w:eastAsia="微软雅黑"/>
                <w:b w:val="0"/>
                <w:color w:val="000000"/>
                <w:sz w:val="21"/>
              </w:rPr>
              <w:t>图5：DCA模块结构图，展示anchor block、target block、Channel Gating、通道级softmax路由和残差注入方式。</w:t>
            </w:r>
          </w:p>
          <w:p w14:paraId="328EF698">
            <w:pPr>
              <w:spacing w:before="0" w:after="120" w:line="276" w:lineRule="auto"/>
            </w:pPr>
            <w:r>
              <w:rPr>
                <w:rFonts w:ascii="Arial" w:hAnsi="Arial" w:eastAsia="微软雅黑"/>
                <w:b w:val="0"/>
                <w:color w:val="000000"/>
                <w:sz w:val="21"/>
              </w:rPr>
              <w:t>图6：评估输出示意图，包括per-class precision/recall/F1/support、混淆矩阵、困难类别bad case和Grad-CAM或attention可视化。</w:t>
            </w:r>
          </w:p>
          <w:p w14:paraId="2940F7A8">
            <w:pPr>
              <w:spacing w:before="0" w:after="60" w:line="276" w:lineRule="auto"/>
            </w:pPr>
            <w:r>
              <w:rPr>
                <w:rFonts w:ascii="Arial" w:hAnsi="Arial" w:eastAsia="微软雅黑"/>
                <w:b/>
                <w:color w:val="000000"/>
                <w:sz w:val="23"/>
              </w:rPr>
              <w:t>建议表格。</w:t>
            </w:r>
          </w:p>
          <w:p w14:paraId="2BE9B9A8">
            <w:pPr>
              <w:spacing w:before="0" w:after="120" w:line="276" w:lineRule="auto"/>
            </w:pPr>
            <w:r>
              <w:rPr>
                <w:rFonts w:ascii="Arial" w:hAnsi="Arial" w:eastAsia="微软雅黑"/>
                <w:b w:val="0"/>
                <w:color w:val="000000"/>
                <w:sz w:val="21"/>
              </w:rPr>
              <w:t>表1：数据集类别、样本数量及train/val/test划分统计。</w:t>
            </w:r>
          </w:p>
          <w:p w14:paraId="69084F62">
            <w:pPr>
              <w:spacing w:before="0" w:after="120" w:line="276" w:lineRule="auto"/>
            </w:pPr>
            <w:r>
              <w:rPr>
                <w:rFonts w:ascii="Arial" w:hAnsi="Arial" w:eastAsia="微软雅黑"/>
                <w:b w:val="0"/>
                <w:color w:val="000000"/>
                <w:sz w:val="21"/>
              </w:rPr>
              <w:t>表2：关键训练超参数，包括MODEL_ID、IMAGE_SIZE、BATCH_SIZE、NUM_EPOCHS、WEIGHT_DECAY、LABEL_SMOOTHING、冻结策略和学习率设置。</w:t>
            </w:r>
          </w:p>
          <w:p w14:paraId="7AB80B45">
            <w:pPr>
              <w:spacing w:before="0" w:after="120" w:line="276" w:lineRule="auto"/>
            </w:pPr>
            <w:r>
              <w:rPr>
                <w:rFonts w:ascii="Arial" w:hAnsi="Arial" w:eastAsia="微软雅黑"/>
                <w:b w:val="0"/>
                <w:color w:val="000000"/>
                <w:sz w:val="21"/>
              </w:rPr>
              <w:t>表3：不同模型或消融变体的Macro-F1、Accuracy、Weighted-F1、参数量、FLOPs和单张推理时间。该表仅在完成对应消融实验后填写。</w:t>
            </w:r>
          </w:p>
          <w:p w14:paraId="458943F4">
            <w:pPr>
              <w:spacing w:before="0" w:after="120" w:line="276" w:lineRule="auto"/>
            </w:pPr>
            <w:r>
              <w:rPr>
                <w:rFonts w:ascii="Arial" w:hAnsi="Arial" w:eastAsia="微软雅黑"/>
                <w:b w:val="0"/>
                <w:color w:val="000000"/>
                <w:sz w:val="21"/>
              </w:rPr>
              <w:t>表4：困难类别分析表，列出低F1或高混淆类别的precision、recall、F1、support和主要混淆对象。</w:t>
            </w:r>
          </w:p>
        </w:tc>
      </w:tr>
    </w:tbl>
    <w:p w14:paraId="14D25F14">
      <w:pPr>
        <w:pStyle w:val="4"/>
      </w:pPr>
      <w:r>
        <w:t>6．本专利有益的技术效果或优点</w:t>
      </w:r>
    </w:p>
    <w:tbl>
      <w:tblPr>
        <w:tblStyle w:val="32"/>
        <w:tblW w:w="0" w:type="auto"/>
        <w:tblInd w:w="0" w:type="dxa"/>
        <w:tblLayout w:type="fixed"/>
        <w:tblCellMar>
          <w:top w:w="0" w:type="dxa"/>
          <w:left w:w="108" w:type="dxa"/>
          <w:bottom w:w="0" w:type="dxa"/>
          <w:right w:w="108" w:type="dxa"/>
        </w:tblCellMar>
      </w:tblPr>
      <w:tblGrid>
        <w:gridCol w:w="9360"/>
      </w:tblGrid>
      <w:tr w14:paraId="5852EE60">
        <w:tc>
          <w:tcPr>
            <w:tcW w:w="9360" w:type="dxa"/>
            <w:tcBorders>
              <w:top w:val="single" w:color="DADCE0" w:sz="6" w:space="0"/>
              <w:left w:val="single" w:color="DADCE0" w:sz="6" w:space="0"/>
              <w:bottom w:val="single" w:color="DADCE0" w:sz="6" w:space="0"/>
              <w:right w:val="single" w:color="DADCE0" w:sz="6" w:space="0"/>
            </w:tcBorders>
            <w:tcMar>
              <w:top w:w="90" w:type="dxa"/>
              <w:left w:w="120" w:type="dxa"/>
              <w:bottom w:w="90" w:type="dxa"/>
              <w:right w:w="120" w:type="dxa"/>
            </w:tcMar>
            <w:vAlign w:val="center"/>
          </w:tcPr>
          <w:p w14:paraId="6B1B5F97">
            <w:pPr>
              <w:spacing w:before="0" w:after="120" w:line="276" w:lineRule="auto"/>
            </w:pPr>
            <w:r>
              <w:rPr>
                <w:rFonts w:ascii="Arial" w:hAnsi="Arial" w:eastAsia="微软雅黑"/>
                <w:b w:val="0"/>
                <w:color w:val="000000"/>
                <w:sz w:val="21"/>
              </w:rPr>
              <w:t>1. 本专利通过“YOLO目标检测定位 + 人工校验裁剪 + 细粒度分类模型识别”的级联流程，将复杂原图中的背景干扰和目标区域不一致问题前置处理，使分类阶段输入更聚焦于大豆籽粒本身。</w:t>
            </w:r>
          </w:p>
          <w:p w14:paraId="24EEB05D">
            <w:pPr>
              <w:spacing w:before="0" w:after="120" w:line="276" w:lineRule="auto"/>
            </w:pPr>
            <w:r>
              <w:rPr>
                <w:rFonts w:ascii="Arial" w:hAnsi="Arial" w:eastAsia="微软雅黑"/>
                <w:b w:val="0"/>
                <w:color w:val="000000"/>
                <w:sz w:val="21"/>
              </w:rPr>
              <w:t>2. 本专利在Swin Transformer的Stage 4引入差分窗口注意力分支，在保留预训练主注意力表达的基础上增加对差异响应的建模能力，有利于增强相似品种之间的弱判别特征表达。</w:t>
            </w:r>
          </w:p>
          <w:p w14:paraId="3331F4F0">
            <w:pPr>
              <w:spacing w:before="0" w:after="120" w:line="276" w:lineRule="auto"/>
            </w:pPr>
            <w:r>
              <w:rPr>
                <w:rFonts w:ascii="Arial" w:hAnsi="Arial" w:eastAsia="微软雅黑"/>
                <w:b w:val="0"/>
                <w:color w:val="000000"/>
                <w:sz w:val="21"/>
              </w:rPr>
              <w:t>3. 本专利在Stage 3引入DCA动态残差通道路由，以anchor block特征辅助target block，并通过通道级门控自适应选择可复用特征，有利于提升中层纹理、形态和局部结构信息的传递效率。</w:t>
            </w:r>
          </w:p>
          <w:p w14:paraId="33708005">
            <w:pPr>
              <w:spacing w:before="0" w:after="120" w:line="276" w:lineRule="auto"/>
            </w:pPr>
            <w:r>
              <w:rPr>
                <w:rFonts w:ascii="Arial" w:hAnsi="Arial" w:eastAsia="微软雅黑"/>
                <w:b w:val="0"/>
                <w:color w:val="000000"/>
                <w:sz w:val="21"/>
              </w:rPr>
              <w:t>4. 本专利采用残差缩放、局部实例级注入和严格复制相对位置索引等实现方式，尽量保留Swin预训练权重，降低新增模块对原始模型稳定性的冲击。</w:t>
            </w:r>
          </w:p>
          <w:p w14:paraId="49BCB689">
            <w:pPr>
              <w:spacing w:before="0" w:after="120" w:line="276" w:lineRule="auto"/>
            </w:pPr>
            <w:r>
              <w:rPr>
                <w:rFonts w:ascii="Arial" w:hAnsi="Arial" w:eastAsia="微软雅黑"/>
                <w:b w:val="0"/>
                <w:color w:val="000000"/>
                <w:sz w:val="21"/>
              </w:rPr>
              <w:t>5. 本专利采用类别加权损失、标签平滑、冻结预热、分组学习率、AMP训练和显式随机种子控制，形成适用于长尾细粒度分类任务的可复现训练流程。</w:t>
            </w:r>
          </w:p>
          <w:p w14:paraId="51330627">
            <w:pPr>
              <w:spacing w:before="0" w:after="120" w:line="276" w:lineRule="auto"/>
            </w:pPr>
            <w:r>
              <w:rPr>
                <w:rFonts w:ascii="Arial" w:hAnsi="Arial" w:eastAsia="微软雅黑"/>
                <w:b w:val="0"/>
                <w:color w:val="000000"/>
                <w:sz w:val="21"/>
              </w:rPr>
              <w:t>6. 本专利以Macro-F1作为核心选择指标，并输出per-class指标、混淆矩阵和预测明细，能够暴露总体准确率掩盖的困难类别问题，为后续补充数据、清洗标签和优化模型提供依据。</w:t>
            </w:r>
          </w:p>
          <w:p w14:paraId="608F25AC">
            <w:pPr>
              <w:spacing w:before="0" w:after="120" w:line="276" w:lineRule="auto"/>
            </w:pPr>
            <w:r>
              <w:rPr>
                <w:rFonts w:ascii="Arial" w:hAnsi="Arial" w:eastAsia="微软雅黑"/>
                <w:b w:val="0"/>
                <w:color w:val="000000"/>
                <w:sz w:val="21"/>
              </w:rPr>
              <w:t>7. 本专利的流程可部署为农业种质资源管理或育种辅助识别系统，可用于大豆品种样本的快速归档、人工复核辅助、困难样本筛查和模型迭代评估。</w:t>
            </w:r>
          </w:p>
        </w:tc>
      </w:tr>
    </w:tbl>
    <w:p w14:paraId="58765706">
      <w:r>
        <w:br w:type="page"/>
      </w:r>
    </w:p>
    <w:p w14:paraId="177E7C64">
      <w:pPr>
        <w:pStyle w:val="3"/>
      </w:pPr>
      <w:r>
        <w:t>撰写依据与边界说明</w:t>
      </w:r>
    </w:p>
    <w:p w14:paraId="31C6154F">
      <w:r>
        <w:rPr>
          <w:rFonts w:ascii="Arial" w:hAnsi="Arial" w:eastAsia="微软雅黑"/>
          <w:b w:val="0"/>
          <w:color w:val="000000"/>
        </w:rPr>
        <w:t>本交底书依据当前代码仓库中的项目说明、训练脚本和评估脚本整理，技术主线限定为“YOLO目标检测定位 + 人工校验裁剪 + 细粒度分类模型识别”的级联流程。文中未将尚未完成消融或未实际落地的ArcFace、Top-K token分支、显式Stage3+Stage4融合、WeightedRandomSampler等方案写成已完成成果。</w:t>
      </w:r>
    </w:p>
    <w:p w14:paraId="67BC1A85">
      <w:r>
        <w:rPr>
          <w:rFonts w:ascii="Arial" w:hAnsi="Arial" w:eastAsia="微软雅黑"/>
          <w:b w:val="0"/>
          <w:color w:val="000000"/>
        </w:rPr>
        <w:t>已有代码支持的核心分类模型为Swin Transformer + Diff Attention + DCA；其中Diff Attention注入到Swin深层窗口注意力，主要作用于Stage 4；DCA为Stage 3内部的动态残差通道路由，以anchor block特征辅助target block。性能描述以可复现实验流程和指标体系为主，不编写未由结果文件支撑的提升幅度。</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B7B0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Arial" w:hAnsi="Arial" w:eastAsia="微软雅黑" w:cstheme="minorBidi"/>
      <w:color w:val="000000"/>
      <w:sz w:val="22"/>
      <w:szCs w:val="22"/>
      <w:lang w:val="en-US" w:eastAsia="en-US" w:bidi="ar-SA"/>
    </w:rPr>
  </w:style>
  <w:style w:type="paragraph" w:styleId="3">
    <w:name w:val="heading 1"/>
    <w:basedOn w:val="1"/>
    <w:next w:val="1"/>
    <w:link w:val="138"/>
    <w:qFormat/>
    <w:uiPriority w:val="9"/>
    <w:pPr>
      <w:keepNext/>
      <w:keepLines/>
      <w:spacing w:before="360" w:after="16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60" w:line="276" w:lineRule="auto"/>
    </w:pPr>
    <w:rPr>
      <w:rFonts w:ascii="Arial" w:hAnsi="Arial" w:eastAsia="微软雅黑"/>
      <w:color w:val="000000"/>
      <w:sz w:val="22"/>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200" w:line="240" w:lineRule="auto"/>
      <w:contextualSpacing/>
    </w:pPr>
    <w:rPr>
      <w:rFonts w:asciiTheme="majorHAnsi" w:hAnsiTheme="majorHAnsi" w:eastAsiaTheme="majorEastAsia" w:cstheme="majorBidi"/>
      <w:b/>
      <w:color w:val="000000"/>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Office_6.12.0.8899_F1E327BC-269C-435d-A152-05C5408002CA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断了蜡笔的小新新</cp:lastModifiedBy>
  <dcterms:modified xsi:type="dcterms:W3CDTF">2026-05-11T13:25:55Z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2052-6.12.0.8899</vt:lpwstr>
  </property>
  <property fmtid="{D5CDD505-2E9C-101B-9397-08002B2CF9AE}" pid="3" name="ICV">
    <vt:lpwstr>788411A8B51C989F6368016AFAB33558_42</vt:lpwstr>
  </property>
</Properties>
</file>