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19A3" w14:textId="48C2C65B" w:rsidR="00472244" w:rsidRPr="00773773" w:rsidRDefault="00472244">
      <w:pPr>
        <w:rPr>
          <w:sz w:val="36"/>
          <w:szCs w:val="36"/>
        </w:rPr>
      </w:pPr>
      <w:r w:rsidRPr="00773773">
        <w:rPr>
          <w:b/>
          <w:bCs/>
          <w:sz w:val="36"/>
          <w:szCs w:val="36"/>
        </w:rPr>
        <w:t>Supplementary Figures</w:t>
      </w:r>
    </w:p>
    <w:p w14:paraId="734072B0" w14:textId="0A7CBDC8" w:rsidR="00472244" w:rsidRDefault="00472244"/>
    <w:p w14:paraId="6E894E3C" w14:textId="76FFA092" w:rsidR="00472244" w:rsidRPr="00773773" w:rsidRDefault="00472244" w:rsidP="00773773">
      <w:pPr>
        <w:pStyle w:val="ListParagraph"/>
        <w:numPr>
          <w:ilvl w:val="0"/>
          <w:numId w:val="3"/>
        </w:numPr>
        <w:rPr>
          <w:sz w:val="32"/>
          <w:szCs w:val="32"/>
        </w:rPr>
      </w:pPr>
      <w:r w:rsidRPr="00773773">
        <w:rPr>
          <w:b/>
          <w:bCs/>
          <w:sz w:val="32"/>
          <w:szCs w:val="32"/>
        </w:rPr>
        <w:t>Supplementary Figure 1:</w:t>
      </w:r>
      <w:r w:rsidR="00773773" w:rsidRPr="00773773">
        <w:rPr>
          <w:sz w:val="32"/>
          <w:szCs w:val="32"/>
        </w:rPr>
        <w:t xml:space="preserve"> Effect of sample inclusion in number of predicted orthologs</w:t>
      </w:r>
      <w:r w:rsidRPr="00773773">
        <w:rPr>
          <w:sz w:val="32"/>
          <w:szCs w:val="32"/>
        </w:rPr>
        <w:t xml:space="preserve"> </w:t>
      </w:r>
    </w:p>
    <w:p w14:paraId="0234C762" w14:textId="791FA536" w:rsidR="00472244" w:rsidRPr="00773773" w:rsidRDefault="00472244" w:rsidP="00773773">
      <w:pPr>
        <w:pStyle w:val="ListParagraph"/>
        <w:numPr>
          <w:ilvl w:val="0"/>
          <w:numId w:val="3"/>
        </w:numPr>
        <w:rPr>
          <w:sz w:val="32"/>
          <w:szCs w:val="32"/>
        </w:rPr>
      </w:pPr>
      <w:r w:rsidRPr="00773773">
        <w:rPr>
          <w:b/>
          <w:bCs/>
          <w:sz w:val="32"/>
          <w:szCs w:val="32"/>
        </w:rPr>
        <w:t>Supplementary Figure 2:</w:t>
      </w:r>
      <w:r w:rsidR="00773773" w:rsidRPr="00773773">
        <w:rPr>
          <w:sz w:val="32"/>
          <w:szCs w:val="32"/>
        </w:rPr>
        <w:t xml:space="preserve"> Overlap of PSGs between the four genomic samples</w:t>
      </w:r>
    </w:p>
    <w:p w14:paraId="3A5FCD9C" w14:textId="707C815D" w:rsidR="00472244" w:rsidRPr="00773773" w:rsidRDefault="00472244" w:rsidP="00773773">
      <w:pPr>
        <w:pStyle w:val="ListParagraph"/>
        <w:numPr>
          <w:ilvl w:val="0"/>
          <w:numId w:val="3"/>
        </w:numPr>
        <w:rPr>
          <w:sz w:val="32"/>
          <w:szCs w:val="32"/>
        </w:rPr>
      </w:pPr>
      <w:r w:rsidRPr="00773773">
        <w:rPr>
          <w:b/>
          <w:bCs/>
          <w:sz w:val="32"/>
          <w:szCs w:val="32"/>
        </w:rPr>
        <w:t>Supplementary Figure 3:</w:t>
      </w:r>
      <w:r w:rsidR="00773773" w:rsidRPr="00773773">
        <w:rPr>
          <w:sz w:val="32"/>
          <w:szCs w:val="32"/>
        </w:rPr>
        <w:t xml:space="preserve"> Summary of </w:t>
      </w:r>
      <w:r w:rsidR="00773773" w:rsidRPr="00773773">
        <w:rPr>
          <w:i/>
          <w:iCs/>
          <w:sz w:val="32"/>
          <w:szCs w:val="32"/>
        </w:rPr>
        <w:t>RELAX</w:t>
      </w:r>
      <w:r w:rsidR="00773773" w:rsidRPr="00773773">
        <w:rPr>
          <w:sz w:val="32"/>
          <w:szCs w:val="32"/>
        </w:rPr>
        <w:t xml:space="preserve"> results</w:t>
      </w:r>
    </w:p>
    <w:p w14:paraId="42BFA206" w14:textId="7836EB2B" w:rsidR="00472244" w:rsidRPr="00773773" w:rsidRDefault="00472244" w:rsidP="00773773">
      <w:pPr>
        <w:pStyle w:val="ListParagraph"/>
        <w:numPr>
          <w:ilvl w:val="0"/>
          <w:numId w:val="3"/>
        </w:numPr>
        <w:rPr>
          <w:sz w:val="32"/>
          <w:szCs w:val="32"/>
        </w:rPr>
      </w:pPr>
      <w:r w:rsidRPr="00773773">
        <w:rPr>
          <w:b/>
          <w:bCs/>
          <w:sz w:val="32"/>
          <w:szCs w:val="32"/>
        </w:rPr>
        <w:t>Supplementary Figure 4:</w:t>
      </w:r>
      <w:r w:rsidR="00773773" w:rsidRPr="00773773">
        <w:rPr>
          <w:sz w:val="32"/>
          <w:szCs w:val="32"/>
        </w:rPr>
        <w:t xml:space="preserve"> Overlap between orthologs from this study and marine-associated genes obtained from the literature</w:t>
      </w:r>
    </w:p>
    <w:p w14:paraId="6D6B5398" w14:textId="77777777" w:rsidR="00472244" w:rsidRDefault="00472244"/>
    <w:p w14:paraId="58DE1ACE" w14:textId="77777777" w:rsidR="00472244" w:rsidRDefault="00472244"/>
    <w:p w14:paraId="1F9C019D" w14:textId="77777777" w:rsidR="00472244" w:rsidRDefault="00472244"/>
    <w:p w14:paraId="16EE1971" w14:textId="77777777" w:rsidR="00472244" w:rsidRDefault="00472244"/>
    <w:p w14:paraId="4F53F9CE" w14:textId="77777777" w:rsidR="00472244" w:rsidRDefault="00472244"/>
    <w:p w14:paraId="05448139" w14:textId="77777777" w:rsidR="00472244" w:rsidRDefault="00472244"/>
    <w:p w14:paraId="0E47C8C6" w14:textId="77777777" w:rsidR="00472244" w:rsidRDefault="00472244"/>
    <w:p w14:paraId="3398B02F" w14:textId="77777777" w:rsidR="00472244" w:rsidRDefault="00472244"/>
    <w:p w14:paraId="6F56863C" w14:textId="77777777" w:rsidR="00472244" w:rsidRDefault="00472244"/>
    <w:p w14:paraId="7700C2C4" w14:textId="77777777" w:rsidR="00472244" w:rsidRDefault="00472244"/>
    <w:p w14:paraId="01A68E5C" w14:textId="77777777" w:rsidR="00472244" w:rsidRDefault="00472244"/>
    <w:p w14:paraId="186FC09C" w14:textId="77777777" w:rsidR="00472244" w:rsidRDefault="00472244"/>
    <w:p w14:paraId="419B1360" w14:textId="77777777" w:rsidR="00472244" w:rsidRDefault="00472244"/>
    <w:p w14:paraId="2B003DB0" w14:textId="77777777" w:rsidR="00472244" w:rsidRDefault="00472244"/>
    <w:p w14:paraId="3E8C38CB" w14:textId="77777777" w:rsidR="00472244" w:rsidRDefault="00472244"/>
    <w:p w14:paraId="4DC32999" w14:textId="77777777" w:rsidR="00472244" w:rsidRDefault="00472244"/>
    <w:p w14:paraId="00ECFF7F" w14:textId="77777777" w:rsidR="00472244" w:rsidRDefault="00472244"/>
    <w:p w14:paraId="1F8DB5A8" w14:textId="77777777" w:rsidR="00472244" w:rsidRDefault="00472244"/>
    <w:p w14:paraId="0B71E703" w14:textId="77777777" w:rsidR="00472244" w:rsidRDefault="00472244"/>
    <w:p w14:paraId="50C73AED" w14:textId="77777777" w:rsidR="00472244" w:rsidRDefault="00472244"/>
    <w:p w14:paraId="74BECA13" w14:textId="77777777" w:rsidR="00472244" w:rsidRDefault="00472244"/>
    <w:p w14:paraId="04E60D56" w14:textId="77777777" w:rsidR="00472244" w:rsidRDefault="00472244"/>
    <w:p w14:paraId="21E003CE" w14:textId="77777777" w:rsidR="00472244" w:rsidRDefault="00472244"/>
    <w:p w14:paraId="2ACEC6EF" w14:textId="77777777" w:rsidR="00472244" w:rsidRDefault="00472244"/>
    <w:p w14:paraId="2FE00E3D" w14:textId="77777777" w:rsidR="00472244" w:rsidRDefault="00472244"/>
    <w:p w14:paraId="266153CF" w14:textId="77777777" w:rsidR="00472244" w:rsidRDefault="00472244"/>
    <w:p w14:paraId="6123A05B" w14:textId="77777777" w:rsidR="00472244" w:rsidRDefault="00472244"/>
    <w:p w14:paraId="547173AC" w14:textId="77777777" w:rsidR="00472244" w:rsidRDefault="00472244"/>
    <w:p w14:paraId="13E0BE87" w14:textId="77777777" w:rsidR="00472244" w:rsidRDefault="00472244"/>
    <w:p w14:paraId="32007851" w14:textId="1F6F8226" w:rsidR="00F053E6" w:rsidRDefault="00472244">
      <w:r>
        <w:rPr>
          <w:noProof/>
        </w:rPr>
        <w:lastRenderedPageBreak/>
        <w:drawing>
          <wp:inline distT="0" distB="0" distL="0" distR="0" wp14:anchorId="7FBB1982" wp14:editId="68490B66">
            <wp:extent cx="5731510" cy="337121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inline>
        </w:drawing>
      </w:r>
    </w:p>
    <w:p w14:paraId="3F1F2354" w14:textId="77777777" w:rsidR="00472244" w:rsidRPr="00472244" w:rsidRDefault="00472244" w:rsidP="00472244">
      <w:pPr>
        <w:rPr>
          <w:rFonts w:ascii="Times New Roman" w:eastAsia="Times New Roman" w:hAnsi="Times New Roman" w:cs="Times New Roman"/>
          <w:lang w:eastAsia="en-GB"/>
        </w:rPr>
      </w:pPr>
      <w:r w:rsidRPr="00472244">
        <w:rPr>
          <w:rFonts w:ascii="Times New Roman" w:eastAsia="Times New Roman" w:hAnsi="Times New Roman" w:cs="Times New Roman"/>
          <w:b/>
          <w:bCs/>
          <w:i/>
          <w:iCs/>
          <w:color w:val="000000"/>
          <w:lang w:eastAsia="en-GB"/>
        </w:rPr>
        <w:t>Supplementary Figure 1:</w:t>
      </w:r>
      <w:r w:rsidRPr="00472244">
        <w:rPr>
          <w:rFonts w:ascii="Times New Roman" w:eastAsia="Times New Roman" w:hAnsi="Times New Roman" w:cs="Times New Roman"/>
          <w:color w:val="000000"/>
          <w:lang w:eastAsia="en-GB"/>
        </w:rPr>
        <w:t xml:space="preserve"> The effect of including additional samples when identifying shared orthologs. The y-axis scale is the same between each row to emphasize the difference in the number of retained orthologs between the four-sample and nine-sample conditions. The coloured bars within each facet-pane represent different p-value thresholds.</w:t>
      </w:r>
    </w:p>
    <w:p w14:paraId="25E9147C" w14:textId="289B2974" w:rsidR="00472244" w:rsidRDefault="00472244"/>
    <w:p w14:paraId="63921C1C" w14:textId="774D3742" w:rsidR="00472244" w:rsidRDefault="00472244"/>
    <w:p w14:paraId="684DDE0E" w14:textId="0E4C9B53" w:rsidR="00472244" w:rsidRDefault="00472244"/>
    <w:p w14:paraId="2BEF89A2" w14:textId="1F7FD476" w:rsidR="00472244" w:rsidRDefault="00472244"/>
    <w:p w14:paraId="060666B9" w14:textId="3E9F6EFF" w:rsidR="00472244" w:rsidRDefault="00472244"/>
    <w:p w14:paraId="0571F16D" w14:textId="7F478C54" w:rsidR="00472244" w:rsidRDefault="00472244"/>
    <w:p w14:paraId="76DF7962" w14:textId="7640A301" w:rsidR="00472244" w:rsidRDefault="00472244"/>
    <w:p w14:paraId="28BA47B0" w14:textId="0D5CFB30" w:rsidR="00472244" w:rsidRDefault="00472244"/>
    <w:p w14:paraId="431D2885" w14:textId="50A8461D" w:rsidR="00472244" w:rsidRDefault="00472244"/>
    <w:p w14:paraId="6296B188" w14:textId="4A2596EE" w:rsidR="00472244" w:rsidRDefault="00472244"/>
    <w:p w14:paraId="1F1C1137" w14:textId="12CD1BE9" w:rsidR="00472244" w:rsidRDefault="00472244"/>
    <w:p w14:paraId="61B48492" w14:textId="654EC774" w:rsidR="00472244" w:rsidRDefault="00472244"/>
    <w:p w14:paraId="1A4694FE" w14:textId="20CEA4AC" w:rsidR="00472244" w:rsidRDefault="00472244"/>
    <w:p w14:paraId="32903081" w14:textId="60A18C6B" w:rsidR="00472244" w:rsidRDefault="00472244"/>
    <w:p w14:paraId="3094D09F" w14:textId="58141EE1" w:rsidR="00472244" w:rsidRDefault="00472244"/>
    <w:p w14:paraId="16F183A5" w14:textId="4A54059E" w:rsidR="00472244" w:rsidRDefault="00472244"/>
    <w:p w14:paraId="14684C7A" w14:textId="004AA224" w:rsidR="00472244" w:rsidRDefault="00472244"/>
    <w:p w14:paraId="4A3AECEF" w14:textId="51A06CF5" w:rsidR="00472244" w:rsidRDefault="00472244"/>
    <w:p w14:paraId="1280DCF5" w14:textId="74A95055" w:rsidR="00472244" w:rsidRDefault="00472244"/>
    <w:p w14:paraId="1E7BC8F6" w14:textId="0DD9576B" w:rsidR="00472244" w:rsidRDefault="00472244"/>
    <w:p w14:paraId="65FB5360" w14:textId="75BA69DB" w:rsidR="00472244" w:rsidRDefault="00472244"/>
    <w:p w14:paraId="0B7BEA8D" w14:textId="2BE1DD98" w:rsidR="00472244" w:rsidRDefault="00472244"/>
    <w:p w14:paraId="12FED6CE" w14:textId="5583545B" w:rsidR="00472244" w:rsidRDefault="00472244"/>
    <w:p w14:paraId="2A4817C1" w14:textId="2AC401C9" w:rsidR="00472244" w:rsidRDefault="00472244"/>
    <w:p w14:paraId="30CCEDD1" w14:textId="40CC3FD2" w:rsidR="00472244" w:rsidRDefault="00472244"/>
    <w:p w14:paraId="76B92D68" w14:textId="75E445BE" w:rsidR="00472244" w:rsidRDefault="00472244">
      <w:r>
        <w:rPr>
          <w:noProof/>
        </w:rPr>
        <w:lastRenderedPageBreak/>
        <w:drawing>
          <wp:inline distT="0" distB="0" distL="0" distR="0" wp14:anchorId="296BC566" wp14:editId="02865129">
            <wp:extent cx="5731510" cy="573151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9ED3CC3" w14:textId="77777777" w:rsidR="00472244" w:rsidRPr="00472244" w:rsidRDefault="00472244" w:rsidP="00472244">
      <w:pPr>
        <w:rPr>
          <w:rFonts w:ascii="Times New Roman" w:eastAsia="Times New Roman" w:hAnsi="Times New Roman" w:cs="Times New Roman"/>
          <w:lang w:eastAsia="en-GB"/>
        </w:rPr>
      </w:pPr>
      <w:r w:rsidRPr="00472244">
        <w:rPr>
          <w:rFonts w:ascii="Times New Roman" w:eastAsia="Times New Roman" w:hAnsi="Times New Roman" w:cs="Times New Roman"/>
          <w:b/>
          <w:bCs/>
          <w:i/>
          <w:iCs/>
          <w:color w:val="000000"/>
          <w:lang w:eastAsia="en-GB"/>
        </w:rPr>
        <w:t>Supplementary Figure 2:</w:t>
      </w:r>
      <w:r w:rsidRPr="00472244">
        <w:rPr>
          <w:rFonts w:ascii="Times New Roman" w:eastAsia="Times New Roman" w:hAnsi="Times New Roman" w:cs="Times New Roman"/>
          <w:color w:val="000000"/>
          <w:lang w:eastAsia="en-GB"/>
        </w:rPr>
        <w:t xml:space="preserve"> An Upset plot visualising the shared positively selected genes between all combinations of samples. Each column represents a different sample combination, as illustrated by the filled in black dots. The top bar-plot illustrates the number of intersecting genes belonging to each sample combination, whilst the coloured bar-plot on the right represents the number of positively selected genes reported for each snake sample (non-unique).</w:t>
      </w:r>
    </w:p>
    <w:p w14:paraId="51547E8A" w14:textId="1D41039F" w:rsidR="00472244" w:rsidRDefault="00472244"/>
    <w:p w14:paraId="6234AB20" w14:textId="1995C597" w:rsidR="00472244" w:rsidRDefault="00472244"/>
    <w:p w14:paraId="21C9F8F7" w14:textId="5C60DDAA" w:rsidR="00472244" w:rsidRDefault="00472244"/>
    <w:p w14:paraId="0B24BCF8" w14:textId="1B723363" w:rsidR="00472244" w:rsidRDefault="00472244"/>
    <w:p w14:paraId="072A26C6" w14:textId="771E2A2E" w:rsidR="00472244" w:rsidRDefault="00472244"/>
    <w:p w14:paraId="5B452603" w14:textId="06D0324F" w:rsidR="00472244" w:rsidRDefault="00472244"/>
    <w:p w14:paraId="7C26C5C8" w14:textId="767E75A0" w:rsidR="00472244" w:rsidRDefault="00472244"/>
    <w:p w14:paraId="6C737196" w14:textId="23D96814" w:rsidR="00472244" w:rsidRDefault="00472244"/>
    <w:p w14:paraId="667A7FFC" w14:textId="048CD3A5" w:rsidR="00472244" w:rsidRDefault="00472244"/>
    <w:p w14:paraId="29A02667" w14:textId="7FEDFF80" w:rsidR="00472244" w:rsidRDefault="00472244"/>
    <w:p w14:paraId="686FD9A4" w14:textId="25FD6A6E" w:rsidR="00472244" w:rsidRDefault="00472244"/>
    <w:p w14:paraId="05E8CF7D" w14:textId="1BBCE552" w:rsidR="00472244" w:rsidRDefault="00472244">
      <w:r>
        <w:rPr>
          <w:noProof/>
        </w:rPr>
        <w:lastRenderedPageBreak/>
        <w:drawing>
          <wp:inline distT="0" distB="0" distL="0" distR="0" wp14:anchorId="2A65472D" wp14:editId="0B2168C4">
            <wp:extent cx="5731510" cy="3820795"/>
            <wp:effectExtent l="0" t="0" r="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78778513" w14:textId="77777777" w:rsidR="00472244" w:rsidRPr="00472244" w:rsidRDefault="00472244" w:rsidP="00472244">
      <w:pPr>
        <w:rPr>
          <w:rFonts w:ascii="Times New Roman" w:eastAsia="Times New Roman" w:hAnsi="Times New Roman" w:cs="Times New Roman"/>
          <w:lang w:eastAsia="en-GB"/>
        </w:rPr>
      </w:pPr>
      <w:r w:rsidRPr="00472244">
        <w:rPr>
          <w:rFonts w:ascii="Times New Roman" w:eastAsia="Times New Roman" w:hAnsi="Times New Roman" w:cs="Times New Roman"/>
          <w:b/>
          <w:bCs/>
          <w:i/>
          <w:iCs/>
          <w:color w:val="000000"/>
          <w:lang w:eastAsia="en-GB"/>
        </w:rPr>
        <w:t>Supplementary Figure 3:</w:t>
      </w:r>
      <w:r w:rsidRPr="00472244">
        <w:rPr>
          <w:rFonts w:ascii="Times New Roman" w:eastAsia="Times New Roman" w:hAnsi="Times New Roman" w:cs="Times New Roman"/>
          <w:color w:val="000000"/>
          <w:lang w:eastAsia="en-GB"/>
        </w:rPr>
        <w:t xml:space="preserve"> A breakdown of the </w:t>
      </w:r>
      <w:r w:rsidRPr="00472244">
        <w:rPr>
          <w:rFonts w:ascii="Times New Roman" w:eastAsia="Times New Roman" w:hAnsi="Times New Roman" w:cs="Times New Roman"/>
          <w:i/>
          <w:iCs/>
          <w:color w:val="000000"/>
          <w:lang w:eastAsia="en-GB"/>
        </w:rPr>
        <w:t>RELAX</w:t>
      </w:r>
      <w:r w:rsidRPr="00472244">
        <w:rPr>
          <w:rFonts w:ascii="Times New Roman" w:eastAsia="Times New Roman" w:hAnsi="Times New Roman" w:cs="Times New Roman"/>
          <w:color w:val="000000"/>
          <w:lang w:eastAsia="en-GB"/>
        </w:rPr>
        <w:t xml:space="preserve"> results with </w:t>
      </w:r>
      <w:proofErr w:type="spellStart"/>
      <w:r w:rsidRPr="00472244">
        <w:rPr>
          <w:rFonts w:ascii="Times New Roman" w:eastAsia="Times New Roman" w:hAnsi="Times New Roman" w:cs="Times New Roman"/>
          <w:i/>
          <w:iCs/>
          <w:color w:val="000000"/>
          <w:lang w:eastAsia="en-GB"/>
        </w:rPr>
        <w:t>Aipysurus</w:t>
      </w:r>
      <w:proofErr w:type="spellEnd"/>
      <w:r w:rsidRPr="00472244">
        <w:rPr>
          <w:rFonts w:ascii="Times New Roman" w:eastAsia="Times New Roman" w:hAnsi="Times New Roman" w:cs="Times New Roman"/>
          <w:color w:val="000000"/>
          <w:lang w:eastAsia="en-GB"/>
        </w:rPr>
        <w:t xml:space="preserve"> </w:t>
      </w:r>
      <w:proofErr w:type="spellStart"/>
      <w:r w:rsidRPr="00472244">
        <w:rPr>
          <w:rFonts w:ascii="Times New Roman" w:eastAsia="Times New Roman" w:hAnsi="Times New Roman" w:cs="Times New Roman"/>
          <w:i/>
          <w:iCs/>
          <w:color w:val="000000"/>
          <w:lang w:eastAsia="en-GB"/>
        </w:rPr>
        <w:t>laevis</w:t>
      </w:r>
      <w:proofErr w:type="spellEnd"/>
      <w:r w:rsidRPr="00472244">
        <w:rPr>
          <w:rFonts w:ascii="Times New Roman" w:eastAsia="Times New Roman" w:hAnsi="Times New Roman" w:cs="Times New Roman"/>
          <w:color w:val="000000"/>
          <w:lang w:eastAsia="en-GB"/>
        </w:rPr>
        <w:t xml:space="preserve"> as the </w:t>
      </w:r>
      <w:r w:rsidRPr="00472244">
        <w:rPr>
          <w:rFonts w:ascii="Times New Roman" w:eastAsia="Times New Roman" w:hAnsi="Times New Roman" w:cs="Times New Roman"/>
          <w:i/>
          <w:iCs/>
          <w:color w:val="000000"/>
          <w:lang w:eastAsia="en-GB"/>
        </w:rPr>
        <w:t>test</w:t>
      </w:r>
      <w:r w:rsidRPr="00472244">
        <w:rPr>
          <w:rFonts w:ascii="Times New Roman" w:eastAsia="Times New Roman" w:hAnsi="Times New Roman" w:cs="Times New Roman"/>
          <w:color w:val="000000"/>
          <w:lang w:eastAsia="en-GB"/>
        </w:rPr>
        <w:t xml:space="preserve"> set and the remaining leaves marked as ‘</w:t>
      </w:r>
      <w:r w:rsidRPr="00472244">
        <w:rPr>
          <w:rFonts w:ascii="Times New Roman" w:eastAsia="Times New Roman" w:hAnsi="Times New Roman" w:cs="Times New Roman"/>
          <w:i/>
          <w:iCs/>
          <w:color w:val="000000"/>
          <w:lang w:eastAsia="en-GB"/>
        </w:rPr>
        <w:t>reference</w:t>
      </w:r>
      <w:r w:rsidRPr="00472244">
        <w:rPr>
          <w:rFonts w:ascii="Times New Roman" w:eastAsia="Times New Roman" w:hAnsi="Times New Roman" w:cs="Times New Roman"/>
          <w:color w:val="000000"/>
          <w:lang w:eastAsia="en-GB"/>
        </w:rPr>
        <w:t>’. The left facet shows the number of orthologs that reached significance (</w:t>
      </w:r>
      <w:r w:rsidRPr="00472244">
        <w:rPr>
          <w:rFonts w:ascii="Times New Roman" w:eastAsia="Times New Roman" w:hAnsi="Times New Roman" w:cs="Times New Roman"/>
          <w:i/>
          <w:iCs/>
          <w:color w:val="000000"/>
          <w:lang w:eastAsia="en-GB"/>
        </w:rPr>
        <w:t>p</w:t>
      </w:r>
      <w:r w:rsidRPr="00472244">
        <w:rPr>
          <w:rFonts w:ascii="Times New Roman" w:eastAsia="Times New Roman" w:hAnsi="Times New Roman" w:cs="Times New Roman"/>
          <w:color w:val="000000"/>
          <w:lang w:eastAsia="en-GB"/>
        </w:rPr>
        <w:t xml:space="preserve"> ≤ 0.001), with the red bar showing the number of orthologs reporting an intensification of selection (</w:t>
      </w:r>
      <w:proofErr w:type="gramStart"/>
      <w:r w:rsidRPr="00472244">
        <w:rPr>
          <w:rFonts w:ascii="Times New Roman" w:eastAsia="Times New Roman" w:hAnsi="Times New Roman" w:cs="Times New Roman"/>
          <w:i/>
          <w:iCs/>
          <w:color w:val="000000"/>
          <w:lang w:eastAsia="en-GB"/>
        </w:rPr>
        <w:t>k  1</w:t>
      </w:r>
      <w:proofErr w:type="gramEnd"/>
      <w:r w:rsidRPr="00472244">
        <w:rPr>
          <w:rFonts w:ascii="Times New Roman" w:eastAsia="Times New Roman" w:hAnsi="Times New Roman" w:cs="Times New Roman"/>
          <w:color w:val="000000"/>
          <w:lang w:eastAsia="en-GB"/>
        </w:rPr>
        <w:t xml:space="preserve">) and the black bar showing relaxation of selection (k1). The right facet shows the remaining genes in the ortholog set that did not pass the significance threshold and how they separated out based on their insignificant </w:t>
      </w:r>
      <w:r w:rsidRPr="00472244">
        <w:rPr>
          <w:rFonts w:ascii="Times New Roman" w:eastAsia="Times New Roman" w:hAnsi="Times New Roman" w:cs="Times New Roman"/>
          <w:i/>
          <w:iCs/>
          <w:color w:val="000000"/>
          <w:lang w:eastAsia="en-GB"/>
        </w:rPr>
        <w:t>k</w:t>
      </w:r>
      <w:r w:rsidRPr="00472244">
        <w:rPr>
          <w:rFonts w:ascii="Times New Roman" w:eastAsia="Times New Roman" w:hAnsi="Times New Roman" w:cs="Times New Roman"/>
          <w:color w:val="000000"/>
          <w:lang w:eastAsia="en-GB"/>
        </w:rPr>
        <w:t>-values.</w:t>
      </w:r>
    </w:p>
    <w:p w14:paraId="38B64485" w14:textId="1C39138E" w:rsidR="00472244" w:rsidRDefault="00472244"/>
    <w:p w14:paraId="54AFE68E" w14:textId="7B2CC9B9" w:rsidR="00472244" w:rsidRDefault="00472244"/>
    <w:p w14:paraId="0043ACE1" w14:textId="3F4BF227" w:rsidR="00472244" w:rsidRDefault="00472244"/>
    <w:p w14:paraId="5F95A7C5" w14:textId="0B52247C" w:rsidR="00472244" w:rsidRDefault="00472244"/>
    <w:p w14:paraId="694E5C72" w14:textId="7E3D727A" w:rsidR="00472244" w:rsidRDefault="00472244"/>
    <w:p w14:paraId="165DB632" w14:textId="24236A04" w:rsidR="00472244" w:rsidRDefault="00472244"/>
    <w:p w14:paraId="7DA6EAB9" w14:textId="0787C228" w:rsidR="00472244" w:rsidRDefault="00472244"/>
    <w:p w14:paraId="7E303140" w14:textId="19DE5159" w:rsidR="00472244" w:rsidRDefault="00472244"/>
    <w:p w14:paraId="00E388CB" w14:textId="340395D5" w:rsidR="00472244" w:rsidRDefault="00472244"/>
    <w:p w14:paraId="0897EE2A" w14:textId="479881CF" w:rsidR="00472244" w:rsidRDefault="00472244"/>
    <w:p w14:paraId="40B8BB67" w14:textId="09FA2E72" w:rsidR="00472244" w:rsidRDefault="00472244"/>
    <w:p w14:paraId="5DD47E97" w14:textId="3C094305" w:rsidR="00472244" w:rsidRDefault="00472244"/>
    <w:p w14:paraId="4A5CDA54" w14:textId="6730953D" w:rsidR="00472244" w:rsidRDefault="00472244"/>
    <w:p w14:paraId="4DDA455D" w14:textId="49A3D275" w:rsidR="00472244" w:rsidRDefault="00472244"/>
    <w:p w14:paraId="2CCDABE5" w14:textId="69483E6A" w:rsidR="00472244" w:rsidRDefault="00472244"/>
    <w:p w14:paraId="138F5AA0" w14:textId="7D947819" w:rsidR="00472244" w:rsidRDefault="00472244"/>
    <w:p w14:paraId="43D05E54" w14:textId="2BBF911C" w:rsidR="00472244" w:rsidRDefault="00472244"/>
    <w:p w14:paraId="6F2EBBC8" w14:textId="6EE6D4F9" w:rsidR="00472244" w:rsidRDefault="00472244"/>
    <w:p w14:paraId="28855543" w14:textId="1E24A81C" w:rsidR="00472244" w:rsidRDefault="00472244"/>
    <w:p w14:paraId="2CC14AC9" w14:textId="0E5EBE04" w:rsidR="00472244" w:rsidRDefault="00472244"/>
    <w:p w14:paraId="63AC4D62" w14:textId="252144C3" w:rsidR="00472244" w:rsidRDefault="00472244">
      <w:r>
        <w:rPr>
          <w:noProof/>
        </w:rPr>
        <w:lastRenderedPageBreak/>
        <w:drawing>
          <wp:inline distT="0" distB="0" distL="0" distR="0" wp14:anchorId="0F05EC15" wp14:editId="2FD54E15">
            <wp:extent cx="5731510" cy="5731510"/>
            <wp:effectExtent l="0" t="0" r="0" b="0"/>
            <wp:docPr id="4" name="Picture 4"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CF5B8C3" w14:textId="77777777" w:rsidR="00472244" w:rsidRPr="00472244" w:rsidRDefault="00472244" w:rsidP="00472244">
      <w:pPr>
        <w:rPr>
          <w:rFonts w:ascii="Times New Roman" w:eastAsia="Times New Roman" w:hAnsi="Times New Roman" w:cs="Times New Roman"/>
          <w:lang w:eastAsia="en-GB"/>
        </w:rPr>
      </w:pPr>
      <w:r w:rsidRPr="00472244">
        <w:rPr>
          <w:rFonts w:ascii="Times New Roman" w:eastAsia="Times New Roman" w:hAnsi="Times New Roman" w:cs="Times New Roman"/>
          <w:b/>
          <w:bCs/>
          <w:color w:val="000000"/>
          <w:lang w:eastAsia="en-GB"/>
        </w:rPr>
        <w:t>Supplementary Figure 4:</w:t>
      </w:r>
      <w:r w:rsidRPr="00472244">
        <w:rPr>
          <w:rFonts w:ascii="Times New Roman" w:eastAsia="Times New Roman" w:hAnsi="Times New Roman" w:cs="Times New Roman"/>
          <w:color w:val="000000"/>
          <w:lang w:eastAsia="en-GB"/>
        </w:rPr>
        <w:t xml:space="preserve"> The number of intersecting </w:t>
      </w:r>
      <w:proofErr w:type="spellStart"/>
      <w:r w:rsidRPr="00472244">
        <w:rPr>
          <w:rFonts w:ascii="Times New Roman" w:eastAsia="Times New Roman" w:hAnsi="Times New Roman" w:cs="Times New Roman"/>
          <w:i/>
          <w:iCs/>
          <w:color w:val="000000"/>
          <w:lang w:eastAsia="en-GB"/>
        </w:rPr>
        <w:t>Aipysurus</w:t>
      </w:r>
      <w:proofErr w:type="spellEnd"/>
      <w:r w:rsidRPr="00472244">
        <w:rPr>
          <w:rFonts w:ascii="Times New Roman" w:eastAsia="Times New Roman" w:hAnsi="Times New Roman" w:cs="Times New Roman"/>
          <w:i/>
          <w:iCs/>
          <w:color w:val="000000"/>
          <w:lang w:eastAsia="en-GB"/>
        </w:rPr>
        <w:t xml:space="preserve"> </w:t>
      </w:r>
      <w:proofErr w:type="spellStart"/>
      <w:r w:rsidRPr="00472244">
        <w:rPr>
          <w:rFonts w:ascii="Times New Roman" w:eastAsia="Times New Roman" w:hAnsi="Times New Roman" w:cs="Times New Roman"/>
          <w:i/>
          <w:iCs/>
          <w:color w:val="000000"/>
          <w:lang w:eastAsia="en-GB"/>
        </w:rPr>
        <w:t>laevis</w:t>
      </w:r>
      <w:proofErr w:type="spellEnd"/>
      <w:r w:rsidRPr="00472244">
        <w:rPr>
          <w:rFonts w:ascii="Times New Roman" w:eastAsia="Times New Roman" w:hAnsi="Times New Roman" w:cs="Times New Roman"/>
          <w:color w:val="000000"/>
          <w:lang w:eastAsia="en-GB"/>
        </w:rPr>
        <w:t xml:space="preserve"> positively selected genes (PSGs) against (A) and non-positively selected orthologs (B) against marine-associated genes in secondarily marine vertebrates from five other studies. The y-axis represents the number of shared genes with each dataset, whilst the number above each column represents the number of genes in each respective study. </w:t>
      </w:r>
      <w:r w:rsidRPr="00472244">
        <w:rPr>
          <w:rFonts w:ascii="Times New Roman" w:eastAsia="Times New Roman" w:hAnsi="Times New Roman" w:cs="Times New Roman"/>
          <w:b/>
          <w:bCs/>
          <w:color w:val="000000"/>
          <w:lang w:eastAsia="en-GB"/>
        </w:rPr>
        <w:t>A)</w:t>
      </w:r>
      <w:r w:rsidRPr="00472244">
        <w:rPr>
          <w:rFonts w:ascii="Times New Roman" w:eastAsia="Times New Roman" w:hAnsi="Times New Roman" w:cs="Times New Roman"/>
          <w:color w:val="000000"/>
          <w:lang w:eastAsia="en-GB"/>
        </w:rPr>
        <w:t xml:space="preserve"> Overlap between the 379 </w:t>
      </w:r>
      <w:r w:rsidRPr="00472244">
        <w:rPr>
          <w:rFonts w:ascii="Times New Roman" w:eastAsia="Times New Roman" w:hAnsi="Times New Roman" w:cs="Times New Roman"/>
          <w:i/>
          <w:iCs/>
          <w:color w:val="000000"/>
          <w:lang w:eastAsia="en-GB"/>
        </w:rPr>
        <w:t xml:space="preserve">A. </w:t>
      </w:r>
      <w:proofErr w:type="spellStart"/>
      <w:r w:rsidRPr="00472244">
        <w:rPr>
          <w:rFonts w:ascii="Times New Roman" w:eastAsia="Times New Roman" w:hAnsi="Times New Roman" w:cs="Times New Roman"/>
          <w:i/>
          <w:iCs/>
          <w:color w:val="000000"/>
          <w:lang w:eastAsia="en-GB"/>
        </w:rPr>
        <w:t>laevis</w:t>
      </w:r>
      <w:proofErr w:type="spellEnd"/>
      <w:r w:rsidRPr="00472244">
        <w:rPr>
          <w:rFonts w:ascii="Times New Roman" w:eastAsia="Times New Roman" w:hAnsi="Times New Roman" w:cs="Times New Roman"/>
          <w:color w:val="000000"/>
          <w:lang w:eastAsia="en-GB"/>
        </w:rPr>
        <w:t xml:space="preserve"> PSGs and the marine-associated genes from the five literature datasets. </w:t>
      </w:r>
      <w:r w:rsidRPr="00472244">
        <w:rPr>
          <w:rFonts w:ascii="Times New Roman" w:eastAsia="Times New Roman" w:hAnsi="Times New Roman" w:cs="Times New Roman"/>
          <w:b/>
          <w:bCs/>
          <w:color w:val="000000"/>
          <w:lang w:eastAsia="en-GB"/>
        </w:rPr>
        <w:t>B)</w:t>
      </w:r>
      <w:r w:rsidRPr="00472244">
        <w:rPr>
          <w:rFonts w:ascii="Times New Roman" w:eastAsia="Times New Roman" w:hAnsi="Times New Roman" w:cs="Times New Roman"/>
          <w:color w:val="000000"/>
          <w:lang w:eastAsia="en-GB"/>
        </w:rPr>
        <w:t xml:space="preserve"> Overlap between the remaining 3,215 orthologs and the marine-associated gene-sets from the literature. </w:t>
      </w:r>
    </w:p>
    <w:p w14:paraId="0857AB1C" w14:textId="77777777" w:rsidR="00472244" w:rsidRDefault="00472244"/>
    <w:sectPr w:rsidR="00472244" w:rsidSect="00472244">
      <w:headerReference w:type="even" r:id="rId1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A86B4" w14:textId="77777777" w:rsidR="00C1148A" w:rsidRDefault="00C1148A" w:rsidP="00472244">
      <w:r>
        <w:separator/>
      </w:r>
    </w:p>
  </w:endnote>
  <w:endnote w:type="continuationSeparator" w:id="0">
    <w:p w14:paraId="1B46E7A9" w14:textId="77777777" w:rsidR="00C1148A" w:rsidRDefault="00C1148A" w:rsidP="00472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14374" w14:textId="77777777" w:rsidR="00C1148A" w:rsidRDefault="00C1148A" w:rsidP="00472244">
      <w:r>
        <w:separator/>
      </w:r>
    </w:p>
  </w:footnote>
  <w:footnote w:type="continuationSeparator" w:id="0">
    <w:p w14:paraId="0BF794CB" w14:textId="77777777" w:rsidR="00C1148A" w:rsidRDefault="00C1148A" w:rsidP="00472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0781404"/>
      <w:docPartObj>
        <w:docPartGallery w:val="Page Numbers (Top of Page)"/>
        <w:docPartUnique/>
      </w:docPartObj>
    </w:sdtPr>
    <w:sdtContent>
      <w:p w14:paraId="480F2FF5" w14:textId="31E86A3F" w:rsidR="00472244" w:rsidRDefault="00472244" w:rsidP="004722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DF5010" w14:textId="77777777" w:rsidR="00472244" w:rsidRDefault="00472244" w:rsidP="004722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3219012"/>
      <w:docPartObj>
        <w:docPartGallery w:val="Page Numbers (Top of Page)"/>
        <w:docPartUnique/>
      </w:docPartObj>
    </w:sdtPr>
    <w:sdtContent>
      <w:p w14:paraId="11B216C5" w14:textId="61B09209" w:rsidR="00472244" w:rsidRDefault="00472244" w:rsidP="004722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E8026E" w14:textId="77777777" w:rsidR="00472244" w:rsidRDefault="00472244" w:rsidP="0047224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7939"/>
    <w:multiLevelType w:val="hybridMultilevel"/>
    <w:tmpl w:val="93F225B6"/>
    <w:lvl w:ilvl="0" w:tplc="0428EAC4">
      <w:start w:val="1"/>
      <w:numFmt w:val="bullet"/>
      <w:lvlText w:val=""/>
      <w:lvlJc w:val="left"/>
      <w:pPr>
        <w:ind w:left="720" w:hanging="38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4AD026C"/>
    <w:multiLevelType w:val="hybridMultilevel"/>
    <w:tmpl w:val="33861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E716E2"/>
    <w:multiLevelType w:val="multilevel"/>
    <w:tmpl w:val="33861EF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44"/>
    <w:rsid w:val="00472244"/>
    <w:rsid w:val="00773773"/>
    <w:rsid w:val="00C1148A"/>
    <w:rsid w:val="00F053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F1EE71"/>
  <w15:chartTrackingRefBased/>
  <w15:docId w15:val="{83668263-29E3-C944-80C8-BC0A33AB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244"/>
    <w:pPr>
      <w:tabs>
        <w:tab w:val="center" w:pos="4513"/>
        <w:tab w:val="right" w:pos="9026"/>
      </w:tabs>
    </w:pPr>
  </w:style>
  <w:style w:type="character" w:customStyle="1" w:styleId="HeaderChar">
    <w:name w:val="Header Char"/>
    <w:basedOn w:val="DefaultParagraphFont"/>
    <w:link w:val="Header"/>
    <w:uiPriority w:val="99"/>
    <w:rsid w:val="00472244"/>
  </w:style>
  <w:style w:type="character" w:styleId="PageNumber">
    <w:name w:val="page number"/>
    <w:basedOn w:val="DefaultParagraphFont"/>
    <w:uiPriority w:val="99"/>
    <w:semiHidden/>
    <w:unhideWhenUsed/>
    <w:rsid w:val="00472244"/>
  </w:style>
  <w:style w:type="paragraph" w:styleId="ListParagraph">
    <w:name w:val="List Paragraph"/>
    <w:basedOn w:val="Normal"/>
    <w:uiPriority w:val="34"/>
    <w:qFormat/>
    <w:rsid w:val="00472244"/>
    <w:pPr>
      <w:ind w:left="720"/>
      <w:contextualSpacing/>
    </w:pPr>
  </w:style>
  <w:style w:type="numbering" w:customStyle="1" w:styleId="CurrentList1">
    <w:name w:val="Current List1"/>
    <w:uiPriority w:val="99"/>
    <w:rsid w:val="00773773"/>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5644">
      <w:bodyDiv w:val="1"/>
      <w:marLeft w:val="0"/>
      <w:marRight w:val="0"/>
      <w:marTop w:val="0"/>
      <w:marBottom w:val="0"/>
      <w:divBdr>
        <w:top w:val="none" w:sz="0" w:space="0" w:color="auto"/>
        <w:left w:val="none" w:sz="0" w:space="0" w:color="auto"/>
        <w:bottom w:val="none" w:sz="0" w:space="0" w:color="auto"/>
        <w:right w:val="none" w:sz="0" w:space="0" w:color="auto"/>
      </w:divBdr>
    </w:div>
    <w:div w:id="845822239">
      <w:bodyDiv w:val="1"/>
      <w:marLeft w:val="0"/>
      <w:marRight w:val="0"/>
      <w:marTop w:val="0"/>
      <w:marBottom w:val="0"/>
      <w:divBdr>
        <w:top w:val="none" w:sz="0" w:space="0" w:color="auto"/>
        <w:left w:val="none" w:sz="0" w:space="0" w:color="auto"/>
        <w:bottom w:val="none" w:sz="0" w:space="0" w:color="auto"/>
        <w:right w:val="none" w:sz="0" w:space="0" w:color="auto"/>
      </w:divBdr>
    </w:div>
    <w:div w:id="1067144280">
      <w:bodyDiv w:val="1"/>
      <w:marLeft w:val="0"/>
      <w:marRight w:val="0"/>
      <w:marTop w:val="0"/>
      <w:marBottom w:val="0"/>
      <w:divBdr>
        <w:top w:val="none" w:sz="0" w:space="0" w:color="auto"/>
        <w:left w:val="none" w:sz="0" w:space="0" w:color="auto"/>
        <w:bottom w:val="none" w:sz="0" w:space="0" w:color="auto"/>
        <w:right w:val="none" w:sz="0" w:space="0" w:color="auto"/>
      </w:divBdr>
    </w:div>
    <w:div w:id="10803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John Ludington</dc:creator>
  <cp:keywords/>
  <dc:description/>
  <cp:lastModifiedBy>Alastair John Ludington</cp:lastModifiedBy>
  <cp:revision>1</cp:revision>
  <dcterms:created xsi:type="dcterms:W3CDTF">2022-02-04T03:59:00Z</dcterms:created>
  <dcterms:modified xsi:type="dcterms:W3CDTF">2022-02-04T04:07:00Z</dcterms:modified>
</cp:coreProperties>
</file>