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68"/>
        </w:rPr>
        <w:t>ArchitectOS</w:t>
      </w:r>
    </w:p>
    <w:p>
      <w:pPr>
        <w:jc w:val="center"/>
      </w:pPr>
      <w:r>
        <w:rPr>
          <w:b/>
          <w:color w:val="373737"/>
          <w:sz w:val="52"/>
        </w:rPr>
        <w:t>Architecture Intelligence</w:t>
      </w:r>
    </w:p>
    <w:p>
      <w:pPr>
        <w:spacing w:before="200"/>
        <w:jc w:val="center"/>
      </w:pPr>
      <w:r>
        <w:rPr>
          <w:i/>
          <w:color w:val="5A5A5A"/>
          <w:sz w:val="26"/>
        </w:rPr>
        <w:t>Interactive System Wiring Map for Any Software Project</w:t>
      </w:r>
    </w:p>
    <w:p>
      <w:pPr>
        <w:spacing w:before="720"/>
        <w:jc w:val="center"/>
      </w:pPr>
      <w:r>
        <w:rPr>
          <w:b/>
          <w:sz w:val="24"/>
        </w:rPr>
        <w:t>Product / Architecture Plan</w:t>
      </w:r>
    </w:p>
    <w:p>
      <w:pPr>
        <w:jc w:val="center"/>
      </w:pPr>
      <w:r>
        <w:rPr>
          <w:sz w:val="21"/>
        </w:rPr>
        <w:t>Version concept: post-Memory expansion of ArchitectOS</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F4E79"/>
                <w:sz w:val="22"/>
              </w:rPr>
              <w:t>Core metaphor</w:t>
              <w:br/>
            </w:r>
            <w:r>
              <w:rPr>
                <w:sz w:val="21"/>
              </w:rPr>
              <w:t>Treat the software project like the wiring diagram of a car: every component is a block, every field or internal element can be a terminal, and every dependency is a wire that can be traced in both directions.</w:t>
            </w:r>
          </w:p>
        </w:tc>
      </w:tr>
    </w:tbl>
    <w:p>
      <w:pPr>
        <w:spacing w:after="0"/>
      </w:pPr>
    </w:p>
    <w:p>
      <w:r>
        <w:br w:type="page"/>
      </w:r>
    </w:p>
    <w:p>
      <w:pPr>
        <w:pStyle w:val="Heading1"/>
      </w:pPr>
      <w:r>
        <w:t>1. Vision</w:t>
      </w:r>
    </w:p>
    <w:p>
      <w:r>
        <w:t>Architecture Intelligence is a new, independent ArchitectOS module that automatically analyzes the real project files already attached to an ArchitectOS project and builds an interactive map of how the system is connected.</w:t>
      </w:r>
    </w:p>
    <w:p>
      <w:r>
        <w:t xml:space="preserve">The goal is not to calculate business logic first. The primary question is simpler and more fundamental: </w:t>
      </w:r>
      <w:r>
        <w:rPr>
          <w:b/>
        </w:rPr>
        <w:t>“What is connected to what, where does this dependency come from, and what can I trace from either side?”</w:t>
      </w:r>
    </w:p>
    <w:p>
      <w:pPr>
        <w:pStyle w:val="ListBullet"/>
        <w:spacing w:after="60"/>
        <w:ind w:left="317"/>
      </w:pPr>
      <w:r>
        <w:t>The map covers the whole project, not only entities and UI.</w:t>
      </w:r>
    </w:p>
    <w:p>
      <w:pPr>
        <w:pStyle w:val="ListBullet"/>
        <w:spacing w:after="60"/>
        <w:ind w:left="317"/>
      </w:pPr>
      <w:r>
        <w:t>Any discoverable component may become a node: database objects, domain models, APIs, services, uploaders, reports, filters, jobs, UI elements, configuration, integrations, events, tests, files, modules, and more.</w:t>
      </w:r>
    </w:p>
    <w:p>
      <w:pPr>
        <w:pStyle w:val="ListBullet"/>
        <w:spacing w:after="60"/>
        <w:ind w:left="317"/>
      </w:pPr>
      <w:r>
        <w:t>Connections exist at multiple levels: component-to-component and internal-element-to-internal-element (for example, a specific field, column, endpoint parameter, report column, or UI filter).</w:t>
      </w:r>
    </w:p>
    <w:p>
      <w:pPr>
        <w:pStyle w:val="ListBullet"/>
        <w:spacing w:after="60"/>
        <w:ind w:left="317"/>
      </w:pPr>
      <w:r>
        <w:t>Navigation must work in both directions.</w:t>
      </w:r>
    </w:p>
    <w:p>
      <w:pPr>
        <w:pStyle w:val="ListBullet"/>
        <w:spacing w:after="60"/>
        <w:ind w:left="317"/>
      </w:pPr>
      <w:r>
        <w:t>The module is language- and framework-agnostic by design.</w:t>
      </w:r>
    </w:p>
    <w:p>
      <w:pPr>
        <w:pStyle w:val="ListBullet"/>
        <w:spacing w:after="60"/>
        <w:ind w:left="317"/>
      </w:pPr>
      <w:r>
        <w:t>ArchitectOS Memory and ArchitectOS MCP remain separate and optional for this feature.</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F4E79"/>
                <w:sz w:val="22"/>
              </w:rPr>
              <w:t>Important boundary</w:t>
              <w:br/>
            </w:r>
            <w:r>
              <w:rPr>
                <w:sz w:val="21"/>
              </w:rPr>
              <w:t>The Architecture Intelligence module must not depend on ArchitectOS Memory to build the wiring map. Memory may later help an AI agent explain ambiguous or non-obvious connections, but the base map must be reproducible from project evidence.</w:t>
            </w:r>
          </w:p>
        </w:tc>
      </w:tr>
    </w:tbl>
    <w:p>
      <w:pPr>
        <w:spacing w:after="0"/>
      </w:pPr>
    </w:p>
    <w:p>
      <w:pPr>
        <w:pStyle w:val="Heading1"/>
      </w:pPr>
      <w:r>
        <w:t>2. Product Positioning Inside ArchitectOS</w:t>
      </w:r>
    </w:p>
    <w:p>
      <w:r>
        <w:t>ArchitectOS should contain Architecture Intelligence as a first-class product area next to Memory, while keeping both modules decoupled internally.</w:t>
      </w:r>
    </w:p>
    <w:tbl>
      <w:tblPr>
        <w:tblW w:type="auto" w:w="0"/>
        <w:jc w:val="center"/>
        <w:tblLayout w:type="fixed"/>
        <w:tblLook w:firstColumn="1" w:firstRow="1" w:lastColumn="0" w:lastRow="0" w:noHBand="0" w:noVBand="1" w:val="04A0"/>
      </w:tblPr>
      <w:tblGrid>
        <w:gridCol w:w="2376"/>
        <w:gridCol w:w="3672"/>
        <w:gridCol w:w="3672"/>
      </w:tblGrid>
      <w:tr>
        <w:trPr>
          <w:tblHeader w:val="true"/>
        </w:trPr>
        <w:tc>
          <w:tcPr>
            <w:tcW w:type="dxa" w:w="3331"/>
            <w:vAlign w:val="center"/>
            <w:tcMar>
              <w:top w:w="110" w:type="dxa"/>
              <w:start w:w="120" w:type="dxa"/>
              <w:bottom w:w="110" w:type="dxa"/>
              <w:end w:w="120" w:type="dxa"/>
            </w:tcMar>
            <w:shd w:fill="1F4E79"/>
          </w:tcPr>
          <w:p>
            <w:pPr>
              <w:jc w:val="center"/>
            </w:pPr>
            <w:r/>
            <w:r>
              <w:rPr>
                <w:b/>
                <w:color w:val="FFFFFF"/>
                <w:sz w:val="21"/>
              </w:rPr>
              <w:t>Area</w:t>
            </w:r>
          </w:p>
        </w:tc>
        <w:tc>
          <w:tcPr>
            <w:tcW w:type="dxa" w:w="3331"/>
            <w:vAlign w:val="center"/>
            <w:tcMar>
              <w:top w:w="110" w:type="dxa"/>
              <w:start w:w="120" w:type="dxa"/>
              <w:bottom w:w="110" w:type="dxa"/>
              <w:end w:w="120" w:type="dxa"/>
            </w:tcMar>
            <w:shd w:fill="1F4E79"/>
          </w:tcPr>
          <w:p>
            <w:pPr>
              <w:jc w:val="center"/>
            </w:pPr>
            <w:r/>
            <w:r>
              <w:rPr>
                <w:b/>
                <w:color w:val="FFFFFF"/>
                <w:sz w:val="21"/>
              </w:rPr>
              <w:t>Responsibility</w:t>
            </w:r>
          </w:p>
        </w:tc>
        <w:tc>
          <w:tcPr>
            <w:tcW w:type="dxa" w:w="3331"/>
            <w:vAlign w:val="center"/>
            <w:tcMar>
              <w:top w:w="110" w:type="dxa"/>
              <w:start w:w="120" w:type="dxa"/>
              <w:bottom w:w="110" w:type="dxa"/>
              <w:end w:w="120" w:type="dxa"/>
            </w:tcMar>
            <w:shd w:fill="1F4E79"/>
          </w:tcPr>
          <w:p>
            <w:pPr>
              <w:jc w:val="center"/>
            </w:pPr>
            <w:r/>
            <w:r>
              <w:rPr>
                <w:b/>
                <w:color w:val="FFFFFF"/>
                <w:sz w:val="21"/>
              </w:rPr>
              <w:t>Dependency</w:t>
            </w:r>
          </w:p>
        </w:tc>
      </w:tr>
      <w:tr>
        <w:tc>
          <w:tcPr>
            <w:tcW w:type="dxa" w:w="2376"/>
            <w:vAlign w:val="center"/>
            <w:tcMar>
              <w:top w:w="110" w:type="dxa"/>
              <w:start w:w="120" w:type="dxa"/>
              <w:bottom w:w="110" w:type="dxa"/>
              <w:end w:w="120" w:type="dxa"/>
            </w:tcMar>
          </w:tcPr>
          <w:p>
            <w:r/>
            <w:r>
              <w:rPr>
                <w:b w:val="0"/>
                <w:sz w:val="19"/>
              </w:rPr>
              <w:t>Memory</w:t>
            </w:r>
          </w:p>
        </w:tc>
        <w:tc>
          <w:tcPr>
            <w:tcW w:type="dxa" w:w="3672"/>
            <w:vAlign w:val="center"/>
            <w:tcMar>
              <w:top w:w="110" w:type="dxa"/>
              <w:start w:w="120" w:type="dxa"/>
              <w:bottom w:w="110" w:type="dxa"/>
              <w:end w:w="120" w:type="dxa"/>
            </w:tcMar>
          </w:tcPr>
          <w:p>
            <w:r/>
            <w:r>
              <w:rPr>
                <w:b w:val="0"/>
                <w:sz w:val="19"/>
              </w:rPr>
              <w:t>Project knowledge, decisions, documents, context, explanations.</w:t>
            </w:r>
          </w:p>
        </w:tc>
        <w:tc>
          <w:tcPr>
            <w:tcW w:type="dxa" w:w="3672"/>
            <w:vAlign w:val="center"/>
            <w:tcMar>
              <w:top w:w="110" w:type="dxa"/>
              <w:start w:w="120" w:type="dxa"/>
              <w:bottom w:w="110" w:type="dxa"/>
              <w:end w:w="120" w:type="dxa"/>
            </w:tcMar>
          </w:tcPr>
          <w:p>
            <w:r/>
            <w:r>
              <w:rPr>
                <w:b w:val="0"/>
                <w:sz w:val="19"/>
              </w:rPr>
              <w:t>Independent. Not a source of truth for wiring.</w:t>
            </w:r>
          </w:p>
        </w:tc>
      </w:tr>
      <w:tr>
        <w:tc>
          <w:tcPr>
            <w:tcW w:type="dxa" w:w="2376"/>
            <w:vAlign w:val="center"/>
            <w:tcMar>
              <w:top w:w="110" w:type="dxa"/>
              <w:start w:w="120" w:type="dxa"/>
              <w:bottom w:w="110" w:type="dxa"/>
              <w:end w:w="120" w:type="dxa"/>
            </w:tcMar>
          </w:tcPr>
          <w:p>
            <w:r/>
            <w:r>
              <w:rPr>
                <w:b w:val="0"/>
                <w:sz w:val="19"/>
              </w:rPr>
              <w:t>Architecture Intelligence</w:t>
            </w:r>
          </w:p>
        </w:tc>
        <w:tc>
          <w:tcPr>
            <w:tcW w:type="dxa" w:w="3672"/>
            <w:vAlign w:val="center"/>
            <w:tcMar>
              <w:top w:w="110" w:type="dxa"/>
              <w:start w:w="120" w:type="dxa"/>
              <w:bottom w:w="110" w:type="dxa"/>
              <w:end w:w="120" w:type="dxa"/>
            </w:tcMar>
          </w:tcPr>
          <w:p>
            <w:r/>
            <w:r>
              <w:rPr>
                <w:b w:val="0"/>
                <w:sz w:val="19"/>
              </w:rPr>
              <w:t>Automatic project analysis, normalized architecture graph, evidence, interactive wiring map.</w:t>
            </w:r>
          </w:p>
        </w:tc>
        <w:tc>
          <w:tcPr>
            <w:tcW w:type="dxa" w:w="3672"/>
            <w:vAlign w:val="center"/>
            <w:tcMar>
              <w:top w:w="110" w:type="dxa"/>
              <w:start w:w="120" w:type="dxa"/>
              <w:bottom w:w="110" w:type="dxa"/>
              <w:end w:w="120" w:type="dxa"/>
            </w:tcMar>
          </w:tcPr>
          <w:p>
            <w:r/>
            <w:r>
              <w:rPr>
                <w:b w:val="0"/>
                <w:sz w:val="19"/>
              </w:rPr>
              <w:t>Independent core module.</w:t>
            </w:r>
          </w:p>
        </w:tc>
      </w:tr>
      <w:tr>
        <w:tc>
          <w:tcPr>
            <w:tcW w:type="dxa" w:w="2376"/>
            <w:vAlign w:val="center"/>
            <w:tcMar>
              <w:top w:w="110" w:type="dxa"/>
              <w:start w:w="120" w:type="dxa"/>
              <w:bottom w:w="110" w:type="dxa"/>
              <w:end w:w="120" w:type="dxa"/>
            </w:tcMar>
          </w:tcPr>
          <w:p>
            <w:r/>
            <w:r>
              <w:rPr>
                <w:b w:val="0"/>
                <w:sz w:val="19"/>
              </w:rPr>
              <w:t>ArchitectOS MCP</w:t>
            </w:r>
          </w:p>
        </w:tc>
        <w:tc>
          <w:tcPr>
            <w:tcW w:type="dxa" w:w="3672"/>
            <w:vAlign w:val="center"/>
            <w:tcMar>
              <w:top w:w="110" w:type="dxa"/>
              <w:start w:w="120" w:type="dxa"/>
              <w:bottom w:w="110" w:type="dxa"/>
              <w:end w:w="120" w:type="dxa"/>
            </w:tcMar>
          </w:tcPr>
          <w:p>
            <w:r/>
            <w:r>
              <w:rPr>
                <w:b w:val="0"/>
                <w:sz w:val="19"/>
              </w:rPr>
              <w:t>Memory access for external agents.</w:t>
            </w:r>
          </w:p>
        </w:tc>
        <w:tc>
          <w:tcPr>
            <w:tcW w:type="dxa" w:w="3672"/>
            <w:vAlign w:val="center"/>
            <w:tcMar>
              <w:top w:w="110" w:type="dxa"/>
              <w:start w:w="120" w:type="dxa"/>
              <w:bottom w:w="110" w:type="dxa"/>
              <w:end w:w="120" w:type="dxa"/>
            </w:tcMar>
          </w:tcPr>
          <w:p>
            <w:r/>
            <w:r>
              <w:rPr>
                <w:b w:val="0"/>
                <w:sz w:val="19"/>
              </w:rPr>
              <w:t>Does not have to expose Architecture Intelligence initially.</w:t>
            </w:r>
          </w:p>
        </w:tc>
      </w:tr>
      <w:tr>
        <w:tc>
          <w:tcPr>
            <w:tcW w:type="dxa" w:w="2376"/>
            <w:vAlign w:val="center"/>
            <w:tcMar>
              <w:top w:w="110" w:type="dxa"/>
              <w:start w:w="120" w:type="dxa"/>
              <w:bottom w:w="110" w:type="dxa"/>
              <w:end w:w="120" w:type="dxa"/>
            </w:tcMar>
          </w:tcPr>
          <w:p>
            <w:r/>
            <w:r>
              <w:rPr>
                <w:b w:val="0"/>
                <w:sz w:val="19"/>
              </w:rPr>
              <w:t>AI / Agents</w:t>
            </w:r>
          </w:p>
        </w:tc>
        <w:tc>
          <w:tcPr>
            <w:tcW w:type="dxa" w:w="3672"/>
            <w:vAlign w:val="center"/>
            <w:tcMar>
              <w:top w:w="110" w:type="dxa"/>
              <w:start w:w="120" w:type="dxa"/>
              <w:bottom w:w="110" w:type="dxa"/>
              <w:end w:w="120" w:type="dxa"/>
            </w:tcMar>
          </w:tcPr>
          <w:p>
            <w:r/>
            <w:r>
              <w:rPr>
                <w:b w:val="0"/>
                <w:sz w:val="19"/>
              </w:rPr>
              <w:t>Optional explanation, hypothesis generation, ambiguity resolution, change-impact assistance.</w:t>
            </w:r>
          </w:p>
        </w:tc>
        <w:tc>
          <w:tcPr>
            <w:tcW w:type="dxa" w:w="3672"/>
            <w:vAlign w:val="center"/>
            <w:tcMar>
              <w:top w:w="110" w:type="dxa"/>
              <w:start w:w="120" w:type="dxa"/>
              <w:bottom w:w="110" w:type="dxa"/>
              <w:end w:w="120" w:type="dxa"/>
            </w:tcMar>
          </w:tcPr>
          <w:p>
            <w:r/>
            <w:r>
              <w:rPr>
                <w:b w:val="0"/>
                <w:sz w:val="19"/>
              </w:rPr>
              <w:t>Consumes graph and optionally Memory; does not own truth.</w:t>
            </w:r>
          </w:p>
        </w:tc>
      </w:tr>
    </w:tbl>
    <w:p/>
    <w:p>
      <w:pPr>
        <w:pStyle w:val="Heading1"/>
      </w:pPr>
      <w:r>
        <w:t>3. Universal Analysis Architecture</w:t>
      </w:r>
    </w:p>
    <w:p>
      <w:r>
        <w:t>The main architectural principle is to own a universal ArchitectOS representation instead of binding the product to Sourcegraph, Joern, CodeQL, a specific language, or a specific framework.</w:t>
      </w:r>
    </w:p>
    <w:p>
      <w:pPr>
        <w:spacing w:after="60"/>
        <w:ind w:left="29" w:hanging="29"/>
      </w:pPr>
      <w:r>
        <w:rPr>
          <w:b/>
        </w:rPr>
        <w:t xml:space="preserve">1.  </w:t>
      </w:r>
      <w:r>
        <w:t>Detect the project stack automatically from repository files, build metadata, package manifests, imports, annotations, schemas, migrations, configuration, and source structure.</w:t>
      </w:r>
    </w:p>
    <w:p>
      <w:pPr>
        <w:spacing w:after="60"/>
        <w:ind w:left="29" w:hanging="29"/>
      </w:pPr>
      <w:r>
        <w:rPr>
          <w:b/>
        </w:rPr>
        <w:t xml:space="preserve">2.  </w:t>
      </w:r>
      <w:r>
        <w:t>Select the best available analyzers for each detected technology.</w:t>
      </w:r>
    </w:p>
    <w:p>
      <w:pPr>
        <w:spacing w:after="60"/>
        <w:ind w:left="29" w:hanging="29"/>
      </w:pPr>
      <w:r>
        <w:rPr>
          <w:b/>
        </w:rPr>
        <w:t xml:space="preserve">3.  </w:t>
      </w:r>
      <w:r>
        <w:t>Run multiple analyzers where useful; no analyzer is the product core.</w:t>
      </w:r>
    </w:p>
    <w:p>
      <w:pPr>
        <w:spacing w:after="60"/>
        <w:ind w:left="29" w:hanging="29"/>
      </w:pPr>
      <w:r>
        <w:rPr>
          <w:b/>
        </w:rPr>
        <w:t xml:space="preserve">4.  </w:t>
      </w:r>
      <w:r>
        <w:t>Normalize all discovered facts into the ArchitectOS Architecture IR.</w:t>
      </w:r>
    </w:p>
    <w:p>
      <w:pPr>
        <w:spacing w:after="60"/>
        <w:ind w:left="29" w:hanging="29"/>
      </w:pPr>
      <w:r>
        <w:rPr>
          <w:b/>
        </w:rPr>
        <w:t xml:space="preserve">5.  </w:t>
      </w:r>
      <w:r>
        <w:t>Attach evidence and confidence to every normalized relationship.</w:t>
      </w:r>
    </w:p>
    <w:p>
      <w:pPr>
        <w:spacing w:after="60"/>
        <w:ind w:left="29" w:hanging="29"/>
      </w:pPr>
      <w:r>
        <w:rPr>
          <w:b/>
        </w:rPr>
        <w:t xml:space="preserve">6.  </w:t>
      </w:r>
      <w:r>
        <w:t>Store the normalized graph separately from raw analyzer output.</w:t>
      </w:r>
    </w:p>
    <w:p>
      <w:pPr>
        <w:spacing w:after="60"/>
        <w:ind w:left="29" w:hanging="29"/>
      </w:pPr>
      <w:r>
        <w:rPr>
          <w:b/>
        </w:rPr>
        <w:t xml:space="preserve">7.  </w:t>
      </w:r>
      <w:r>
        <w:t>Render only the requested subgraph in the interactive wiring UI.</w:t>
      </w:r>
    </w:p>
    <w:p>
      <w:pPr>
        <w:pStyle w:val="Heading2"/>
      </w:pPr>
      <w:r>
        <w:t>3.1 Pluggable analyzer model</w:t>
      </w:r>
    </w:p>
    <w:p>
      <w:pPr>
        <w:pStyle w:val="ListBullet"/>
        <w:spacing w:after="60"/>
        <w:ind w:left="317"/>
      </w:pPr>
      <w:r>
        <w:t>Generic parsers: Tree-sitter or equivalent syntax parsers for broad language coverage.</w:t>
      </w:r>
    </w:p>
    <w:p>
      <w:pPr>
        <w:pStyle w:val="ListBullet"/>
        <w:spacing w:after="60"/>
        <w:ind w:left="317"/>
      </w:pPr>
      <w:r>
        <w:t>Language intelligence: LSP, SCIP, compiler APIs, symbol indexes, call/reference analysis.</w:t>
      </w:r>
    </w:p>
    <w:p>
      <w:pPr>
        <w:pStyle w:val="ListBullet"/>
        <w:spacing w:after="60"/>
        <w:ind w:left="317"/>
      </w:pPr>
      <w:r>
        <w:t>Deep analysis where needed: data-flow / control-flow / code-property-graph engines such as Joern or CodeQL adapters.</w:t>
      </w:r>
    </w:p>
    <w:p>
      <w:pPr>
        <w:pStyle w:val="ListBullet"/>
        <w:spacing w:after="60"/>
        <w:ind w:left="317"/>
      </w:pPr>
      <w:r>
        <w:t>Framework analyzers: Spring/JPA, React, Node.js frameworks, ORM layers, migration tools, API frameworks, report engines, job schedulers, etc.</w:t>
      </w:r>
    </w:p>
    <w:p>
      <w:pPr>
        <w:pStyle w:val="ListBullet"/>
        <w:spacing w:after="60"/>
        <w:ind w:left="317"/>
      </w:pPr>
      <w:r>
        <w:t>Schema analyzers: SQL DDL, Liquibase/Flyway, ORM mappings, generated schemas, optional live DB metadata.</w:t>
      </w:r>
    </w:p>
    <w:p>
      <w:pPr>
        <w:pStyle w:val="ListBullet"/>
        <w:spacing w:after="60"/>
        <w:ind w:left="317"/>
      </w:pPr>
      <w:r>
        <w:t>Configuration analyzers: YAML, JSON, XML, env templates, routing/configuration DSLs.</w:t>
      </w:r>
    </w:p>
    <w:p>
      <w:pPr>
        <w:pStyle w:val="ListBullet"/>
        <w:spacing w:after="60"/>
        <w:ind w:left="317"/>
      </w:pPr>
      <w:r>
        <w:t>Custom project adapters: reusable plug-ins for proprietary conventions or internal frameworks.</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F4E79"/>
                <w:sz w:val="22"/>
              </w:rPr>
              <w:t>Design rule</w:t>
              <w:br/>
            </w:r>
            <w:r>
              <w:rPr>
                <w:sz w:val="21"/>
              </w:rPr>
              <w:t>A new language or framework must require a new adapter, not a redesign of the core graph, storage, or UI.</w:t>
            </w:r>
          </w:p>
        </w:tc>
      </w:tr>
    </w:tbl>
    <w:p>
      <w:pPr>
        <w:spacing w:after="0"/>
      </w:pPr>
    </w:p>
    <w:p>
      <w:pPr>
        <w:pStyle w:val="Heading1"/>
      </w:pPr>
      <w:r>
        <w:t>4. ArchitectOS Architecture IR</w:t>
      </w:r>
    </w:p>
    <w:p>
      <w:r>
        <w:t>The Architecture IR is the canonical, technology-neutral model owned by ArchitectOS. It allows a Java entity, a Rust struct, a Go type, a SQL table, a React filter, and a report column to participate in the same wiring model.</w:t>
      </w:r>
    </w:p>
    <w:p>
      <w:pPr>
        <w:pStyle w:val="Heading2"/>
      </w:pPr>
      <w:r>
        <w:t>4.1 Core objects</w:t>
      </w:r>
    </w:p>
    <w:tbl>
      <w:tblPr>
        <w:tblW w:type="auto" w:w="0"/>
        <w:jc w:val="center"/>
        <w:tblLayout w:type="fixed"/>
        <w:tblLook w:firstColumn="1" w:firstRow="1" w:lastColumn="0" w:lastRow="0" w:noHBand="0" w:noVBand="1" w:val="04A0"/>
      </w:tblPr>
      <w:tblGrid>
        <w:gridCol w:w="1800"/>
        <w:gridCol w:w="2448"/>
        <w:gridCol w:w="2880"/>
        <w:gridCol w:w="2664"/>
      </w:tblGrid>
      <w:tr>
        <w:trPr>
          <w:tblHeader w:val="true"/>
        </w:trPr>
        <w:tc>
          <w:tcPr>
            <w:tcW w:type="dxa" w:w="2498"/>
            <w:vAlign w:val="center"/>
            <w:tcMar>
              <w:top w:w="110" w:type="dxa"/>
              <w:start w:w="120" w:type="dxa"/>
              <w:bottom w:w="110" w:type="dxa"/>
              <w:end w:w="120" w:type="dxa"/>
            </w:tcMar>
            <w:shd w:fill="1F4E79"/>
          </w:tcPr>
          <w:p>
            <w:pPr>
              <w:jc w:val="center"/>
            </w:pPr>
            <w:r/>
            <w:r>
              <w:rPr>
                <w:b/>
                <w:color w:val="FFFFFF"/>
                <w:sz w:val="20"/>
              </w:rPr>
              <w:t>Object</w:t>
            </w:r>
          </w:p>
        </w:tc>
        <w:tc>
          <w:tcPr>
            <w:tcW w:type="dxa" w:w="2498"/>
            <w:vAlign w:val="center"/>
            <w:tcMar>
              <w:top w:w="110" w:type="dxa"/>
              <w:start w:w="120" w:type="dxa"/>
              <w:bottom w:w="110" w:type="dxa"/>
              <w:end w:w="120" w:type="dxa"/>
            </w:tcMar>
            <w:shd w:fill="1F4E79"/>
          </w:tcPr>
          <w:p>
            <w:pPr>
              <w:jc w:val="center"/>
            </w:pPr>
            <w:r/>
            <w:r>
              <w:rPr>
                <w:b/>
                <w:color w:val="FFFFFF"/>
                <w:sz w:val="20"/>
              </w:rPr>
              <w:t>Meaning</w:t>
            </w:r>
          </w:p>
        </w:tc>
        <w:tc>
          <w:tcPr>
            <w:tcW w:type="dxa" w:w="2498"/>
            <w:vAlign w:val="center"/>
            <w:tcMar>
              <w:top w:w="110" w:type="dxa"/>
              <w:start w:w="120" w:type="dxa"/>
              <w:bottom w:w="110" w:type="dxa"/>
              <w:end w:w="120" w:type="dxa"/>
            </w:tcMar>
            <w:shd w:fill="1F4E79"/>
          </w:tcPr>
          <w:p>
            <w:pPr>
              <w:jc w:val="center"/>
            </w:pPr>
            <w:r/>
            <w:r>
              <w:rPr>
                <w:b/>
                <w:color w:val="FFFFFF"/>
                <w:sz w:val="20"/>
              </w:rPr>
              <w:t>Examples</w:t>
            </w:r>
          </w:p>
        </w:tc>
        <w:tc>
          <w:tcPr>
            <w:tcW w:type="dxa" w:w="2498"/>
            <w:vAlign w:val="center"/>
            <w:tcMar>
              <w:top w:w="110" w:type="dxa"/>
              <w:start w:w="120" w:type="dxa"/>
              <w:bottom w:w="110" w:type="dxa"/>
              <w:end w:w="120" w:type="dxa"/>
            </w:tcMar>
            <w:shd w:fill="1F4E79"/>
          </w:tcPr>
          <w:p>
            <w:pPr>
              <w:jc w:val="center"/>
            </w:pPr>
            <w:r/>
            <w:r>
              <w:rPr>
                <w:b/>
                <w:color w:val="FFFFFF"/>
                <w:sz w:val="20"/>
              </w:rPr>
              <w:t>Key metadata</w:t>
            </w:r>
          </w:p>
        </w:tc>
      </w:tr>
      <w:tr>
        <w:tc>
          <w:tcPr>
            <w:tcW w:type="dxa" w:w="1800"/>
            <w:vAlign w:val="center"/>
            <w:tcMar>
              <w:top w:w="110" w:type="dxa"/>
              <w:start w:w="120" w:type="dxa"/>
              <w:bottom w:w="110" w:type="dxa"/>
              <w:end w:w="120" w:type="dxa"/>
            </w:tcMar>
          </w:tcPr>
          <w:p>
            <w:r/>
            <w:r>
              <w:rPr>
                <w:b w:val="0"/>
                <w:sz w:val="18"/>
              </w:rPr>
              <w:t>Component</w:t>
            </w:r>
          </w:p>
        </w:tc>
        <w:tc>
          <w:tcPr>
            <w:tcW w:type="dxa" w:w="2448"/>
            <w:vAlign w:val="center"/>
            <w:tcMar>
              <w:top w:w="110" w:type="dxa"/>
              <w:start w:w="120" w:type="dxa"/>
              <w:bottom w:w="110" w:type="dxa"/>
              <w:end w:w="120" w:type="dxa"/>
            </w:tcMar>
          </w:tcPr>
          <w:p>
            <w:r/>
            <w:r>
              <w:rPr>
                <w:b w:val="0"/>
                <w:sz w:val="18"/>
              </w:rPr>
              <w:t>A block in the system.</w:t>
            </w:r>
          </w:p>
        </w:tc>
        <w:tc>
          <w:tcPr>
            <w:tcW w:type="dxa" w:w="2880"/>
            <w:vAlign w:val="center"/>
            <w:tcMar>
              <w:top w:w="110" w:type="dxa"/>
              <w:start w:w="120" w:type="dxa"/>
              <w:bottom w:w="110" w:type="dxa"/>
              <w:end w:w="120" w:type="dxa"/>
            </w:tcMar>
          </w:tcPr>
          <w:p>
            <w:r/>
            <w:r>
              <w:rPr>
                <w:b w:val="0"/>
                <w:sz w:val="18"/>
              </w:rPr>
              <w:t>Entity, table, uploader, API, report, service, UI view, job.</w:t>
            </w:r>
          </w:p>
        </w:tc>
        <w:tc>
          <w:tcPr>
            <w:tcW w:type="dxa" w:w="2664"/>
            <w:vAlign w:val="center"/>
            <w:tcMar>
              <w:top w:w="110" w:type="dxa"/>
              <w:start w:w="120" w:type="dxa"/>
              <w:bottom w:w="110" w:type="dxa"/>
              <w:end w:w="120" w:type="dxa"/>
            </w:tcMar>
          </w:tcPr>
          <w:p>
            <w:r/>
            <w:r>
              <w:rPr>
                <w:b w:val="0"/>
                <w:sz w:val="18"/>
              </w:rPr>
              <w:t>type, name, source, module, technology</w:t>
            </w:r>
          </w:p>
        </w:tc>
      </w:tr>
      <w:tr>
        <w:tc>
          <w:tcPr>
            <w:tcW w:type="dxa" w:w="1800"/>
            <w:vAlign w:val="center"/>
            <w:tcMar>
              <w:top w:w="110" w:type="dxa"/>
              <w:start w:w="120" w:type="dxa"/>
              <w:bottom w:w="110" w:type="dxa"/>
              <w:end w:w="120" w:type="dxa"/>
            </w:tcMar>
          </w:tcPr>
          <w:p>
            <w:r/>
            <w:r>
              <w:rPr>
                <w:b w:val="0"/>
                <w:sz w:val="18"/>
              </w:rPr>
              <w:t>Internal element</w:t>
            </w:r>
          </w:p>
        </w:tc>
        <w:tc>
          <w:tcPr>
            <w:tcW w:type="dxa" w:w="2448"/>
            <w:vAlign w:val="center"/>
            <w:tcMar>
              <w:top w:w="110" w:type="dxa"/>
              <w:start w:w="120" w:type="dxa"/>
              <w:bottom w:w="110" w:type="dxa"/>
              <w:end w:w="120" w:type="dxa"/>
            </w:tcMar>
          </w:tcPr>
          <w:p>
            <w:r/>
            <w:r>
              <w:rPr>
                <w:b w:val="0"/>
                <w:sz w:val="18"/>
              </w:rPr>
              <w:t>Addressable point inside a component.</w:t>
            </w:r>
          </w:p>
        </w:tc>
        <w:tc>
          <w:tcPr>
            <w:tcW w:type="dxa" w:w="2880"/>
            <w:vAlign w:val="center"/>
            <w:tcMar>
              <w:top w:w="110" w:type="dxa"/>
              <w:start w:w="120" w:type="dxa"/>
              <w:bottom w:w="110" w:type="dxa"/>
              <w:end w:w="120" w:type="dxa"/>
            </w:tcMar>
          </w:tcPr>
          <w:p>
            <w:r/>
            <w:r>
              <w:rPr>
                <w:b w:val="0"/>
                <w:sz w:val="18"/>
              </w:rPr>
              <w:t>field, column, endpoint param, report column, filter input.</w:t>
            </w:r>
          </w:p>
        </w:tc>
        <w:tc>
          <w:tcPr>
            <w:tcW w:type="dxa" w:w="2664"/>
            <w:vAlign w:val="center"/>
            <w:tcMar>
              <w:top w:w="110" w:type="dxa"/>
              <w:start w:w="120" w:type="dxa"/>
              <w:bottom w:w="110" w:type="dxa"/>
              <w:end w:w="120" w:type="dxa"/>
            </w:tcMar>
          </w:tcPr>
          <w:p>
            <w:r/>
            <w:r>
              <w:rPr>
                <w:b w:val="0"/>
                <w:sz w:val="18"/>
              </w:rPr>
              <w:t>parent, kind, datatype, path</w:t>
            </w:r>
          </w:p>
        </w:tc>
      </w:tr>
      <w:tr>
        <w:tc>
          <w:tcPr>
            <w:tcW w:type="dxa" w:w="1800"/>
            <w:vAlign w:val="center"/>
            <w:tcMar>
              <w:top w:w="110" w:type="dxa"/>
              <w:start w:w="120" w:type="dxa"/>
              <w:bottom w:w="110" w:type="dxa"/>
              <w:end w:w="120" w:type="dxa"/>
            </w:tcMar>
          </w:tcPr>
          <w:p>
            <w:r/>
            <w:r>
              <w:rPr>
                <w:b w:val="0"/>
                <w:sz w:val="18"/>
              </w:rPr>
              <w:t>Connection</w:t>
            </w:r>
          </w:p>
        </w:tc>
        <w:tc>
          <w:tcPr>
            <w:tcW w:type="dxa" w:w="2448"/>
            <w:vAlign w:val="center"/>
            <w:tcMar>
              <w:top w:w="110" w:type="dxa"/>
              <w:start w:w="120" w:type="dxa"/>
              <w:bottom w:w="110" w:type="dxa"/>
              <w:end w:w="120" w:type="dxa"/>
            </w:tcMar>
          </w:tcPr>
          <w:p>
            <w:r/>
            <w:r>
              <w:rPr>
                <w:b w:val="0"/>
                <w:sz w:val="18"/>
              </w:rPr>
              <w:t>A directed relationship between two points.</w:t>
            </w:r>
          </w:p>
        </w:tc>
        <w:tc>
          <w:tcPr>
            <w:tcW w:type="dxa" w:w="2880"/>
            <w:vAlign w:val="center"/>
            <w:tcMar>
              <w:top w:w="110" w:type="dxa"/>
              <w:start w:w="120" w:type="dxa"/>
              <w:bottom w:w="110" w:type="dxa"/>
              <w:end w:w="120" w:type="dxa"/>
            </w:tcMar>
          </w:tcPr>
          <w:p>
            <w:r/>
            <w:r>
              <w:rPr>
                <w:b w:val="0"/>
                <w:sz w:val="18"/>
              </w:rPr>
              <w:t>reads, writes, maps-to, exposes, filters-by, calls.</w:t>
            </w:r>
          </w:p>
        </w:tc>
        <w:tc>
          <w:tcPr>
            <w:tcW w:type="dxa" w:w="2664"/>
            <w:vAlign w:val="center"/>
            <w:tcMar>
              <w:top w:w="110" w:type="dxa"/>
              <w:start w:w="120" w:type="dxa"/>
              <w:bottom w:w="110" w:type="dxa"/>
              <w:end w:w="120" w:type="dxa"/>
            </w:tcMar>
          </w:tcPr>
          <w:p>
            <w:r/>
            <w:r>
              <w:rPr>
                <w:b w:val="0"/>
                <w:sz w:val="18"/>
              </w:rPr>
              <w:t>source, target, relation type</w:t>
            </w:r>
          </w:p>
        </w:tc>
      </w:tr>
      <w:tr>
        <w:tc>
          <w:tcPr>
            <w:tcW w:type="dxa" w:w="1800"/>
            <w:vAlign w:val="center"/>
            <w:tcMar>
              <w:top w:w="110" w:type="dxa"/>
              <w:start w:w="120" w:type="dxa"/>
              <w:bottom w:w="110" w:type="dxa"/>
              <w:end w:w="120" w:type="dxa"/>
            </w:tcMar>
          </w:tcPr>
          <w:p>
            <w:r/>
            <w:r>
              <w:rPr>
                <w:b w:val="0"/>
                <w:sz w:val="18"/>
              </w:rPr>
              <w:t>Evidence</w:t>
            </w:r>
          </w:p>
        </w:tc>
        <w:tc>
          <w:tcPr>
            <w:tcW w:type="dxa" w:w="2448"/>
            <w:vAlign w:val="center"/>
            <w:tcMar>
              <w:top w:w="110" w:type="dxa"/>
              <w:start w:w="120" w:type="dxa"/>
              <w:bottom w:w="110" w:type="dxa"/>
              <w:end w:w="120" w:type="dxa"/>
            </w:tcMar>
          </w:tcPr>
          <w:p>
            <w:r/>
            <w:r>
              <w:rPr>
                <w:b w:val="0"/>
                <w:sz w:val="18"/>
              </w:rPr>
              <w:t>Why ArchitectOS believes the connection exists.</w:t>
            </w:r>
          </w:p>
        </w:tc>
        <w:tc>
          <w:tcPr>
            <w:tcW w:type="dxa" w:w="2880"/>
            <w:vAlign w:val="center"/>
            <w:tcMar>
              <w:top w:w="110" w:type="dxa"/>
              <w:start w:w="120" w:type="dxa"/>
              <w:bottom w:w="110" w:type="dxa"/>
              <w:end w:w="120" w:type="dxa"/>
            </w:tcMar>
          </w:tcPr>
          <w:p>
            <w:r/>
            <w:r>
              <w:rPr>
                <w:b w:val="0"/>
                <w:sz w:val="18"/>
              </w:rPr>
              <w:t>file/line, annotation, import, SQL, config, analyzer fact.</w:t>
            </w:r>
          </w:p>
        </w:tc>
        <w:tc>
          <w:tcPr>
            <w:tcW w:type="dxa" w:w="2664"/>
            <w:vAlign w:val="center"/>
            <w:tcMar>
              <w:top w:w="110" w:type="dxa"/>
              <w:start w:w="120" w:type="dxa"/>
              <w:bottom w:w="110" w:type="dxa"/>
              <w:end w:w="120" w:type="dxa"/>
            </w:tcMar>
          </w:tcPr>
          <w:p>
            <w:r/>
            <w:r>
              <w:rPr>
                <w:b w:val="0"/>
                <w:sz w:val="18"/>
              </w:rPr>
              <w:t>location, analyzer, raw fact</w:t>
            </w:r>
          </w:p>
        </w:tc>
      </w:tr>
      <w:tr>
        <w:tc>
          <w:tcPr>
            <w:tcW w:type="dxa" w:w="1800"/>
            <w:vAlign w:val="center"/>
            <w:tcMar>
              <w:top w:w="110" w:type="dxa"/>
              <w:start w:w="120" w:type="dxa"/>
              <w:bottom w:w="110" w:type="dxa"/>
              <w:end w:w="120" w:type="dxa"/>
            </w:tcMar>
          </w:tcPr>
          <w:p>
            <w:r/>
            <w:r>
              <w:rPr>
                <w:b w:val="0"/>
                <w:sz w:val="18"/>
              </w:rPr>
              <w:t>Confidence</w:t>
            </w:r>
          </w:p>
        </w:tc>
        <w:tc>
          <w:tcPr>
            <w:tcW w:type="dxa" w:w="2448"/>
            <w:vAlign w:val="center"/>
            <w:tcMar>
              <w:top w:w="110" w:type="dxa"/>
              <w:start w:w="120" w:type="dxa"/>
              <w:bottom w:w="110" w:type="dxa"/>
              <w:end w:w="120" w:type="dxa"/>
            </w:tcMar>
          </w:tcPr>
          <w:p>
            <w:r/>
            <w:r>
              <w:rPr>
                <w:b w:val="0"/>
                <w:sz w:val="18"/>
              </w:rPr>
              <w:t>Strength of a discovered relation.</w:t>
            </w:r>
          </w:p>
        </w:tc>
        <w:tc>
          <w:tcPr>
            <w:tcW w:type="dxa" w:w="2880"/>
            <w:vAlign w:val="center"/>
            <w:tcMar>
              <w:top w:w="110" w:type="dxa"/>
              <w:start w:w="120" w:type="dxa"/>
              <w:bottom w:w="110" w:type="dxa"/>
              <w:end w:w="120" w:type="dxa"/>
            </w:tcMar>
          </w:tcPr>
          <w:p>
            <w:r/>
            <w:r>
              <w:rPr>
                <w:b w:val="0"/>
                <w:sz w:val="18"/>
              </w:rPr>
              <w:t>exact, strong, inferred, uncertain.</w:t>
            </w:r>
          </w:p>
        </w:tc>
        <w:tc>
          <w:tcPr>
            <w:tcW w:type="dxa" w:w="2664"/>
            <w:vAlign w:val="center"/>
            <w:tcMar>
              <w:top w:w="110" w:type="dxa"/>
              <w:start w:w="120" w:type="dxa"/>
              <w:bottom w:w="110" w:type="dxa"/>
              <w:end w:w="120" w:type="dxa"/>
            </w:tcMar>
          </w:tcPr>
          <w:p>
            <w:r/>
            <w:r>
              <w:rPr>
                <w:b w:val="0"/>
                <w:sz w:val="18"/>
              </w:rPr>
              <w:t>score, rationale, conflict state</w:t>
            </w:r>
          </w:p>
        </w:tc>
      </w:tr>
    </w:tbl>
    <w:p>
      <w:pPr>
        <w:pStyle w:val="Heading2"/>
      </w:pPr>
      <w:r>
        <w:t>4.2 Relationship semantics</w:t>
      </w:r>
    </w:p>
    <w:p>
      <w:pPr>
        <w:pStyle w:val="ListBullet"/>
        <w:spacing w:after="60"/>
        <w:ind w:left="317"/>
      </w:pPr>
      <w:r>
        <w:t>Relationships should be typed, not stored as generic “connected-to” edges only.</w:t>
      </w:r>
    </w:p>
    <w:p>
      <w:pPr>
        <w:pStyle w:val="ListBullet"/>
        <w:spacing w:after="60"/>
        <w:ind w:left="317"/>
      </w:pPr>
      <w:r>
        <w:t>Examples: maps_to, reads_from, writes_to, exposes, consumes, produces, calls, transforms, filters_by, displays, serializes_as, configured_by, triggers, validates, aggregates, derives_from.</w:t>
      </w:r>
    </w:p>
    <w:p>
      <w:pPr>
        <w:pStyle w:val="ListBullet"/>
        <w:spacing w:after="60"/>
        <w:ind w:left="317"/>
      </w:pPr>
      <w:r>
        <w:t>A relationship may connect whole components or specific internal elements.</w:t>
      </w:r>
    </w:p>
    <w:p>
      <w:pPr>
        <w:pStyle w:val="ListBullet"/>
        <w:spacing w:after="60"/>
        <w:ind w:left="317"/>
      </w:pPr>
      <w:r>
        <w:t>Multiple evidences may support the same logical relationship.</w:t>
      </w:r>
    </w:p>
    <w:p>
      <w:pPr>
        <w:pStyle w:val="ListBullet"/>
        <w:spacing w:after="60"/>
        <w:ind w:left="317"/>
      </w:pPr>
      <w:r>
        <w:t>Conflicting analyzer results must be preserved and surfaced rather than silently overwritten.</w:t>
      </w:r>
    </w:p>
    <w:p>
      <w:pPr>
        <w:pStyle w:val="Heading1"/>
      </w:pPr>
      <w:r>
        <w:t>5. Interactive Wiring Map UX</w:t>
      </w:r>
    </w:p>
    <w:p>
      <w:r>
        <w:t>The UI must not look like a generic node-link graph. The intended visual language is an interactive system wiring diagram or block schematic.</w:t>
      </w:r>
    </w:p>
    <w:p>
      <w:pPr>
        <w:pStyle w:val="Heading2"/>
      </w:pPr>
      <w:r>
        <w:t>5.1 Block model</w:t>
      </w:r>
    </w:p>
    <w:p>
      <w:pPr>
        <w:pStyle w:val="ListBullet"/>
        <w:spacing w:after="60"/>
        <w:ind w:left="317"/>
      </w:pPr>
      <w:r>
        <w:t>Each system component appears as a visual block.</w:t>
      </w:r>
    </w:p>
    <w:p>
      <w:pPr>
        <w:pStyle w:val="ListBullet"/>
        <w:spacing w:after="60"/>
        <w:ind w:left="317"/>
      </w:pPr>
      <w:r>
        <w:t>A block may contain clickable internal points: fields, columns, properties, endpoint inputs, report fields, filter parameters, ports, outputs, etc.</w:t>
      </w:r>
    </w:p>
    <w:p>
      <w:pPr>
        <w:pStyle w:val="ListBullet"/>
        <w:spacing w:after="60"/>
        <w:ind w:left="317"/>
      </w:pPr>
      <w:r>
        <w:t>Connections visually attach to the relevant block or internal point, similar to wires connected to terminals in an electrical schematic.</w:t>
      </w:r>
    </w:p>
    <w:p>
      <w:pPr>
        <w:pStyle w:val="ListBullet"/>
        <w:spacing w:after="60"/>
        <w:ind w:left="317"/>
      </w:pPr>
      <w:r>
        <w:t>Internal details can collapse/expand to control visual density.</w:t>
      </w:r>
    </w:p>
    <w:p>
      <w:pPr>
        <w:pStyle w:val="Heading2"/>
      </w:pPr>
      <w:r>
        <w:t>5.2 Click behavior</w:t>
      </w:r>
    </w:p>
    <w:p>
      <w:pPr>
        <w:pStyle w:val="ListBullet"/>
        <w:spacing w:after="60"/>
        <w:ind w:left="317"/>
      </w:pPr>
      <w:r>
        <w:t>Click a component: show every discovered relationship of that component, including relationships of its internal elements.</w:t>
      </w:r>
    </w:p>
    <w:p>
      <w:pPr>
        <w:pStyle w:val="ListBullet"/>
        <w:spacing w:after="60"/>
        <w:ind w:left="317"/>
      </w:pPr>
      <w:r>
        <w:t>Click an internal element: narrow the map to relationships of that element only.</w:t>
      </w:r>
    </w:p>
    <w:p>
      <w:pPr>
        <w:pStyle w:val="ListBullet"/>
        <w:spacing w:after="60"/>
        <w:ind w:left="317"/>
      </w:pPr>
      <w:r>
        <w:t>Example: clicking Site shows all wiring for the Site component; clicking Site.capacity shows only the wiring involving Site.capacity.</w:t>
      </w:r>
    </w:p>
    <w:p>
      <w:pPr>
        <w:pStyle w:val="ListBullet"/>
        <w:spacing w:after="60"/>
        <w:ind w:left="317"/>
      </w:pPr>
      <w:r>
        <w:t>The same behavior applies to every block type, including uploader, report, API, table, UI filter, service, and job.</w:t>
      </w:r>
    </w:p>
    <w:p>
      <w:pPr>
        <w:pStyle w:val="Heading2"/>
      </w:pPr>
      <w:r>
        <w:t>5.3 Navigation modes</w:t>
      </w:r>
    </w:p>
    <w:p>
      <w:pPr>
        <w:pStyle w:val="ListBullet"/>
        <w:spacing w:after="60"/>
        <w:ind w:left="317"/>
      </w:pPr>
      <w:r>
        <w:t>Incoming / upstream: “Where does this come from?”</w:t>
      </w:r>
    </w:p>
    <w:p>
      <w:pPr>
        <w:pStyle w:val="ListBullet"/>
        <w:spacing w:after="60"/>
        <w:ind w:left="317"/>
      </w:pPr>
      <w:r>
        <w:t>Outgoing / downstream: “What uses or depends on this?”</w:t>
      </w:r>
    </w:p>
    <w:p>
      <w:pPr>
        <w:pStyle w:val="ListBullet"/>
        <w:spacing w:after="60"/>
        <w:ind w:left="317"/>
      </w:pPr>
      <w:r>
        <w:t>Both directions: complete local wiring.</w:t>
      </w:r>
    </w:p>
    <w:p>
      <w:pPr>
        <w:pStyle w:val="ListBullet"/>
        <w:spacing w:after="60"/>
        <w:ind w:left="317"/>
      </w:pPr>
      <w:r>
        <w:t>Depth control: 1 hop, 2 hops, N hops, or explicit boundary.</w:t>
      </w:r>
    </w:p>
    <w:p>
      <w:pPr>
        <w:pStyle w:val="ListBullet"/>
        <w:spacing w:after="60"/>
        <w:ind w:left="317"/>
      </w:pPr>
      <w:r>
        <w:t>Trace path: show how point A is connected to point B.</w:t>
      </w:r>
    </w:p>
    <w:p>
      <w:pPr>
        <w:pStyle w:val="ListBullet"/>
        <w:spacing w:after="60"/>
        <w:ind w:left="317"/>
      </w:pPr>
      <w:r>
        <w:t>Type filters: DB only, UI only, reports, APIs, uploaders, services, jobs, tests, etc.</w:t>
      </w:r>
    </w:p>
    <w:p>
      <w:pPr>
        <w:pStyle w:val="ListBullet"/>
        <w:spacing w:after="60"/>
        <w:ind w:left="317"/>
      </w:pPr>
      <w:r>
        <w:t>Evidence mode: click a wire to see exactly why it exists.</w:t>
      </w:r>
    </w:p>
    <w:p>
      <w:pPr>
        <w:pStyle w:val="Heading2"/>
      </w:pPr>
      <w:r>
        <w:t>5.4 Rendering approach</w:t>
      </w:r>
    </w:p>
    <w:p>
      <w:r>
        <w:t>A practical implementation can use an interactive node editor such as React Flow for block/port interactions and an automatic layout engine such as ELK for hierarchical routing. These are implementation choices, not product dependencies; the architecture must allow replacement.</w:t>
      </w:r>
    </w:p>
    <w:p>
      <w:pPr>
        <w:pStyle w:val="Heading1"/>
      </w:pPr>
      <w:r>
        <w:t>6. Data Sources and Project Discovery</w:t>
      </w:r>
    </w:p>
    <w:p>
      <w:r>
        <w:t>The project already exists inside an ArchitectOS project as real files. Architecture Intelligence should analyze that source automatically without requiring the user to create a separate project definition.</w:t>
      </w:r>
    </w:p>
    <w:p>
      <w:pPr>
        <w:pStyle w:val="ListBullet"/>
        <w:spacing w:after="60"/>
        <w:ind w:left="317"/>
      </w:pPr>
      <w:r>
        <w:t>Source code and project manifests.</w:t>
      </w:r>
    </w:p>
    <w:p>
      <w:pPr>
        <w:pStyle w:val="ListBullet"/>
        <w:spacing w:after="60"/>
        <w:ind w:left="317"/>
      </w:pPr>
      <w:r>
        <w:t>Build files and dependency declarations.</w:t>
      </w:r>
    </w:p>
    <w:p>
      <w:pPr>
        <w:pStyle w:val="ListBullet"/>
        <w:spacing w:after="60"/>
        <w:ind w:left="317"/>
      </w:pPr>
      <w:r>
        <w:t>Database migrations and schema files.</w:t>
      </w:r>
    </w:p>
    <w:p>
      <w:pPr>
        <w:pStyle w:val="ListBullet"/>
        <w:spacing w:after="60"/>
        <w:ind w:left="317"/>
      </w:pPr>
      <w:r>
        <w:t>ORM mappings and generated model metadata.</w:t>
      </w:r>
    </w:p>
    <w:p>
      <w:pPr>
        <w:pStyle w:val="ListBullet"/>
        <w:spacing w:after="60"/>
        <w:ind w:left="317"/>
      </w:pPr>
      <w:r>
        <w:t>API specifications and routing definitions.</w:t>
      </w:r>
    </w:p>
    <w:p>
      <w:pPr>
        <w:pStyle w:val="ListBullet"/>
        <w:spacing w:after="60"/>
        <w:ind w:left="317"/>
      </w:pPr>
      <w:r>
        <w:t>Report templates, query definitions, mapping files.</w:t>
      </w:r>
    </w:p>
    <w:p>
      <w:pPr>
        <w:pStyle w:val="ListBullet"/>
        <w:spacing w:after="60"/>
        <w:ind w:left="317"/>
      </w:pPr>
      <w:r>
        <w:t>Uploader / importer / exporter definitions and transformations.</w:t>
      </w:r>
    </w:p>
    <w:p>
      <w:pPr>
        <w:pStyle w:val="ListBullet"/>
        <w:spacing w:after="60"/>
        <w:ind w:left="317"/>
      </w:pPr>
      <w:r>
        <w:t>UI code, filters, charts, forms, state and API bindings.</w:t>
      </w:r>
    </w:p>
    <w:p>
      <w:pPr>
        <w:pStyle w:val="ListBullet"/>
        <w:spacing w:after="60"/>
        <w:ind w:left="317"/>
      </w:pPr>
      <w:r>
        <w:t>Configuration, scheduler definitions, message/event bindings.</w:t>
      </w:r>
    </w:p>
    <w:p>
      <w:pPr>
        <w:pStyle w:val="ListBullet"/>
        <w:spacing w:after="60"/>
        <w:ind w:left="317"/>
      </w:pPr>
      <w:r>
        <w:t>Optional live database metadata as an enrichment source, never a mandatory prerequisite.</w:t>
      </w:r>
    </w:p>
    <w:p>
      <w:pPr>
        <w:pStyle w:val="Heading2"/>
      </w:pPr>
      <w:r>
        <w:t>6.1 Automatic stack detection</w:t>
      </w:r>
    </w:p>
    <w:p>
      <w:r>
        <w:t>Before deep analysis, the module should create a technology profile of the project. Detection must be evidence-based and may include language percentages, frameworks, databases, build tools, migration systems, UI frameworks, API styles, reporting technologies, and custom conventions.</w:t>
      </w:r>
    </w:p>
    <w:p>
      <w:pPr>
        <w:pStyle w:val="Heading1"/>
      </w:pPr>
      <w:r>
        <w:t>7. Storage Model</w:t>
      </w:r>
    </w:p>
    <w:p>
      <w:r>
        <w:t>The wiring map should be stored as graph-shaped data, not as a rendered image. For the MVP, a relational database is sufficient and keeps operational complexity low.</w:t>
      </w:r>
    </w:p>
    <w:p>
      <w:pPr>
        <w:pStyle w:val="ListBullet"/>
        <w:spacing w:after="60"/>
        <w:ind w:left="317"/>
      </w:pPr>
      <w:r>
        <w:t>PostgreSQL tables for components, internal elements, connections, evidence, analysis runs, analyzer versions, and project snapshots.</w:t>
      </w:r>
    </w:p>
    <w:p>
      <w:pPr>
        <w:pStyle w:val="ListBullet"/>
        <w:spacing w:after="60"/>
        <w:ind w:left="317"/>
      </w:pPr>
      <w:r>
        <w:t>JSONB for analyzer-specific metadata and extensible attributes.</w:t>
      </w:r>
    </w:p>
    <w:p>
      <w:pPr>
        <w:pStyle w:val="ListBullet"/>
        <w:spacing w:after="60"/>
        <w:ind w:left="317"/>
      </w:pPr>
      <w:r>
        <w:t>Indexes for project, node type, source location, source/target IDs, relation type, and snapshot/version.</w:t>
      </w:r>
    </w:p>
    <w:p>
      <w:pPr>
        <w:pStyle w:val="ListBullet"/>
        <w:spacing w:after="60"/>
        <w:ind w:left="317"/>
      </w:pPr>
      <w:r>
        <w:t>The repository/project files remain the primary source of truth; the architecture database is a reproducible derived index.</w:t>
      </w:r>
    </w:p>
    <w:p>
      <w:pPr>
        <w:pStyle w:val="ListBullet"/>
        <w:spacing w:after="60"/>
        <w:ind w:left="317"/>
      </w:pPr>
      <w:r>
        <w:t>A graph database such as Neo4j can be evaluated later only if graph traversal scale or query complexity justifies it.</w:t>
      </w:r>
    </w:p>
    <w:p>
      <w:pPr>
        <w:pStyle w:val="Heading2"/>
      </w:pPr>
      <w:r>
        <w:t>7.1 Suggested logical tables</w:t>
      </w:r>
    </w:p>
    <w:tbl>
      <w:tblPr>
        <w:tblW w:type="auto" w:w="0"/>
        <w:jc w:val="center"/>
        <w:tblLayout w:type="fixed"/>
        <w:tblLook w:firstColumn="1" w:firstRow="1" w:lastColumn="0" w:lastRow="0" w:noHBand="0" w:noVBand="1" w:val="04A0"/>
      </w:tblPr>
      <w:tblGrid>
        <w:gridCol w:w="2664"/>
        <w:gridCol w:w="3600"/>
        <w:gridCol w:w="3528"/>
      </w:tblGrid>
      <w:tr>
        <w:trPr>
          <w:tblHeader w:val="true"/>
        </w:trPr>
        <w:tc>
          <w:tcPr>
            <w:tcW w:type="dxa" w:w="3331"/>
            <w:vAlign w:val="center"/>
            <w:tcMar>
              <w:top w:w="110" w:type="dxa"/>
              <w:start w:w="120" w:type="dxa"/>
              <w:bottom w:w="110" w:type="dxa"/>
              <w:end w:w="120" w:type="dxa"/>
            </w:tcMar>
            <w:shd w:fill="1F4E79"/>
          </w:tcPr>
          <w:p>
            <w:pPr>
              <w:jc w:val="center"/>
            </w:pPr>
            <w:r/>
            <w:r>
              <w:rPr>
                <w:b/>
                <w:color w:val="FFFFFF"/>
                <w:sz w:val="20"/>
              </w:rPr>
              <w:t>Table</w:t>
            </w:r>
          </w:p>
        </w:tc>
        <w:tc>
          <w:tcPr>
            <w:tcW w:type="dxa" w:w="3331"/>
            <w:vAlign w:val="center"/>
            <w:tcMar>
              <w:top w:w="110" w:type="dxa"/>
              <w:start w:w="120" w:type="dxa"/>
              <w:bottom w:w="110" w:type="dxa"/>
              <w:end w:w="120" w:type="dxa"/>
            </w:tcMar>
            <w:shd w:fill="1F4E79"/>
          </w:tcPr>
          <w:p>
            <w:pPr>
              <w:jc w:val="center"/>
            </w:pPr>
            <w:r/>
            <w:r>
              <w:rPr>
                <w:b/>
                <w:color w:val="FFFFFF"/>
                <w:sz w:val="20"/>
              </w:rPr>
              <w:t>Purpose</w:t>
            </w:r>
          </w:p>
        </w:tc>
        <w:tc>
          <w:tcPr>
            <w:tcW w:type="dxa" w:w="3331"/>
            <w:vAlign w:val="center"/>
            <w:tcMar>
              <w:top w:w="110" w:type="dxa"/>
              <w:start w:w="120" w:type="dxa"/>
              <w:bottom w:w="110" w:type="dxa"/>
              <w:end w:w="120" w:type="dxa"/>
            </w:tcMar>
            <w:shd w:fill="1F4E79"/>
          </w:tcPr>
          <w:p>
            <w:pPr>
              <w:jc w:val="center"/>
            </w:pPr>
            <w:r/>
            <w:r>
              <w:rPr>
                <w:b/>
                <w:color w:val="FFFFFF"/>
                <w:sz w:val="20"/>
              </w:rPr>
              <w:t>Notes</w:t>
            </w:r>
          </w:p>
        </w:tc>
      </w:tr>
      <w:tr>
        <w:tc>
          <w:tcPr>
            <w:tcW w:type="dxa" w:w="2664"/>
            <w:vAlign w:val="center"/>
            <w:tcMar>
              <w:top w:w="110" w:type="dxa"/>
              <w:start w:w="120" w:type="dxa"/>
              <w:bottom w:w="110" w:type="dxa"/>
              <w:end w:w="120" w:type="dxa"/>
            </w:tcMar>
          </w:tcPr>
          <w:p>
            <w:r/>
            <w:r>
              <w:rPr>
                <w:b w:val="0"/>
                <w:sz w:val="18"/>
              </w:rPr>
              <w:t>architecture_component</w:t>
            </w:r>
          </w:p>
        </w:tc>
        <w:tc>
          <w:tcPr>
            <w:tcW w:type="dxa" w:w="3600"/>
            <w:vAlign w:val="center"/>
            <w:tcMar>
              <w:top w:w="110" w:type="dxa"/>
              <w:start w:w="120" w:type="dxa"/>
              <w:bottom w:w="110" w:type="dxa"/>
              <w:end w:w="120" w:type="dxa"/>
            </w:tcMar>
          </w:tcPr>
          <w:p>
            <w:r/>
            <w:r>
              <w:rPr>
                <w:b w:val="0"/>
                <w:sz w:val="18"/>
              </w:rPr>
              <w:t>Top-level blocks.</w:t>
            </w:r>
          </w:p>
        </w:tc>
        <w:tc>
          <w:tcPr>
            <w:tcW w:type="dxa" w:w="3528"/>
            <w:vAlign w:val="center"/>
            <w:tcMar>
              <w:top w:w="110" w:type="dxa"/>
              <w:start w:w="120" w:type="dxa"/>
              <w:bottom w:w="110" w:type="dxa"/>
              <w:end w:w="120" w:type="dxa"/>
            </w:tcMar>
          </w:tcPr>
          <w:p>
            <w:r/>
            <w:r>
              <w:rPr>
                <w:b w:val="0"/>
                <w:sz w:val="18"/>
              </w:rPr>
              <w:t>Stable logical ID + snapshot-specific state.</w:t>
            </w:r>
          </w:p>
        </w:tc>
      </w:tr>
      <w:tr>
        <w:tc>
          <w:tcPr>
            <w:tcW w:type="dxa" w:w="2664"/>
            <w:vAlign w:val="center"/>
            <w:tcMar>
              <w:top w:w="110" w:type="dxa"/>
              <w:start w:w="120" w:type="dxa"/>
              <w:bottom w:w="110" w:type="dxa"/>
              <w:end w:w="120" w:type="dxa"/>
            </w:tcMar>
          </w:tcPr>
          <w:p>
            <w:r/>
            <w:r>
              <w:rPr>
                <w:b w:val="0"/>
                <w:sz w:val="18"/>
              </w:rPr>
              <w:t>architecture_element</w:t>
            </w:r>
          </w:p>
        </w:tc>
        <w:tc>
          <w:tcPr>
            <w:tcW w:type="dxa" w:w="3600"/>
            <w:vAlign w:val="center"/>
            <w:tcMar>
              <w:top w:w="110" w:type="dxa"/>
              <w:start w:w="120" w:type="dxa"/>
              <w:bottom w:w="110" w:type="dxa"/>
              <w:end w:w="120" w:type="dxa"/>
            </w:tcMar>
          </w:tcPr>
          <w:p>
            <w:r/>
            <w:r>
              <w:rPr>
                <w:b w:val="0"/>
                <w:sz w:val="18"/>
              </w:rPr>
              <w:t>Clickable internals.</w:t>
            </w:r>
          </w:p>
        </w:tc>
        <w:tc>
          <w:tcPr>
            <w:tcW w:type="dxa" w:w="3528"/>
            <w:vAlign w:val="center"/>
            <w:tcMar>
              <w:top w:w="110" w:type="dxa"/>
              <w:start w:w="120" w:type="dxa"/>
              <w:bottom w:w="110" w:type="dxa"/>
              <w:end w:w="120" w:type="dxa"/>
            </w:tcMar>
          </w:tcPr>
          <w:p>
            <w:r/>
            <w:r>
              <w:rPr>
                <w:b w:val="0"/>
                <w:sz w:val="18"/>
              </w:rPr>
              <w:t>Belongs to a component.</w:t>
            </w:r>
          </w:p>
        </w:tc>
      </w:tr>
      <w:tr>
        <w:tc>
          <w:tcPr>
            <w:tcW w:type="dxa" w:w="2664"/>
            <w:vAlign w:val="center"/>
            <w:tcMar>
              <w:top w:w="110" w:type="dxa"/>
              <w:start w:w="120" w:type="dxa"/>
              <w:bottom w:w="110" w:type="dxa"/>
              <w:end w:w="120" w:type="dxa"/>
            </w:tcMar>
          </w:tcPr>
          <w:p>
            <w:r/>
            <w:r>
              <w:rPr>
                <w:b w:val="0"/>
                <w:sz w:val="18"/>
              </w:rPr>
              <w:t>architecture_connection</w:t>
            </w:r>
          </w:p>
        </w:tc>
        <w:tc>
          <w:tcPr>
            <w:tcW w:type="dxa" w:w="3600"/>
            <w:vAlign w:val="center"/>
            <w:tcMar>
              <w:top w:w="110" w:type="dxa"/>
              <w:start w:w="120" w:type="dxa"/>
              <w:bottom w:w="110" w:type="dxa"/>
              <w:end w:w="120" w:type="dxa"/>
            </w:tcMar>
          </w:tcPr>
          <w:p>
            <w:r/>
            <w:r>
              <w:rPr>
                <w:b w:val="0"/>
                <w:sz w:val="18"/>
              </w:rPr>
              <w:t>Normalized directed wires.</w:t>
            </w:r>
          </w:p>
        </w:tc>
        <w:tc>
          <w:tcPr>
            <w:tcW w:type="dxa" w:w="3528"/>
            <w:vAlign w:val="center"/>
            <w:tcMar>
              <w:top w:w="110" w:type="dxa"/>
              <w:start w:w="120" w:type="dxa"/>
              <w:bottom w:w="110" w:type="dxa"/>
              <w:end w:w="120" w:type="dxa"/>
            </w:tcMar>
          </w:tcPr>
          <w:p>
            <w:r/>
            <w:r>
              <w:rPr>
                <w:b w:val="0"/>
                <w:sz w:val="18"/>
              </w:rPr>
              <w:t>Typed source → target.</w:t>
            </w:r>
          </w:p>
        </w:tc>
      </w:tr>
      <w:tr>
        <w:tc>
          <w:tcPr>
            <w:tcW w:type="dxa" w:w="2664"/>
            <w:vAlign w:val="center"/>
            <w:tcMar>
              <w:top w:w="110" w:type="dxa"/>
              <w:start w:w="120" w:type="dxa"/>
              <w:bottom w:w="110" w:type="dxa"/>
              <w:end w:w="120" w:type="dxa"/>
            </w:tcMar>
          </w:tcPr>
          <w:p>
            <w:r/>
            <w:r>
              <w:rPr>
                <w:b w:val="0"/>
                <w:sz w:val="18"/>
              </w:rPr>
              <w:t>architecture_evidence</w:t>
            </w:r>
          </w:p>
        </w:tc>
        <w:tc>
          <w:tcPr>
            <w:tcW w:type="dxa" w:w="3600"/>
            <w:vAlign w:val="center"/>
            <w:tcMar>
              <w:top w:w="110" w:type="dxa"/>
              <w:start w:w="120" w:type="dxa"/>
              <w:bottom w:w="110" w:type="dxa"/>
              <w:end w:w="120" w:type="dxa"/>
            </w:tcMar>
          </w:tcPr>
          <w:p>
            <w:r/>
            <w:r>
              <w:rPr>
                <w:b w:val="0"/>
                <w:sz w:val="18"/>
              </w:rPr>
              <w:t>Supporting facts.</w:t>
            </w:r>
          </w:p>
        </w:tc>
        <w:tc>
          <w:tcPr>
            <w:tcW w:type="dxa" w:w="3528"/>
            <w:vAlign w:val="center"/>
            <w:tcMar>
              <w:top w:w="110" w:type="dxa"/>
              <w:start w:w="120" w:type="dxa"/>
              <w:bottom w:w="110" w:type="dxa"/>
              <w:end w:w="120" w:type="dxa"/>
            </w:tcMar>
          </w:tcPr>
          <w:p>
            <w:r/>
            <w:r>
              <w:rPr>
                <w:b w:val="0"/>
                <w:sz w:val="18"/>
              </w:rPr>
              <w:t>File, line, analyzer, raw payload.</w:t>
            </w:r>
          </w:p>
        </w:tc>
      </w:tr>
      <w:tr>
        <w:tc>
          <w:tcPr>
            <w:tcW w:type="dxa" w:w="2664"/>
            <w:vAlign w:val="center"/>
            <w:tcMar>
              <w:top w:w="110" w:type="dxa"/>
              <w:start w:w="120" w:type="dxa"/>
              <w:bottom w:w="110" w:type="dxa"/>
              <w:end w:w="120" w:type="dxa"/>
            </w:tcMar>
          </w:tcPr>
          <w:p>
            <w:r/>
            <w:r>
              <w:rPr>
                <w:b w:val="0"/>
                <w:sz w:val="18"/>
              </w:rPr>
              <w:t>architecture_run</w:t>
            </w:r>
          </w:p>
        </w:tc>
        <w:tc>
          <w:tcPr>
            <w:tcW w:type="dxa" w:w="3600"/>
            <w:vAlign w:val="center"/>
            <w:tcMar>
              <w:top w:w="110" w:type="dxa"/>
              <w:start w:w="120" w:type="dxa"/>
              <w:bottom w:w="110" w:type="dxa"/>
              <w:end w:w="120" w:type="dxa"/>
            </w:tcMar>
          </w:tcPr>
          <w:p>
            <w:r/>
            <w:r>
              <w:rPr>
                <w:b w:val="0"/>
                <w:sz w:val="18"/>
              </w:rPr>
              <w:t>Analysis execution.</w:t>
            </w:r>
          </w:p>
        </w:tc>
        <w:tc>
          <w:tcPr>
            <w:tcW w:type="dxa" w:w="3528"/>
            <w:vAlign w:val="center"/>
            <w:tcMar>
              <w:top w:w="110" w:type="dxa"/>
              <w:start w:w="120" w:type="dxa"/>
              <w:bottom w:w="110" w:type="dxa"/>
              <w:end w:w="120" w:type="dxa"/>
            </w:tcMar>
          </w:tcPr>
          <w:p>
            <w:r/>
            <w:r>
              <w:rPr>
                <w:b w:val="0"/>
                <w:sz w:val="18"/>
              </w:rPr>
              <w:t>Versioning, status, timing, errors.</w:t>
            </w:r>
          </w:p>
        </w:tc>
      </w:tr>
      <w:tr>
        <w:tc>
          <w:tcPr>
            <w:tcW w:type="dxa" w:w="2664"/>
            <w:vAlign w:val="center"/>
            <w:tcMar>
              <w:top w:w="110" w:type="dxa"/>
              <w:start w:w="120" w:type="dxa"/>
              <w:bottom w:w="110" w:type="dxa"/>
              <w:end w:w="120" w:type="dxa"/>
            </w:tcMar>
          </w:tcPr>
          <w:p>
            <w:r/>
            <w:r>
              <w:rPr>
                <w:b w:val="0"/>
                <w:sz w:val="18"/>
              </w:rPr>
              <w:t>architecture_snapshot</w:t>
            </w:r>
          </w:p>
        </w:tc>
        <w:tc>
          <w:tcPr>
            <w:tcW w:type="dxa" w:w="3600"/>
            <w:vAlign w:val="center"/>
            <w:tcMar>
              <w:top w:w="110" w:type="dxa"/>
              <w:start w:w="120" w:type="dxa"/>
              <w:bottom w:w="110" w:type="dxa"/>
              <w:end w:w="120" w:type="dxa"/>
            </w:tcMar>
          </w:tcPr>
          <w:p>
            <w:r/>
            <w:r>
              <w:rPr>
                <w:b w:val="0"/>
                <w:sz w:val="18"/>
              </w:rPr>
              <w:t>Consistent project state.</w:t>
            </w:r>
          </w:p>
        </w:tc>
        <w:tc>
          <w:tcPr>
            <w:tcW w:type="dxa" w:w="3528"/>
            <w:vAlign w:val="center"/>
            <w:tcMar>
              <w:top w:w="110" w:type="dxa"/>
              <w:start w:w="120" w:type="dxa"/>
              <w:bottom w:w="110" w:type="dxa"/>
              <w:end w:w="120" w:type="dxa"/>
            </w:tcMar>
          </w:tcPr>
          <w:p>
            <w:r/>
            <w:r>
              <w:rPr>
                <w:b w:val="0"/>
                <w:sz w:val="18"/>
              </w:rPr>
              <w:t>Commit/revision + generated graph version.</w:t>
            </w:r>
          </w:p>
        </w:tc>
      </w:tr>
      <w:tr>
        <w:tc>
          <w:tcPr>
            <w:tcW w:type="dxa" w:w="2664"/>
            <w:vAlign w:val="center"/>
            <w:tcMar>
              <w:top w:w="110" w:type="dxa"/>
              <w:start w:w="120" w:type="dxa"/>
              <w:bottom w:w="110" w:type="dxa"/>
              <w:end w:w="120" w:type="dxa"/>
            </w:tcMar>
          </w:tcPr>
          <w:p>
            <w:r/>
            <w:r>
              <w:rPr>
                <w:b w:val="0"/>
                <w:sz w:val="18"/>
              </w:rPr>
              <w:t>analyzer_registry</w:t>
            </w:r>
          </w:p>
        </w:tc>
        <w:tc>
          <w:tcPr>
            <w:tcW w:type="dxa" w:w="3600"/>
            <w:vAlign w:val="center"/>
            <w:tcMar>
              <w:top w:w="110" w:type="dxa"/>
              <w:start w:w="120" w:type="dxa"/>
              <w:bottom w:w="110" w:type="dxa"/>
              <w:end w:w="120" w:type="dxa"/>
            </w:tcMar>
          </w:tcPr>
          <w:p>
            <w:r/>
            <w:r>
              <w:rPr>
                <w:b w:val="0"/>
                <w:sz w:val="18"/>
              </w:rPr>
              <w:t>Available analyzer adapters.</w:t>
            </w:r>
          </w:p>
        </w:tc>
        <w:tc>
          <w:tcPr>
            <w:tcW w:type="dxa" w:w="3528"/>
            <w:vAlign w:val="center"/>
            <w:tcMar>
              <w:top w:w="110" w:type="dxa"/>
              <w:start w:w="120" w:type="dxa"/>
              <w:bottom w:w="110" w:type="dxa"/>
              <w:end w:w="120" w:type="dxa"/>
            </w:tcMar>
          </w:tcPr>
          <w:p>
            <w:r/>
            <w:r>
              <w:rPr>
                <w:b w:val="0"/>
                <w:sz w:val="18"/>
              </w:rPr>
              <w:t>Capability, version, detected technologies.</w:t>
            </w:r>
          </w:p>
        </w:tc>
      </w:tr>
    </w:tbl>
    <w:p>
      <w:pPr>
        <w:pStyle w:val="Heading1"/>
      </w:pPr>
      <w:r>
        <w:t>8. Update and Re-analysis Workflow</w:t>
      </w:r>
    </w:p>
    <w:p>
      <w:pPr>
        <w:spacing w:after="60"/>
        <w:ind w:left="29" w:hanging="29"/>
      </w:pPr>
      <w:r>
        <w:rPr>
          <w:b/>
        </w:rPr>
        <w:t xml:space="preserve">1.  </w:t>
      </w:r>
      <w:r>
        <w:t>User selects an existing ArchitectOS project.</w:t>
      </w:r>
    </w:p>
    <w:p>
      <w:pPr>
        <w:spacing w:after="60"/>
        <w:ind w:left="29" w:hanging="29"/>
      </w:pPr>
      <w:r>
        <w:rPr>
          <w:b/>
        </w:rPr>
        <w:t xml:space="preserve">2.  </w:t>
      </w:r>
      <w:r>
        <w:t>Architecture Intelligence detects the current project revision and technology profile.</w:t>
      </w:r>
    </w:p>
    <w:p>
      <w:pPr>
        <w:spacing w:after="60"/>
        <w:ind w:left="29" w:hanging="29"/>
      </w:pPr>
      <w:r>
        <w:rPr>
          <w:b/>
        </w:rPr>
        <w:t xml:space="preserve">3.  </w:t>
      </w:r>
      <w:r>
        <w:t>Initial run performs a full analysis and creates the first architecture snapshot.</w:t>
      </w:r>
    </w:p>
    <w:p>
      <w:pPr>
        <w:spacing w:after="60"/>
        <w:ind w:left="29" w:hanging="29"/>
      </w:pPr>
      <w:r>
        <w:rPr>
          <w:b/>
        </w:rPr>
        <w:t xml:space="preserve">4.  </w:t>
      </w:r>
      <w:r>
        <w:t>Later “Update from project” runs analyze only changed files and affected neighborhoods where possible.</w:t>
      </w:r>
    </w:p>
    <w:p>
      <w:pPr>
        <w:spacing w:after="60"/>
        <w:ind w:left="29" w:hanging="29"/>
      </w:pPr>
      <w:r>
        <w:rPr>
          <w:b/>
        </w:rPr>
        <w:t xml:space="preserve">5.  </w:t>
      </w:r>
      <w:r>
        <w:t>The system produces a new consistent snapshot and a graph diff.</w:t>
      </w:r>
    </w:p>
    <w:p>
      <w:pPr>
        <w:spacing w:after="60"/>
        <w:ind w:left="29" w:hanging="29"/>
      </w:pPr>
      <w:r>
        <w:rPr>
          <w:b/>
        </w:rPr>
        <w:t xml:space="preserve">6.  </w:t>
      </w:r>
      <w:r>
        <w:t>The UI can show added, removed, or changed blocks, elements, and wires.</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F4E79"/>
                <w:sz w:val="22"/>
              </w:rPr>
              <w:t>Reliability requirement</w:t>
              <w:br/>
            </w:r>
            <w:r>
              <w:rPr>
                <w:sz w:val="21"/>
              </w:rPr>
              <w:t>Every wire should be explainable. Clicking it should reveal its evidence: analyzer, source file, location, rule, and confidence. This turns the map from a visualization into an auditable architecture instrument.</w:t>
            </w:r>
          </w:p>
        </w:tc>
      </w:tr>
    </w:tbl>
    <w:p>
      <w:pPr>
        <w:spacing w:after="0"/>
      </w:pPr>
    </w:p>
    <w:p>
      <w:pPr>
        <w:pStyle w:val="Heading1"/>
      </w:pPr>
      <w:r>
        <w:t>9. Role of AI and ArchitectOS Memory</w:t>
      </w:r>
    </w:p>
    <w:p>
      <w:r>
        <w:t>AI is valuable, but it should sit above the deterministic architecture index rather than replace it.</w:t>
      </w:r>
    </w:p>
    <w:p>
      <w:pPr>
        <w:pStyle w:val="ListBullet"/>
        <w:spacing w:after="60"/>
        <w:ind w:left="317"/>
      </w:pPr>
      <w:r>
        <w:t>Explain a connection in human language.</w:t>
      </w:r>
    </w:p>
    <w:p>
      <w:pPr>
        <w:pStyle w:val="ListBullet"/>
        <w:spacing w:after="60"/>
        <w:ind w:left="317"/>
      </w:pPr>
      <w:r>
        <w:t>Investigate an ambiguous connection when deterministic evidence is incomplete.</w:t>
      </w:r>
    </w:p>
    <w:p>
      <w:pPr>
        <w:pStyle w:val="ListBullet"/>
        <w:spacing w:after="60"/>
        <w:ind w:left="317"/>
      </w:pPr>
      <w:r>
        <w:t>Use ArchitectOS Memory to add business context, historical decisions, terminology, or intent.</w:t>
      </w:r>
    </w:p>
    <w:p>
      <w:pPr>
        <w:pStyle w:val="ListBullet"/>
        <w:spacing w:after="60"/>
        <w:ind w:left="317"/>
      </w:pPr>
      <w:r>
        <w:t>Suggest likely missing relationships, clearly labeled as hypotheses until verified.</w:t>
      </w:r>
    </w:p>
    <w:p>
      <w:pPr>
        <w:pStyle w:val="ListBullet"/>
        <w:spacing w:after="60"/>
        <w:ind w:left="317"/>
      </w:pPr>
      <w:r>
        <w:t>Later: answer change-impact questions such as “What may be affected if this field changes?”</w:t>
      </w:r>
    </w:p>
    <w:p>
      <w:pPr>
        <w:pStyle w:val="ListBullet"/>
        <w:spacing w:after="60"/>
        <w:ind w:left="317"/>
      </w:pPr>
      <w:r>
        <w:t>Later: produce implementation checklists, test suggestions, PR impact summaries, and architecture reviews.</w:t>
      </w:r>
    </w:p>
    <w:p>
      <w:r>
        <w:rPr>
          <w:b/>
        </w:rPr>
        <w:t>AI-generated relationships must never be silently mixed with deterministic relationships.</w:t>
      </w:r>
      <w:r>
        <w:t xml:space="preserve"> They must carry their own provenance and confidence state.</w:t>
      </w:r>
    </w:p>
    <w:p>
      <w:pPr>
        <w:pStyle w:val="Heading1"/>
      </w:pPr>
      <w:r>
        <w:t>10. MVP Scope</w:t>
      </w:r>
    </w:p>
    <w:p>
      <w:r>
        <w:t>The MVP should validate the universal architecture model and the wiring UX without trying to solve every language and every dependency on day one.</w:t>
      </w:r>
    </w:p>
    <w:p>
      <w:pPr>
        <w:pStyle w:val="Heading2"/>
      </w:pPr>
      <w:r>
        <w:t>10.1 MVP must include</w:t>
      </w:r>
    </w:p>
    <w:p>
      <w:pPr>
        <w:pStyle w:val="ListBullet"/>
        <w:spacing w:after="60"/>
        <w:ind w:left="317"/>
      </w:pPr>
      <w:r>
        <w:t>One ArchitectOS project using its existing real source files.</w:t>
      </w:r>
    </w:p>
    <w:p>
      <w:pPr>
        <w:pStyle w:val="ListBullet"/>
        <w:spacing w:after="60"/>
        <w:ind w:left="317"/>
      </w:pPr>
      <w:r>
        <w:t>Automatic stack detection.</w:t>
      </w:r>
    </w:p>
    <w:p>
      <w:pPr>
        <w:pStyle w:val="ListBullet"/>
        <w:spacing w:after="60"/>
        <w:ind w:left="317"/>
      </w:pPr>
      <w:r>
        <w:t>A small set of generic analyzers plus 1-2 specialized adapters appropriate for the pilot project.</w:t>
      </w:r>
    </w:p>
    <w:p>
      <w:pPr>
        <w:pStyle w:val="ListBullet"/>
        <w:spacing w:after="60"/>
        <w:ind w:left="317"/>
      </w:pPr>
      <w:r>
        <w:t>Architecture IR: components, internal elements, typed connections, evidence, confidence.</w:t>
      </w:r>
    </w:p>
    <w:p>
      <w:pPr>
        <w:pStyle w:val="ListBullet"/>
        <w:spacing w:after="60"/>
        <w:ind w:left="317"/>
      </w:pPr>
      <w:r>
        <w:t>PostgreSQL persistence and architecture snapshots.</w:t>
      </w:r>
    </w:p>
    <w:p>
      <w:pPr>
        <w:pStyle w:val="ListBullet"/>
        <w:spacing w:after="60"/>
        <w:ind w:left="317"/>
      </w:pPr>
      <w:r>
        <w:t>Interactive wiring view with block click and internal-element click.</w:t>
      </w:r>
    </w:p>
    <w:p>
      <w:pPr>
        <w:pStyle w:val="ListBullet"/>
        <w:spacing w:after="60"/>
        <w:ind w:left="317"/>
      </w:pPr>
      <w:r>
        <w:t>Incoming, outgoing, both directions, and depth filtering.</w:t>
      </w:r>
    </w:p>
    <w:p>
      <w:pPr>
        <w:pStyle w:val="ListBullet"/>
        <w:spacing w:after="60"/>
        <w:ind w:left="317"/>
      </w:pPr>
      <w:r>
        <w:t>Wire evidence panel.</w:t>
      </w:r>
    </w:p>
    <w:p>
      <w:pPr>
        <w:pStyle w:val="ListBullet"/>
        <w:spacing w:after="60"/>
        <w:ind w:left="317"/>
      </w:pPr>
      <w:r>
        <w:t>Full re-analysis plus a basic incremental update path.</w:t>
      </w:r>
    </w:p>
    <w:p>
      <w:pPr>
        <w:pStyle w:val="Heading2"/>
      </w:pPr>
      <w:r>
        <w:t>10.2 MVP pilot strategy</w:t>
      </w:r>
    </w:p>
    <w:p>
      <w:r>
        <w:t>Choose one real vertical slice and prove end-to-end traceability. Example: select one domain component and one of its fields, then trace every discoverable connection through database mapping, services, APIs, uploaders, reports, filters, charts, or other consumers. The exact path depends on the project; the goal is to prove that the model works across heterogeneous component types.</w:t>
      </w:r>
    </w:p>
    <w:p>
      <w:pPr>
        <w:pStyle w:val="Heading2"/>
      </w:pPr>
      <w:r>
        <w:t>10.3 Explicitly not required for MVP</w:t>
      </w:r>
    </w:p>
    <w:p>
      <w:pPr>
        <w:pStyle w:val="ListBullet"/>
        <w:spacing w:after="60"/>
        <w:ind w:left="317"/>
      </w:pPr>
      <w:r>
        <w:t>Perfect support for every programming language.</w:t>
      </w:r>
    </w:p>
    <w:p>
      <w:pPr>
        <w:pStyle w:val="ListBullet"/>
        <w:spacing w:after="60"/>
        <w:ind w:left="317"/>
      </w:pPr>
      <w:r>
        <w:t>Full business-logic understanding.</w:t>
      </w:r>
    </w:p>
    <w:p>
      <w:pPr>
        <w:pStyle w:val="ListBullet"/>
        <w:spacing w:after="60"/>
        <w:ind w:left="317"/>
      </w:pPr>
      <w:r>
        <w:t>Automatic refactoring or code modification.</w:t>
      </w:r>
    </w:p>
    <w:p>
      <w:pPr>
        <w:pStyle w:val="ListBullet"/>
        <w:spacing w:after="60"/>
        <w:ind w:left="317"/>
      </w:pPr>
      <w:r>
        <w:t>Mandatory live DB connection.</w:t>
      </w:r>
    </w:p>
    <w:p>
      <w:pPr>
        <w:pStyle w:val="ListBullet"/>
        <w:spacing w:after="60"/>
        <w:ind w:left="317"/>
      </w:pPr>
      <w:r>
        <w:t>Neo4j or another dedicated graph database.</w:t>
      </w:r>
    </w:p>
    <w:p>
      <w:pPr>
        <w:pStyle w:val="ListBullet"/>
        <w:spacing w:after="60"/>
        <w:ind w:left="317"/>
      </w:pPr>
      <w:r>
        <w:t>Jira / GitHub / PR integrations.</w:t>
      </w:r>
    </w:p>
    <w:p>
      <w:pPr>
        <w:pStyle w:val="ListBullet"/>
        <w:spacing w:after="60"/>
        <w:ind w:left="317"/>
      </w:pPr>
      <w:r>
        <w:t>Change-impact simulation with guaranteed semantic correctness.</w:t>
      </w:r>
    </w:p>
    <w:p>
      <w:pPr>
        <w:pStyle w:val="ListBullet"/>
        <w:spacing w:after="60"/>
        <w:ind w:left="317"/>
      </w:pPr>
      <w:r>
        <w:t>3D visualization.</w:t>
      </w:r>
    </w:p>
    <w:p>
      <w:pPr>
        <w:pStyle w:val="Heading1"/>
      </w:pPr>
      <w:r>
        <w:t>11. Development Phases</w:t>
      </w:r>
    </w:p>
    <w:tbl>
      <w:tblPr>
        <w:tblW w:type="auto" w:w="0"/>
        <w:jc w:val="center"/>
        <w:tblLayout w:type="fixed"/>
        <w:tblLook w:firstColumn="1" w:firstRow="1" w:lastColumn="0" w:lastRow="0" w:noHBand="0" w:noVBand="1" w:val="04A0"/>
      </w:tblPr>
      <w:tblGrid>
        <w:gridCol w:w="1152"/>
        <w:gridCol w:w="2232"/>
        <w:gridCol w:w="4464"/>
        <w:gridCol w:w="1944"/>
      </w:tblGrid>
      <w:tr>
        <w:trPr>
          <w:tblHeader w:val="true"/>
        </w:trPr>
        <w:tc>
          <w:tcPr>
            <w:tcW w:type="dxa" w:w="2498"/>
            <w:vAlign w:val="center"/>
            <w:tcMar>
              <w:top w:w="110" w:type="dxa"/>
              <w:start w:w="120" w:type="dxa"/>
              <w:bottom w:w="110" w:type="dxa"/>
              <w:end w:w="120" w:type="dxa"/>
            </w:tcMar>
            <w:shd w:fill="1F4E79"/>
          </w:tcPr>
          <w:p>
            <w:pPr>
              <w:jc w:val="center"/>
            </w:pPr>
            <w:r/>
            <w:r>
              <w:rPr>
                <w:b/>
                <w:color w:val="FFFFFF"/>
                <w:sz w:val="20"/>
              </w:rPr>
              <w:t>Phase</w:t>
            </w:r>
          </w:p>
        </w:tc>
        <w:tc>
          <w:tcPr>
            <w:tcW w:type="dxa" w:w="2498"/>
            <w:vAlign w:val="center"/>
            <w:tcMar>
              <w:top w:w="110" w:type="dxa"/>
              <w:start w:w="120" w:type="dxa"/>
              <w:bottom w:w="110" w:type="dxa"/>
              <w:end w:w="120" w:type="dxa"/>
            </w:tcMar>
            <w:shd w:fill="1F4E79"/>
          </w:tcPr>
          <w:p>
            <w:pPr>
              <w:jc w:val="center"/>
            </w:pPr>
            <w:r/>
            <w:r>
              <w:rPr>
                <w:b/>
                <w:color w:val="FFFFFF"/>
                <w:sz w:val="20"/>
              </w:rPr>
              <w:t>Name</w:t>
            </w:r>
          </w:p>
        </w:tc>
        <w:tc>
          <w:tcPr>
            <w:tcW w:type="dxa" w:w="2498"/>
            <w:vAlign w:val="center"/>
            <w:tcMar>
              <w:top w:w="110" w:type="dxa"/>
              <w:start w:w="120" w:type="dxa"/>
              <w:bottom w:w="110" w:type="dxa"/>
              <w:end w:w="120" w:type="dxa"/>
            </w:tcMar>
            <w:shd w:fill="1F4E79"/>
          </w:tcPr>
          <w:p>
            <w:pPr>
              <w:jc w:val="center"/>
            </w:pPr>
            <w:r/>
            <w:r>
              <w:rPr>
                <w:b/>
                <w:color w:val="FFFFFF"/>
                <w:sz w:val="20"/>
              </w:rPr>
              <w:t>Scope</w:t>
            </w:r>
          </w:p>
        </w:tc>
        <w:tc>
          <w:tcPr>
            <w:tcW w:type="dxa" w:w="2498"/>
            <w:vAlign w:val="center"/>
            <w:tcMar>
              <w:top w:w="110" w:type="dxa"/>
              <w:start w:w="120" w:type="dxa"/>
              <w:bottom w:w="110" w:type="dxa"/>
              <w:end w:w="120" w:type="dxa"/>
            </w:tcMar>
            <w:shd w:fill="1F4E79"/>
          </w:tcPr>
          <w:p>
            <w:pPr>
              <w:jc w:val="center"/>
            </w:pPr>
            <w:r/>
            <w:r>
              <w:rPr>
                <w:b/>
                <w:color w:val="FFFFFF"/>
                <w:sz w:val="20"/>
              </w:rPr>
              <w:t>Outcome</w:t>
            </w:r>
          </w:p>
        </w:tc>
      </w:tr>
      <w:tr>
        <w:tc>
          <w:tcPr>
            <w:tcW w:type="dxa" w:w="1152"/>
            <w:vAlign w:val="center"/>
            <w:tcMar>
              <w:top w:w="110" w:type="dxa"/>
              <w:start w:w="120" w:type="dxa"/>
              <w:bottom w:w="110" w:type="dxa"/>
              <w:end w:w="120" w:type="dxa"/>
            </w:tcMar>
          </w:tcPr>
          <w:p>
            <w:pPr>
              <w:jc w:val="center"/>
            </w:pPr>
            <w:r/>
            <w:r>
              <w:rPr>
                <w:b w:val="0"/>
                <w:sz w:val="18"/>
              </w:rPr>
              <w:t>1</w:t>
            </w:r>
          </w:p>
        </w:tc>
        <w:tc>
          <w:tcPr>
            <w:tcW w:type="dxa" w:w="2232"/>
            <w:vAlign w:val="center"/>
            <w:tcMar>
              <w:top w:w="110" w:type="dxa"/>
              <w:start w:w="120" w:type="dxa"/>
              <w:bottom w:w="110" w:type="dxa"/>
              <w:end w:w="120" w:type="dxa"/>
            </w:tcMar>
          </w:tcPr>
          <w:p>
            <w:r/>
            <w:r>
              <w:rPr>
                <w:b w:val="0"/>
                <w:sz w:val="18"/>
              </w:rPr>
              <w:t>Foundation</w:t>
            </w:r>
          </w:p>
        </w:tc>
        <w:tc>
          <w:tcPr>
            <w:tcW w:type="dxa" w:w="4464"/>
            <w:vAlign w:val="center"/>
            <w:tcMar>
              <w:top w:w="110" w:type="dxa"/>
              <w:start w:w="120" w:type="dxa"/>
              <w:bottom w:w="110" w:type="dxa"/>
              <w:end w:w="120" w:type="dxa"/>
            </w:tcMar>
          </w:tcPr>
          <w:p>
            <w:r/>
            <w:r>
              <w:rPr>
                <w:b w:val="0"/>
                <w:sz w:val="18"/>
              </w:rPr>
              <w:t>Architecture IR, analyzer SDK, stack detection, full analysis, persistence.</w:t>
            </w:r>
          </w:p>
        </w:tc>
        <w:tc>
          <w:tcPr>
            <w:tcW w:type="dxa" w:w="1944"/>
            <w:vAlign w:val="center"/>
            <w:tcMar>
              <w:top w:w="110" w:type="dxa"/>
              <w:start w:w="120" w:type="dxa"/>
              <w:bottom w:w="110" w:type="dxa"/>
              <w:end w:w="120" w:type="dxa"/>
            </w:tcMar>
          </w:tcPr>
          <w:p>
            <w:pPr>
              <w:jc w:val="center"/>
            </w:pPr>
            <w:r/>
            <w:r>
              <w:rPr>
                <w:b w:val="0"/>
                <w:sz w:val="18"/>
              </w:rPr>
              <w:t>Machine-readable wiring index.</w:t>
            </w:r>
          </w:p>
        </w:tc>
      </w:tr>
      <w:tr>
        <w:tc>
          <w:tcPr>
            <w:tcW w:type="dxa" w:w="1152"/>
            <w:vAlign w:val="center"/>
            <w:tcMar>
              <w:top w:w="110" w:type="dxa"/>
              <w:start w:w="120" w:type="dxa"/>
              <w:bottom w:w="110" w:type="dxa"/>
              <w:end w:w="120" w:type="dxa"/>
            </w:tcMar>
          </w:tcPr>
          <w:p>
            <w:pPr>
              <w:jc w:val="center"/>
            </w:pPr>
            <w:r/>
            <w:r>
              <w:rPr>
                <w:b w:val="0"/>
                <w:sz w:val="18"/>
              </w:rPr>
              <w:t>2</w:t>
            </w:r>
          </w:p>
        </w:tc>
        <w:tc>
          <w:tcPr>
            <w:tcW w:type="dxa" w:w="2232"/>
            <w:vAlign w:val="center"/>
            <w:tcMar>
              <w:top w:w="110" w:type="dxa"/>
              <w:start w:w="120" w:type="dxa"/>
              <w:bottom w:w="110" w:type="dxa"/>
              <w:end w:w="120" w:type="dxa"/>
            </w:tcMar>
          </w:tcPr>
          <w:p>
            <w:r/>
            <w:r>
              <w:rPr>
                <w:b w:val="0"/>
                <w:sz w:val="18"/>
              </w:rPr>
              <w:t>Interactive Map</w:t>
            </w:r>
          </w:p>
        </w:tc>
        <w:tc>
          <w:tcPr>
            <w:tcW w:type="dxa" w:w="4464"/>
            <w:vAlign w:val="center"/>
            <w:tcMar>
              <w:top w:w="110" w:type="dxa"/>
              <w:start w:w="120" w:type="dxa"/>
              <w:bottom w:w="110" w:type="dxa"/>
              <w:end w:w="120" w:type="dxa"/>
            </w:tcMar>
          </w:tcPr>
          <w:p>
            <w:r/>
            <w:r>
              <w:rPr>
                <w:b w:val="0"/>
                <w:sz w:val="18"/>
              </w:rPr>
              <w:t>Block/port UI, element-level clicks, direction/depth filters, evidence panel.</w:t>
            </w:r>
          </w:p>
        </w:tc>
        <w:tc>
          <w:tcPr>
            <w:tcW w:type="dxa" w:w="1944"/>
            <w:vAlign w:val="center"/>
            <w:tcMar>
              <w:top w:w="110" w:type="dxa"/>
              <w:start w:w="120" w:type="dxa"/>
              <w:bottom w:w="110" w:type="dxa"/>
              <w:end w:w="120" w:type="dxa"/>
            </w:tcMar>
          </w:tcPr>
          <w:p>
            <w:pPr>
              <w:jc w:val="center"/>
            </w:pPr>
            <w:r/>
            <w:r>
              <w:rPr>
                <w:b w:val="0"/>
                <w:sz w:val="18"/>
              </w:rPr>
              <w:t>Usable system wiring map.</w:t>
            </w:r>
          </w:p>
        </w:tc>
      </w:tr>
      <w:tr>
        <w:tc>
          <w:tcPr>
            <w:tcW w:type="dxa" w:w="1152"/>
            <w:vAlign w:val="center"/>
            <w:tcMar>
              <w:top w:w="110" w:type="dxa"/>
              <w:start w:w="120" w:type="dxa"/>
              <w:bottom w:w="110" w:type="dxa"/>
              <w:end w:w="120" w:type="dxa"/>
            </w:tcMar>
          </w:tcPr>
          <w:p>
            <w:pPr>
              <w:jc w:val="center"/>
            </w:pPr>
            <w:r/>
            <w:r>
              <w:rPr>
                <w:b w:val="0"/>
                <w:sz w:val="18"/>
              </w:rPr>
              <w:t>3</w:t>
            </w:r>
          </w:p>
        </w:tc>
        <w:tc>
          <w:tcPr>
            <w:tcW w:type="dxa" w:w="2232"/>
            <w:vAlign w:val="center"/>
            <w:tcMar>
              <w:top w:w="110" w:type="dxa"/>
              <w:start w:w="120" w:type="dxa"/>
              <w:bottom w:w="110" w:type="dxa"/>
              <w:end w:w="120" w:type="dxa"/>
            </w:tcMar>
          </w:tcPr>
          <w:p>
            <w:r/>
            <w:r>
              <w:rPr>
                <w:b w:val="0"/>
                <w:sz w:val="18"/>
              </w:rPr>
              <w:t>Incremental Intelligence</w:t>
            </w:r>
          </w:p>
        </w:tc>
        <w:tc>
          <w:tcPr>
            <w:tcW w:type="dxa" w:w="4464"/>
            <w:vAlign w:val="center"/>
            <w:tcMar>
              <w:top w:w="110" w:type="dxa"/>
              <w:start w:w="120" w:type="dxa"/>
              <w:bottom w:w="110" w:type="dxa"/>
              <w:end w:w="120" w:type="dxa"/>
            </w:tcMar>
          </w:tcPr>
          <w:p>
            <w:r/>
            <w:r>
              <w:rPr>
                <w:b w:val="0"/>
                <w:sz w:val="18"/>
              </w:rPr>
              <w:t>Changed-file analysis, snapshots, graph diff, stale-edge handling.</w:t>
            </w:r>
          </w:p>
        </w:tc>
        <w:tc>
          <w:tcPr>
            <w:tcW w:type="dxa" w:w="1944"/>
            <w:vAlign w:val="center"/>
            <w:tcMar>
              <w:top w:w="110" w:type="dxa"/>
              <w:start w:w="120" w:type="dxa"/>
              <w:bottom w:w="110" w:type="dxa"/>
              <w:end w:w="120" w:type="dxa"/>
            </w:tcMar>
          </w:tcPr>
          <w:p>
            <w:pPr>
              <w:jc w:val="center"/>
            </w:pPr>
            <w:r/>
            <w:r>
              <w:rPr>
                <w:b w:val="0"/>
                <w:sz w:val="18"/>
              </w:rPr>
              <w:t>Fast refresh after project updates.</w:t>
            </w:r>
          </w:p>
        </w:tc>
      </w:tr>
      <w:tr>
        <w:tc>
          <w:tcPr>
            <w:tcW w:type="dxa" w:w="1152"/>
            <w:vAlign w:val="center"/>
            <w:tcMar>
              <w:top w:w="110" w:type="dxa"/>
              <w:start w:w="120" w:type="dxa"/>
              <w:bottom w:w="110" w:type="dxa"/>
              <w:end w:w="120" w:type="dxa"/>
            </w:tcMar>
          </w:tcPr>
          <w:p>
            <w:pPr>
              <w:jc w:val="center"/>
            </w:pPr>
            <w:r/>
            <w:r>
              <w:rPr>
                <w:b w:val="0"/>
                <w:sz w:val="18"/>
              </w:rPr>
              <w:t>4</w:t>
            </w:r>
          </w:p>
        </w:tc>
        <w:tc>
          <w:tcPr>
            <w:tcW w:type="dxa" w:w="2232"/>
            <w:vAlign w:val="center"/>
            <w:tcMar>
              <w:top w:w="110" w:type="dxa"/>
              <w:start w:w="120" w:type="dxa"/>
              <w:bottom w:w="110" w:type="dxa"/>
              <w:end w:w="120" w:type="dxa"/>
            </w:tcMar>
          </w:tcPr>
          <w:p>
            <w:r/>
            <w:r>
              <w:rPr>
                <w:b w:val="0"/>
                <w:sz w:val="18"/>
              </w:rPr>
              <w:t>AI Explanation</w:t>
            </w:r>
          </w:p>
        </w:tc>
        <w:tc>
          <w:tcPr>
            <w:tcW w:type="dxa" w:w="4464"/>
            <w:vAlign w:val="center"/>
            <w:tcMar>
              <w:top w:w="110" w:type="dxa"/>
              <w:start w:w="120" w:type="dxa"/>
              <w:bottom w:w="110" w:type="dxa"/>
              <w:end w:w="120" w:type="dxa"/>
            </w:tcMar>
          </w:tcPr>
          <w:p>
            <w:r/>
            <w:r>
              <w:rPr>
                <w:b w:val="0"/>
                <w:sz w:val="18"/>
              </w:rPr>
              <w:t>LLM explanation, Memory-assisted context, ambiguity investigation.</w:t>
            </w:r>
          </w:p>
        </w:tc>
        <w:tc>
          <w:tcPr>
            <w:tcW w:type="dxa" w:w="1944"/>
            <w:vAlign w:val="center"/>
            <w:tcMar>
              <w:top w:w="110" w:type="dxa"/>
              <w:start w:w="120" w:type="dxa"/>
              <w:bottom w:w="110" w:type="dxa"/>
              <w:end w:w="120" w:type="dxa"/>
            </w:tcMar>
          </w:tcPr>
          <w:p>
            <w:pPr>
              <w:jc w:val="center"/>
            </w:pPr>
            <w:r/>
            <w:r>
              <w:rPr>
                <w:b w:val="0"/>
                <w:sz w:val="18"/>
              </w:rPr>
              <w:t>Human-friendly architecture assistant.</w:t>
            </w:r>
          </w:p>
        </w:tc>
      </w:tr>
      <w:tr>
        <w:tc>
          <w:tcPr>
            <w:tcW w:type="dxa" w:w="1152"/>
            <w:vAlign w:val="center"/>
            <w:tcMar>
              <w:top w:w="110" w:type="dxa"/>
              <w:start w:w="120" w:type="dxa"/>
              <w:bottom w:w="110" w:type="dxa"/>
              <w:end w:w="120" w:type="dxa"/>
            </w:tcMar>
          </w:tcPr>
          <w:p>
            <w:pPr>
              <w:jc w:val="center"/>
            </w:pPr>
            <w:r/>
            <w:r>
              <w:rPr>
                <w:b w:val="0"/>
                <w:sz w:val="18"/>
              </w:rPr>
              <w:t>5</w:t>
            </w:r>
          </w:p>
        </w:tc>
        <w:tc>
          <w:tcPr>
            <w:tcW w:type="dxa" w:w="2232"/>
            <w:vAlign w:val="center"/>
            <w:tcMar>
              <w:top w:w="110" w:type="dxa"/>
              <w:start w:w="120" w:type="dxa"/>
              <w:bottom w:w="110" w:type="dxa"/>
              <w:end w:w="120" w:type="dxa"/>
            </w:tcMar>
          </w:tcPr>
          <w:p>
            <w:r/>
            <w:r>
              <w:rPr>
                <w:b w:val="0"/>
                <w:sz w:val="18"/>
              </w:rPr>
              <w:t>Impact Analysis</w:t>
            </w:r>
          </w:p>
        </w:tc>
        <w:tc>
          <w:tcPr>
            <w:tcW w:type="dxa" w:w="4464"/>
            <w:vAlign w:val="center"/>
            <w:tcMar>
              <w:top w:w="110" w:type="dxa"/>
              <w:start w:w="120" w:type="dxa"/>
              <w:bottom w:w="110" w:type="dxa"/>
              <w:end w:w="120" w:type="dxa"/>
            </w:tcMar>
          </w:tcPr>
          <w:p>
            <w:r/>
            <w:r>
              <w:rPr>
                <w:b w:val="0"/>
                <w:sz w:val="18"/>
              </w:rPr>
              <w:t>Change simulation, affected-area ranking, test/PR suggestions.</w:t>
            </w:r>
          </w:p>
        </w:tc>
        <w:tc>
          <w:tcPr>
            <w:tcW w:type="dxa" w:w="1944"/>
            <w:vAlign w:val="center"/>
            <w:tcMar>
              <w:top w:w="110" w:type="dxa"/>
              <w:start w:w="120" w:type="dxa"/>
              <w:bottom w:w="110" w:type="dxa"/>
              <w:end w:w="120" w:type="dxa"/>
            </w:tcMar>
          </w:tcPr>
          <w:p>
            <w:pPr>
              <w:jc w:val="center"/>
            </w:pPr>
            <w:r/>
            <w:r>
              <w:rPr>
                <w:b w:val="0"/>
                <w:sz w:val="18"/>
              </w:rPr>
              <w:t>Decision support for architects and PMs.</w:t>
            </w:r>
          </w:p>
        </w:tc>
      </w:tr>
      <w:tr>
        <w:tc>
          <w:tcPr>
            <w:tcW w:type="dxa" w:w="1152"/>
            <w:vAlign w:val="center"/>
            <w:tcMar>
              <w:top w:w="110" w:type="dxa"/>
              <w:start w:w="120" w:type="dxa"/>
              <w:bottom w:w="110" w:type="dxa"/>
              <w:end w:w="120" w:type="dxa"/>
            </w:tcMar>
          </w:tcPr>
          <w:p>
            <w:pPr>
              <w:jc w:val="center"/>
            </w:pPr>
            <w:r/>
            <w:r>
              <w:rPr>
                <w:b w:val="0"/>
                <w:sz w:val="18"/>
              </w:rPr>
              <w:t>6</w:t>
            </w:r>
          </w:p>
        </w:tc>
        <w:tc>
          <w:tcPr>
            <w:tcW w:type="dxa" w:w="2232"/>
            <w:vAlign w:val="center"/>
            <w:tcMar>
              <w:top w:w="110" w:type="dxa"/>
              <w:start w:w="120" w:type="dxa"/>
              <w:bottom w:w="110" w:type="dxa"/>
              <w:end w:w="120" w:type="dxa"/>
            </w:tcMar>
          </w:tcPr>
          <w:p>
            <w:r/>
            <w:r>
              <w:rPr>
                <w:b w:val="0"/>
                <w:sz w:val="18"/>
              </w:rPr>
              <w:t>Ecosystem</w:t>
            </w:r>
          </w:p>
        </w:tc>
        <w:tc>
          <w:tcPr>
            <w:tcW w:type="dxa" w:w="4464"/>
            <w:vAlign w:val="center"/>
            <w:tcMar>
              <w:top w:w="110" w:type="dxa"/>
              <w:start w:w="120" w:type="dxa"/>
              <w:bottom w:w="110" w:type="dxa"/>
              <w:end w:w="120" w:type="dxa"/>
            </w:tcMar>
          </w:tcPr>
          <w:p>
            <w:r/>
            <w:r>
              <w:rPr>
                <w:b w:val="0"/>
                <w:sz w:val="18"/>
              </w:rPr>
              <w:t>Git/PR/Jira/IDE integrations, analyzer marketplace/SDK.</w:t>
            </w:r>
          </w:p>
        </w:tc>
        <w:tc>
          <w:tcPr>
            <w:tcW w:type="dxa" w:w="1944"/>
            <w:vAlign w:val="center"/>
            <w:tcMar>
              <w:top w:w="110" w:type="dxa"/>
              <w:start w:w="120" w:type="dxa"/>
              <w:bottom w:w="110" w:type="dxa"/>
              <w:end w:w="120" w:type="dxa"/>
            </w:tcMar>
          </w:tcPr>
          <w:p>
            <w:pPr>
              <w:jc w:val="center"/>
            </w:pPr>
            <w:r/>
            <w:r>
              <w:rPr>
                <w:b w:val="0"/>
                <w:sz w:val="18"/>
              </w:rPr>
              <w:t>Broader workflow integration.</w:t>
            </w:r>
          </w:p>
        </w:tc>
      </w:tr>
    </w:tbl>
    <w:p>
      <w:pPr>
        <w:pStyle w:val="Heading1"/>
      </w:pPr>
      <w:r>
        <w:t>12. Non-Functional Requirements</w:t>
      </w:r>
    </w:p>
    <w:p>
      <w:pPr>
        <w:pStyle w:val="ListBullet"/>
        <w:spacing w:after="60"/>
        <w:ind w:left="317"/>
      </w:pPr>
      <w:r>
        <w:t>Language-agnostic and framework-agnostic core.</w:t>
      </w:r>
    </w:p>
    <w:p>
      <w:pPr>
        <w:pStyle w:val="ListBullet"/>
        <w:spacing w:after="60"/>
        <w:ind w:left="317"/>
      </w:pPr>
      <w:r>
        <w:t>Deterministic and reproducible baseline analysis.</w:t>
      </w:r>
    </w:p>
    <w:p>
      <w:pPr>
        <w:pStyle w:val="ListBullet"/>
        <w:spacing w:after="60"/>
        <w:ind w:left="317"/>
      </w:pPr>
      <w:r>
        <w:t>Evidence-first: no unexplained wires.</w:t>
      </w:r>
    </w:p>
    <w:p>
      <w:pPr>
        <w:pStyle w:val="ListBullet"/>
        <w:spacing w:after="60"/>
        <w:ind w:left="317"/>
      </w:pPr>
      <w:r>
        <w:t>Graceful degradation: an unsupported technology must reduce detail, not break the project.</w:t>
      </w:r>
    </w:p>
    <w:p>
      <w:pPr>
        <w:pStyle w:val="ListBullet"/>
        <w:spacing w:after="60"/>
        <w:ind w:left="317"/>
      </w:pPr>
      <w:r>
        <w:t>Analyzer isolation: one failing adapter must not invalidate the full run.</w:t>
      </w:r>
    </w:p>
    <w:p>
      <w:pPr>
        <w:pStyle w:val="ListBullet"/>
        <w:spacing w:after="60"/>
        <w:ind w:left="317"/>
      </w:pPr>
      <w:r>
        <w:t>Versioned analysis results and analyzer versions.</w:t>
      </w:r>
    </w:p>
    <w:p>
      <w:pPr>
        <w:pStyle w:val="ListBullet"/>
        <w:spacing w:after="60"/>
        <w:ind w:left="317"/>
      </w:pPr>
      <w:r>
        <w:t>Scalable rendering: never render the entire large graph by default; query and render local subgraphs.</w:t>
      </w:r>
    </w:p>
    <w:p>
      <w:pPr>
        <w:pStyle w:val="ListBullet"/>
        <w:spacing w:after="60"/>
        <w:ind w:left="317"/>
      </w:pPr>
      <w:r>
        <w:t>Security: source code and architecture data remain subject to the same project access controls as ArchitectOS files.</w:t>
      </w:r>
    </w:p>
    <w:p>
      <w:pPr>
        <w:pStyle w:val="ListBullet"/>
        <w:spacing w:after="60"/>
        <w:ind w:left="317"/>
      </w:pPr>
      <w:r>
        <w:t>Performance target should prioritize interactive navigation after indexing; deep analysis may run separately during explicit refresh.</w:t>
      </w:r>
    </w:p>
    <w:p>
      <w:pPr>
        <w:pStyle w:val="Heading1"/>
      </w:pPr>
      <w:r>
        <w:t>13. Success Criteria</w:t>
      </w:r>
    </w:p>
    <w:p>
      <w:pPr>
        <w:pStyle w:val="ListBullet"/>
        <w:spacing w:after="60"/>
        <w:ind w:left="317"/>
      </w:pPr>
      <w:r>
        <w:t>A user can click any supported component and immediately understand its local connections.</w:t>
      </w:r>
    </w:p>
    <w:p>
      <w:pPr>
        <w:pStyle w:val="ListBullet"/>
        <w:spacing w:after="60"/>
        <w:ind w:left="317"/>
      </w:pPr>
      <w:r>
        <w:t>A user can click a specific field/internal point and see only the wiring relevant to that point.</w:t>
      </w:r>
    </w:p>
    <w:p>
      <w:pPr>
        <w:pStyle w:val="ListBullet"/>
        <w:spacing w:after="60"/>
        <w:ind w:left="317"/>
      </w:pPr>
      <w:r>
        <w:t>A user can start from either side of a relationship and trace backwards or forwards.</w:t>
      </w:r>
    </w:p>
    <w:p>
      <w:pPr>
        <w:pStyle w:val="ListBullet"/>
        <w:spacing w:after="60"/>
        <w:ind w:left="317"/>
      </w:pPr>
      <w:r>
        <w:t>A wire can be verified against concrete project evidence.</w:t>
      </w:r>
    </w:p>
    <w:p>
      <w:pPr>
        <w:pStyle w:val="ListBullet"/>
        <w:spacing w:after="60"/>
        <w:ind w:left="317"/>
      </w:pPr>
      <w:r>
        <w:t>Adding support for another language/framework does not require changes to the core model or UI contract.</w:t>
      </w:r>
    </w:p>
    <w:p>
      <w:pPr>
        <w:pStyle w:val="ListBullet"/>
        <w:spacing w:after="60"/>
        <w:ind w:left="317"/>
      </w:pPr>
      <w:r>
        <w:t>Project refresh updates the architecture map without rebuilding unrelated areas where incremental analysis is available.</w:t>
      </w:r>
    </w:p>
    <w:p>
      <w:pPr>
        <w:pStyle w:val="ListBullet"/>
        <w:spacing w:after="60"/>
        <w:ind w:left="317"/>
      </w:pPr>
      <w:r>
        <w:t>The module remains functional with Memory disabled.</w:t>
      </w:r>
    </w:p>
    <w:p>
      <w:pPr>
        <w:pStyle w:val="Heading1"/>
      </w:pPr>
      <w:r>
        <w:t>14. Final Architecture Principle</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F4E79"/>
                <w:sz w:val="22"/>
              </w:rPr>
              <w:t>ArchitectOS Architecture Intelligence</w:t>
              <w:br/>
            </w:r>
            <w:r>
              <w:rPr>
                <w:sz w:val="21"/>
              </w:rPr>
              <w:t>Own the model, not the parser. Use the best existing analysis engines as interchangeable evidence providers, normalize their output into a universal ArchitectOS IR, and present that IR as a human-readable interactive wiring diagram of the entire software system.</w:t>
            </w:r>
          </w:p>
        </w:tc>
      </w:tr>
    </w:tbl>
    <w:p>
      <w:pPr>
        <w:spacing w:after="0"/>
      </w:pPr>
    </w:p>
    <w:p>
      <w:r>
        <w:t>In practical terms: the source repository is the physical machine, analyzers are diagnostic instruments, the Architecture IR is the canonical wiring model, and the UI is the interactive electrical schematic through which a user can follow any “wire” from one system point to another and back again.</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ArchitectOS Architecture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505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