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200"/>
      </w:pPr>
      <w:r>
        <w:rPr>
          <w:rFonts w:ascii="Georgia" w:cs="Georgia" w:eastAsia="Georgia" w:hAnsi="Georgia"/>
          <w:b/>
          <w:bCs/>
          <w:color w:val="166534"/>
          <w:sz w:val="48"/>
          <w:szCs w:val="48"/>
        </w:rPr>
        <w:t xml:space="preserve">D2L Brightspace Integration</w:t>
      </w:r>
    </w:p>
    <w:p>
      <w:pPr>
        <w:spacing w:after="400"/>
      </w:pPr>
      <w:r>
        <w:rPr>
          <w:rFonts w:ascii="Georgia" w:cs="Georgia" w:eastAsia="Georgia" w:hAnsi="Georgia"/>
          <w:color w:val="475569"/>
          <w:sz w:val="32"/>
          <w:szCs w:val="32"/>
        </w:rPr>
        <w:t xml:space="preserve">Technical Requirements for NLU IT</w:t>
      </w:r>
    </w:p>
    <w:p>
      <w:pPr>
        <w:spacing w:after="120"/>
      </w:pPr>
      <w:r>
        <w:rPr>
          <w:rFonts w:ascii="Calibri" w:cs="Calibri" w:eastAsia="Calibri" w:hAnsi="Calibri"/>
          <w:sz w:val="22"/>
          <w:szCs w:val="22"/>
        </w:rPr>
        <w:t xml:space="preserve">LE3 Growth Portfolio • National Louis University</w:t>
      </w:r>
    </w:p>
    <w:p>
      <w:pPr>
        <w:spacing w:after="120"/>
      </w:pPr>
      <w:r>
        <w:rPr>
          <w:rFonts w:ascii="Calibri" w:cs="Calibri" w:eastAsia="Calibri" w:hAnsi="Calibri"/>
          <w:sz w:val="22"/>
          <w:szCs w:val="22"/>
        </w:rPr>
        <w:t xml:space="preserve">April 2026</w:t>
      </w:r>
    </w:p>
    <w:p>
      <w:pPr>
        <w:pBdr>
          <w:top w:val="single" w:color="16A34A" w:sz="4" w:space="8"/>
        </w:pBdr>
        <w:spacing w:after="200"/>
      </w:pPr>
    </w:p>
    <w:p>
      <w:pPr>
        <w:pStyle w:val="Heading1"/>
      </w:pPr>
      <w:r>
        <w:t xml:space="preserve">Overview</w:t>
      </w:r>
    </w:p>
    <w:p>
      <w:pPr>
        <w:spacing w:after="120"/>
      </w:pPr>
      <w:r>
        <w:rPr>
          <w:rFonts w:ascii="Calibri" w:cs="Calibri" w:eastAsia="Calibri" w:hAnsi="Calibri"/>
          <w:sz w:val="22"/>
          <w:szCs w:val="22"/>
        </w:rPr>
        <w:t xml:space="preserve">The LE3 Growth Portfolio is a student development platform that uses AI-guided reflective conversations to help students build self-awareness of their durable skills. The platform needs to pull student assignments from D2L Brightspace so they can be presented to students for reflection.</w:t>
      </w:r>
    </w:p>
    <w:p>
      <w:pPr>
        <w:spacing w:after="120"/>
      </w:pPr>
      <w:r>
        <w:rPr>
          <w:rFonts w:ascii="Calibri" w:cs="Calibri" w:eastAsia="Calibri" w:hAnsi="Calibri"/>
          <w:b/>
          <w:bCs/>
          <w:sz w:val="22"/>
          <w:szCs w:val="22"/>
        </w:rPr>
        <w:t xml:space="preserve">What the integration does:</w:t>
      </w:r>
    </w:p>
    <w:p>
      <w:pPr>
        <w:pStyle w:val="ListParagraph"/>
        <w:numPr>
          <w:ilvl w:val="0"/>
          <w:numId w:val="2"/>
        </w:numPr>
        <w:spacing w:after="80"/>
      </w:pPr>
      <w:r>
        <w:rPr>
          <w:rFonts w:ascii="Calibri" w:cs="Calibri" w:eastAsia="Calibri" w:hAnsi="Calibri"/>
          <w:sz w:val="22"/>
          <w:szCs w:val="22"/>
        </w:rPr>
        <w:t xml:space="preserve">Connects to D2L’s Valence REST API via OAuth2</w:t>
      </w:r>
    </w:p>
    <w:p>
      <w:pPr>
        <w:pStyle w:val="ListParagraph"/>
        <w:numPr>
          <w:ilvl w:val="0"/>
          <w:numId w:val="2"/>
        </w:numPr>
        <w:spacing w:after="80"/>
      </w:pPr>
      <w:r>
        <w:rPr>
          <w:rFonts w:ascii="Calibri" w:cs="Calibri" w:eastAsia="Calibri" w:hAnsi="Calibri"/>
          <w:sz w:val="22"/>
          <w:szCs w:val="22"/>
        </w:rPr>
        <w:t xml:space="preserve">Pulls all assignment (dropbox) folders from LE3 program courses</w:t>
      </w:r>
    </w:p>
    <w:p>
      <w:pPr>
        <w:pStyle w:val="ListParagraph"/>
        <w:numPr>
          <w:ilvl w:val="0"/>
          <w:numId w:val="2"/>
        </w:numPr>
        <w:spacing w:after="80"/>
      </w:pPr>
      <w:r>
        <w:rPr>
          <w:rFonts w:ascii="Calibri" w:cs="Calibri" w:eastAsia="Calibri" w:hAnsi="Calibri"/>
          <w:sz w:val="22"/>
          <w:szCs w:val="22"/>
        </w:rPr>
        <w:t xml:space="preserve">Downloads student-submitted files (PDF, DOCX, TXT)</w:t>
      </w:r>
    </w:p>
    <w:p>
      <w:pPr>
        <w:pStyle w:val="ListParagraph"/>
        <w:numPr>
          <w:ilvl w:val="0"/>
          <w:numId w:val="2"/>
        </w:numPr>
        <w:spacing w:after="80"/>
      </w:pPr>
      <w:r>
        <w:rPr>
          <w:rFonts w:ascii="Calibri" w:cs="Calibri" w:eastAsia="Calibri" w:hAnsi="Calibri"/>
          <w:sz w:val="22"/>
          <w:szCs w:val="22"/>
        </w:rPr>
        <w:t xml:space="preserve">Extracts text content from submissions</w:t>
      </w:r>
    </w:p>
    <w:p>
      <w:pPr>
        <w:pStyle w:val="ListParagraph"/>
        <w:numPr>
          <w:ilvl w:val="0"/>
          <w:numId w:val="2"/>
        </w:numPr>
        <w:spacing w:after="80"/>
      </w:pPr>
      <w:r>
        <w:rPr>
          <w:rFonts w:ascii="Calibri" w:cs="Calibri" w:eastAsia="Calibri" w:hAnsi="Calibri"/>
          <w:sz w:val="22"/>
          <w:szCs w:val="22"/>
        </w:rPr>
        <w:t xml:space="preserve">Creates records in the Growth Portfolio database linked to each student</w:t>
      </w:r>
    </w:p>
    <w:p>
      <w:pPr>
        <w:pStyle w:val="ListParagraph"/>
        <w:numPr>
          <w:ilvl w:val="0"/>
          <w:numId w:val="2"/>
        </w:numPr>
        <w:spacing w:after="80"/>
      </w:pPr>
      <w:r>
        <w:rPr>
          <w:rFonts w:ascii="Calibri" w:cs="Calibri" w:eastAsia="Calibri" w:hAnsi="Calibri"/>
          <w:sz w:val="22"/>
          <w:szCs w:val="22"/>
        </w:rPr>
        <w:t xml:space="preserve">AI auto-tags each assignment with 1–3 of 12 durable skills</w:t>
      </w:r>
    </w:p>
    <w:p>
      <w:pPr>
        <w:pStyle w:val="ListParagraph"/>
        <w:numPr>
          <w:ilvl w:val="0"/>
          <w:numId w:val="2"/>
        </w:numPr>
        <w:spacing w:after="80"/>
      </w:pPr>
      <w:r>
        <w:rPr>
          <w:rFonts w:ascii="Calibri" w:cs="Calibri" w:eastAsia="Calibri" w:hAnsi="Calibri"/>
          <w:sz w:val="22"/>
          <w:szCs w:val="22"/>
        </w:rPr>
        <w:t xml:space="preserve">Presents tagged assignments to students, grouped by skill, for reflective conversations</w:t>
      </w:r>
    </w:p>
    <w:p>
      <w:pPr>
        <w:spacing w:after="120"/>
      </w:pPr>
      <w:r>
        <w:rPr>
          <w:rFonts w:ascii="Calibri" w:cs="Calibri" w:eastAsia="Calibri" w:hAnsi="Calibri"/>
          <w:b/>
          <w:bCs/>
          <w:sz w:val="22"/>
          <w:szCs w:val="22"/>
        </w:rPr>
        <w:t xml:space="preserve">Scope:</w:t>
      </w:r>
    </w:p>
    <w:p>
      <w:pPr>
        <w:spacing w:after="120"/>
      </w:pPr>
      <w:r>
        <w:rPr>
          <w:rFonts w:ascii="Calibri" w:cs="Calibri" w:eastAsia="Calibri" w:hAnsi="Calibri"/>
          <w:sz w:val="22"/>
          <w:szCs w:val="22"/>
        </w:rPr>
        <w:t xml:space="preserve">This integration serves the entire LE3 program — all courses, all cohorts, all quarters. A student taking SOC 155, HUM 150, and BUS 200 in the same quarter will see assignments from all three in their portfolio. The system accumulates work across a student’s entire time in the program.</w:t>
      </w:r>
    </w:p>
    <w:p>
      <w:pPr>
        <w:spacing w:after="120"/>
      </w:pPr>
      <w:r>
        <w:rPr>
          <w:rFonts w:ascii="Calibri" w:cs="Calibri" w:eastAsia="Calibri" w:hAnsi="Calibri"/>
          <w:b/>
          <w:bCs/>
          <w:sz w:val="22"/>
          <w:szCs w:val="22"/>
        </w:rPr>
        <w:t xml:space="preserve">Fallback:</w:t>
      </w:r>
    </w:p>
    <w:p>
      <w:pPr>
        <w:spacing w:after="120"/>
      </w:pPr>
      <w:r>
        <w:rPr>
          <w:rFonts w:ascii="Calibri" w:cs="Calibri" w:eastAsia="Calibri" w:hAnsi="Calibri"/>
          <w:sz w:val="22"/>
          <w:szCs w:val="22"/>
        </w:rPr>
        <w:t xml:space="preserve">If D2L integration is not available, coaches can import assignments via CSV upload. The CSV import is fully functional and does the same auto-tagging. D2L integration automates what CSV import does manually.</w:t>
      </w:r>
    </w:p>
    <w:p>
      <w:r>
        <w:br w:type="page"/>
      </w:r>
    </w:p>
    <w:p>
      <w:pPr>
        <w:pStyle w:val="Heading1"/>
      </w:pPr>
      <w:r>
        <w:t xml:space="preserve">What We Need from NLU</w:t>
      </w:r>
    </w:p>
    <w:p>
      <w:pPr>
        <w:pStyle w:val="Heading2"/>
      </w:pPr>
      <w:r>
        <w:t xml:space="preserve">1. OAuth2 Application Registration</w:t>
      </w:r>
    </w:p>
    <w:p>
      <w:pPr>
        <w:spacing w:after="120"/>
      </w:pPr>
      <w:r>
        <w:rPr>
          <w:rFonts w:ascii="Calibri" w:cs="Calibri" w:eastAsia="Calibri" w:hAnsi="Calibri"/>
          <w:sz w:val="22"/>
          <w:szCs w:val="22"/>
        </w:rPr>
        <w:t xml:space="preserve">Register an OAuth2 application in Brightspace’s Manage Extensibility tool (Admin Tools → Manage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Application 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LE3 Growth Portfolio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Grant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Client Credentials (recommended)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Server-to-server. No per-student authorization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OAuth2 Scopes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dropbox:folders:read enrollment:orgunit:read core:*:*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Read-only. No write access to Brightspace.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JWKS URL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We will provide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Required for Client Credentials. We generate a key pair and host the public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Access Token Lifetime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72000 seconds (20 hours)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Maximum allowed. Reduces token refresh 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Service User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 be assigned by NLU]</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The user account the API acts as. Must have read access to LE3 course assignments.</w:t>
            </w:r>
          </w:p>
        </w:tc>
      </w:tr>
    </w:tbl>
    <w:p>
      <w:pPr>
        <w:spacing w:after="120"/>
      </w:pPr>
    </w:p>
    <w:p>
      <w:pPr>
        <w:spacing w:after="120"/>
      </w:pPr>
      <w:r>
        <w:rPr>
          <w:rFonts w:ascii="Calibri" w:cs="Calibri" w:eastAsia="Calibri" w:hAnsi="Calibri"/>
          <w:b/>
          <w:bCs/>
          <w:sz w:val="22"/>
          <w:szCs w:val="22"/>
        </w:rPr>
        <w:t xml:space="preserve">What we receive after registration:</w:t>
      </w:r>
    </w:p>
    <w:p>
      <w:pPr>
        <w:pStyle w:val="ListParagraph"/>
        <w:numPr>
          <w:ilvl w:val="0"/>
          <w:numId w:val="3"/>
        </w:numPr>
        <w:spacing w:after="60"/>
      </w:pPr>
      <w:r>
        <w:rPr>
          <w:rFonts w:ascii="Calibri" w:cs="Calibri" w:eastAsia="Calibri" w:hAnsi="Calibri"/>
          <w:sz w:val="22"/>
          <w:szCs w:val="22"/>
        </w:rPr>
        <w:t xml:space="preserve">Client ID (string)</w:t>
      </w:r>
    </w:p>
    <w:p>
      <w:pPr>
        <w:pStyle w:val="ListParagraph"/>
        <w:numPr>
          <w:ilvl w:val="0"/>
          <w:numId w:val="3"/>
        </w:numPr>
        <w:spacing w:after="60"/>
      </w:pPr>
      <w:r>
        <w:rPr>
          <w:rFonts w:ascii="Calibri" w:cs="Calibri" w:eastAsia="Calibri" w:hAnsi="Calibri"/>
          <w:sz w:val="22"/>
          <w:szCs w:val="22"/>
        </w:rPr>
        <w:t xml:space="preserve">Confirmation that the service user is assigned and has appropriate permissions</w:t>
      </w:r>
    </w:p>
    <w:p>
      <w:pPr>
        <w:spacing w:after="120"/>
      </w:pPr>
      <w:r>
        <w:rPr>
          <w:rFonts w:ascii="Calibri" w:cs="Calibri" w:eastAsia="Calibri" w:hAnsi="Calibri"/>
          <w:b/>
          <w:bCs/>
          <w:sz w:val="22"/>
          <w:szCs w:val="22"/>
        </w:rPr>
        <w:t xml:space="preserve">Alternative: Authorization Code Grant</w:t>
      </w:r>
    </w:p>
    <w:p>
      <w:pPr>
        <w:spacing w:after="120"/>
      </w:pPr>
      <w:r>
        <w:rPr>
          <w:rFonts w:ascii="Calibri" w:cs="Calibri" w:eastAsia="Calibri" w:hAnsi="Calibri"/>
          <w:sz w:val="22"/>
          <w:szCs w:val="22"/>
        </w:rPr>
        <w:t xml:space="preserve">If institutional policy requires per-user authorization, we can use Authorization Code Grant instead. This gives us a Client ID + Client Secret and requires a redirect URI. Each coach/admin would authorize the app once via browser. This is more complex but may satisfy stricter data governance requirements.</w:t>
      </w:r>
    </w:p>
    <w:p>
      <w:pPr>
        <w:pStyle w:val="Heading2"/>
      </w:pPr>
      <w:r>
        <w:t xml:space="preserve">2. Brightspace Instance URL</w:t>
      </w:r>
    </w:p>
    <w:p>
      <w:pPr>
        <w:spacing w:after="120"/>
      </w:pPr>
      <w:r>
        <w:rPr>
          <w:rFonts w:ascii="Calibri" w:cs="Calibri" w:eastAsia="Calibri" w:hAnsi="Calibri"/>
          <w:sz w:val="22"/>
          <w:szCs w:val="22"/>
        </w:rPr>
        <w:t xml:space="preserve">The production URL for NLU’s Brightspace instance.</w:t>
      </w:r>
    </w:p>
    <w:p>
      <w:pPr>
        <w:spacing w:after="120"/>
      </w:pPr>
      <w:r>
        <w:rPr>
          <w:rFonts w:ascii="Calibri" w:cs="Calibri" w:eastAsia="Calibri" w:hAnsi="Calibri"/>
          <w:b/>
          <w:bCs/>
          <w:sz w:val="22"/>
          <w:szCs w:val="22"/>
        </w:rPr>
        <w:t xml:space="preserve">Format:</w:t>
      </w:r>
    </w:p>
    <w:p>
      <w:pPr>
        <w:spacing w:after="60"/>
        <w:ind w:left="360"/>
      </w:pPr>
      <w:r>
        <w:rPr>
          <w:rFonts w:ascii="Consolas" w:cs="Consolas" w:eastAsia="Consolas" w:hAnsi="Consolas"/>
          <w:color w:val="475569"/>
          <w:sz w:val="20"/>
          <w:szCs w:val="20"/>
        </w:rPr>
        <w:t xml:space="preserve">https://[subdomain].brightspace.com</w:t>
      </w:r>
    </w:p>
    <w:p>
      <w:pPr>
        <w:spacing w:after="120"/>
      </w:pPr>
      <w:r>
        <w:rPr>
          <w:rFonts w:ascii="Calibri" w:cs="Calibri" w:eastAsia="Calibri" w:hAnsi="Calibri"/>
          <w:sz w:val="22"/>
          <w:szCs w:val="22"/>
        </w:rPr>
        <w:t xml:space="preserve">This is the URL students and faculty use to log into Brightspace. We need the exact hostname for API calls.</w:t>
      </w:r>
    </w:p>
    <w:p>
      <w:pPr>
        <w:spacing w:after="120"/>
      </w:pPr>
      <w:r>
        <w:rPr>
          <w:rFonts w:ascii="Calibri" w:cs="Calibri" w:eastAsia="Calibri" w:hAnsi="Calibri"/>
          <w:b/>
          <w:bCs/>
          <w:sz w:val="22"/>
          <w:szCs w:val="22"/>
        </w:rPr>
        <w:t xml:space="preserve">API endpoints we’ll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/d2l/api/lp/1.82/enrollments/myenrollments/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List courses the service user can see</w:t>
            </w:r>
          </w:p>
        </w:tc>
      </w:tr>
      <w:tr>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/d2l/api/le/1.82/{orgUnitId}/dropbox/folders/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List assignments for a course</w:t>
            </w:r>
          </w:p>
        </w:tc>
      </w:tr>
      <w:tr>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/d2l/api/le/1.82/{orgUnitId}/dropbox/folders/{folderId}/submissions/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Get student submissions per assignment</w:t>
            </w:r>
          </w:p>
        </w:tc>
      </w:tr>
      <w:tr>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/d2l/api/le/1.82/{orgUnitId}/dropbox/folders/{folderId}/submissions/{subId}/files/{fileId}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Download a submitted file</w:t>
            </w:r>
          </w:p>
        </w:tc>
      </w:tr>
      <w:tr>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/d2l/api/le/1.82/{orgUnitId}/classlist/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List enrolled students for matching</w:t>
            </w:r>
          </w:p>
        </w:tc>
      </w:tr>
      <w:tr>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Calibri" w:cs="Calibri" w:eastAsia="Calibri" w:hAnsi="Calibri"/>
                <w:b/>
                <w:bCs/>
                <w:sz w:val="20"/>
                <w:szCs w:val="20"/>
              </w:rPr>
              <w:t xml:space="preserve">POST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https://auth.brightspace.com/core/connect/token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OAuth2 token exchange (once)</w:t>
            </w:r>
          </w:p>
        </w:tc>
      </w:tr>
    </w:tbl>
    <w:p>
      <w:pPr>
        <w:spacing w:after="120"/>
      </w:pPr>
    </w:p>
    <w:p>
      <w:pPr>
        <w:spacing w:after="120"/>
      </w:pPr>
      <w:r>
        <w:rPr>
          <w:rFonts w:ascii="Calibri" w:cs="Calibri" w:eastAsia="Calibri" w:hAnsi="Calibri"/>
          <w:color w:val="475569"/>
          <w:sz w:val="22"/>
          <w:szCs w:val="22"/>
        </w:rPr>
        <w:t xml:space="preserve">All data access is read-only. The Growth Portfolio never writes to or modifies anything in Brightspace.</w:t>
      </w:r>
    </w:p>
    <w:p>
      <w:pPr>
        <w:pStyle w:val="Heading2"/>
      </w:pPr>
      <w:r>
        <w:t xml:space="preserve">3. Service User with LE3 Course Access</w:t>
      </w:r>
    </w:p>
    <w:p>
      <w:pPr>
        <w:spacing w:after="120"/>
      </w:pPr>
      <w:r>
        <w:rPr>
          <w:rFonts w:ascii="Calibri" w:cs="Calibri" w:eastAsia="Calibri" w:hAnsi="Calibri"/>
          <w:sz w:val="22"/>
          <w:szCs w:val="22"/>
        </w:rPr>
        <w:t xml:space="preserve">The Client Credentials grant makes API calls as a specific user. This user’s enrollment and permissions determine what the API can see.</w:t>
      </w:r>
    </w:p>
    <w:p>
      <w:pPr>
        <w:spacing w:after="120"/>
      </w:pPr>
      <w:r>
        <w:rPr>
          <w:rFonts w:ascii="Calibri" w:cs="Calibri" w:eastAsia="Calibri" w:hAnsi="Calibri"/>
          <w:b/>
          <w:bCs/>
          <w:sz w:val="22"/>
          <w:szCs w:val="22"/>
        </w:rPr>
        <w:t xml:space="preserve">Requirements for the service user:</w:t>
      </w:r>
    </w:p>
    <w:p>
      <w:pPr>
        <w:pStyle w:val="ListParagraph"/>
        <w:numPr>
          <w:ilvl w:val="0"/>
          <w:numId w:val="3"/>
        </w:numPr>
        <w:spacing w:after="60"/>
      </w:pPr>
      <w:r>
        <w:rPr>
          <w:rFonts w:ascii="Calibri" w:cs="Calibri" w:eastAsia="Calibri" w:hAnsi="Calibri"/>
          <w:sz w:val="22"/>
          <w:szCs w:val="22"/>
        </w:rPr>
        <w:t xml:space="preserve">Must be enrolled in all current LE3 program courses (and ideally auto-enrolled in new ones each quarter)</w:t>
      </w:r>
    </w:p>
    <w:p>
      <w:pPr>
        <w:pStyle w:val="ListParagraph"/>
        <w:numPr>
          <w:ilvl w:val="0"/>
          <w:numId w:val="3"/>
        </w:numPr>
        <w:spacing w:after="60"/>
      </w:pPr>
      <w:r>
        <w:rPr>
          <w:rFonts w:ascii="Calibri" w:cs="Calibri" w:eastAsia="Calibri" w:hAnsi="Calibri"/>
          <w:sz w:val="22"/>
          <w:szCs w:val="22"/>
        </w:rPr>
        <w:t xml:space="preserve">Must have permission to view dropbox/assignment folders and student submissions</w:t>
      </w:r>
    </w:p>
    <w:p>
      <w:pPr>
        <w:pStyle w:val="ListParagraph"/>
        <w:numPr>
          <w:ilvl w:val="0"/>
          <w:numId w:val="3"/>
        </w:numPr>
        <w:spacing w:after="60"/>
      </w:pPr>
      <w:r>
        <w:rPr>
          <w:rFonts w:ascii="Calibri" w:cs="Calibri" w:eastAsia="Calibri" w:hAnsi="Calibri"/>
          <w:sz w:val="22"/>
          <w:szCs w:val="22"/>
        </w:rPr>
        <w:t xml:space="preserve">Must have permission to view class lists (for student matching)</w:t>
      </w:r>
    </w:p>
    <w:p>
      <w:pPr>
        <w:pStyle w:val="ListParagraph"/>
        <w:numPr>
          <w:ilvl w:val="0"/>
          <w:numId w:val="3"/>
        </w:numPr>
        <w:spacing w:after="60"/>
      </w:pPr>
      <w:r>
        <w:rPr>
          <w:rFonts w:ascii="Calibri" w:cs="Calibri" w:eastAsia="Calibri" w:hAnsi="Calibri"/>
          <w:sz w:val="22"/>
          <w:szCs w:val="22"/>
        </w:rPr>
        <w:t xml:space="preserve">Can be: a dedicated service account, an existing admin account, or a coach account with cross-course access</w:t>
      </w:r>
    </w:p>
    <w:p>
      <w:pPr>
        <w:spacing w:after="120"/>
      </w:pPr>
      <w:r>
        <w:rPr>
          <w:rFonts w:ascii="Calibri" w:cs="Calibri" w:eastAsia="Calibri" w:hAnsi="Calibri"/>
          <w:b/>
          <w:bCs/>
          <w:sz w:val="22"/>
          <w:szCs w:val="22"/>
        </w:rPr>
        <w:t xml:space="preserve">Ideal setup:</w:t>
      </w:r>
    </w:p>
    <w:p>
      <w:pPr>
        <w:spacing w:after="120"/>
      </w:pPr>
      <w:r>
        <w:rPr>
          <w:rFonts w:ascii="Calibri" w:cs="Calibri" w:eastAsia="Calibri" w:hAnsi="Calibri"/>
          <w:sz w:val="22"/>
          <w:szCs w:val="22"/>
        </w:rPr>
        <w:t xml:space="preserve">A dedicated service account enrolled at the LE3 program level in Brightspace, so it automatically inherits access to all child course sections. This avoids manually enrolling the account each quarter.</w:t>
      </w:r>
    </w:p>
    <w:p>
      <w:pPr>
        <w:pStyle w:val="Heading2"/>
      </w:pPr>
      <w:r>
        <w:t xml:space="preserve">4. LE3 Course Identification</w:t>
      </w:r>
    </w:p>
    <w:p>
      <w:pPr>
        <w:spacing w:after="120"/>
      </w:pPr>
      <w:r>
        <w:rPr>
          <w:rFonts w:ascii="Calibri" w:cs="Calibri" w:eastAsia="Calibri" w:hAnsi="Calibri"/>
          <w:sz w:val="22"/>
          <w:szCs w:val="22"/>
        </w:rPr>
        <w:t xml:space="preserve">The system needs to know which courses in Brightspace are LE3 program courses. This determines what gets synced.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How It Works</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Effort</w:t>
            </w:r>
          </w:p>
        </w:tc>
      </w:tr>
      <w:tr>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Program-level org unit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LE3 courses are children of a common org unit. We query that parent.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Best. Zero ongoing maintenance. New courses auto-discovered.</w:t>
            </w:r>
          </w:p>
        </w:tc>
      </w:tr>
      <w:tr>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Course code pattern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LE3 courses follow a naming pattern (e.g., prefix, tag). We filter by pattern.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Good. Minimal maintenance if convention is consistent.</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b/>
                <w:bCs/>
                <w:sz w:val="20"/>
                <w:szCs w:val="20"/>
              </w:rPr>
              <w:t xml:space="preserve">Enrollment-based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Service user is enrolled in all LE3 courses. We sync everything it can see.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OK. Requires enrolling the service user in new courses each quarter.</w:t>
            </w:r>
          </w:p>
        </w:tc>
      </w:tr>
      <w:tr>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Calibri" w:cs="Calibri" w:eastAsia="Calibri" w:hAnsi="Calibri"/>
                <w:b/>
                <w:bCs/>
                <w:sz w:val="20"/>
                <w:szCs w:val="20"/>
              </w:rPr>
              <w:t xml:space="preserve">Manual course list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NLU provides Org Unit IDs each quarter. We configure them.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Workable but requires quarterly updates.</w:t>
            </w:r>
          </w:p>
        </w:tc>
      </w:tr>
    </w:tbl>
    <w:p>
      <w:pPr>
        <w:spacing w:after="120"/>
      </w:pPr>
    </w:p>
    <w:p>
      <w:pPr>
        <w:spacing w:after="120"/>
      </w:pPr>
      <w:r>
        <w:rPr>
          <w:rFonts w:ascii="Calibri" w:cs="Calibri" w:eastAsia="Calibri" w:hAnsi="Calibri"/>
          <w:b/>
          <w:bCs/>
          <w:sz w:val="22"/>
          <w:szCs w:val="22"/>
        </w:rPr>
        <w:t xml:space="preserve">Question: How are LE3 courses organized in Brightspace?</w:t>
      </w:r>
    </w:p>
    <w:p>
      <w:pPr>
        <w:spacing w:after="120"/>
      </w:pPr>
      <w:r>
        <w:rPr>
          <w:rFonts w:ascii="Calibri" w:cs="Calibri" w:eastAsia="Calibri" w:hAnsi="Calibri"/>
          <w:sz w:val="22"/>
          <w:szCs w:val="22"/>
        </w:rPr>
        <w:t xml:space="preserve">Is there a program-level container, a department structure, a naming convention, or a tag/attribute that identifies LE3 courses? This determines which approach we use.</w:t>
      </w:r>
    </w:p>
    <w:p>
      <w:pPr>
        <w:pStyle w:val="Heading2"/>
      </w:pPr>
      <w:r>
        <w:t xml:space="preserve">5. Student Identity Matching</w:t>
      </w:r>
    </w:p>
    <w:p>
      <w:pPr>
        <w:spacing w:after="120"/>
      </w:pPr>
      <w:r>
        <w:rPr>
          <w:rFonts w:ascii="Calibri" w:cs="Calibri" w:eastAsia="Calibri" w:hAnsi="Calibri"/>
          <w:sz w:val="22"/>
          <w:szCs w:val="22"/>
        </w:rPr>
        <w:t xml:space="preserve">When the system downloads submissions from D2L, it needs to match each D2L user to the corresponding student record in the Growth Portfolio. We need to confirm which identifier is consistent across both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Matching Method</w:t>
            </w:r>
          </w:p>
        </w:tc>
        <w:tc>
          <w:tcPr>
            <w:tcW w:type="dxa" w:w="70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Email (preferred)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If D2L accounts use the same @nlu.edu email that students use to sign into the Growth Portfolio, matching is automatic. No configuration needed.</w:t>
            </w:r>
          </w:p>
        </w:tc>
      </w:tr>
      <w:tr>
        <w:tc>
          <w:tcPr>
            <w:tcW w:type="dxa" w:w="23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alibri" w:cs="Calibri" w:eastAsia="Calibri" w:hAnsi="Calibri"/>
                <w:b/>
                <w:bCs/>
                <w:sz w:val="20"/>
                <w:szCs w:val="20"/>
              </w:rPr>
              <w:t xml:space="preserve">OrgDefinedId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D2L’s OrgDefinedId field on classlist users maps to our nlu_id field. Works if OrgDefinedId contains the NLU student ID (e.g., N00123456).</w:t>
            </w:r>
          </w:p>
        </w:tc>
      </w:tr>
      <w:tr>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Calibri" w:cs="Calibri" w:eastAsia="Calibri" w:hAnsi="Calibri"/>
                <w:b/>
                <w:bCs/>
                <w:sz w:val="20"/>
                <w:szCs w:val="20"/>
              </w:rPr>
              <w:t xml:space="preserve">Manual mapping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We provide a CSV mapping D2L user IDs to Growth Portfolio student IDs. Requires maintenance as students enroll.</w:t>
            </w:r>
          </w:p>
        </w:tc>
      </w:tr>
    </w:tbl>
    <w:p>
      <w:pPr>
        <w:spacing w:after="120"/>
      </w:pPr>
    </w:p>
    <w:p>
      <w:pPr>
        <w:spacing w:after="120"/>
      </w:pPr>
      <w:r>
        <w:rPr>
          <w:rFonts w:ascii="Calibri" w:cs="Calibri" w:eastAsia="Calibri" w:hAnsi="Calibri"/>
          <w:b/>
          <w:bCs/>
          <w:sz w:val="22"/>
          <w:szCs w:val="22"/>
        </w:rPr>
        <w:t xml:space="preserve">Question: Do Brightspace student accounts use the same @nlu.edu email addresses that students use elsewhere at NLU?</w:t>
      </w:r>
    </w:p>
    <w:p>
      <w:r>
        <w:br w:type="page"/>
      </w:r>
    </w:p>
    <w:p>
      <w:pPr>
        <w:pStyle w:val="Heading2"/>
      </w:pPr>
      <w:r>
        <w:t xml:space="preserve">6. Governance and Compliance</w:t>
      </w:r>
    </w:p>
    <w:p>
      <w:pPr>
        <w:spacing w:after="120"/>
      </w:pPr>
      <w:r>
        <w:rPr>
          <w:rFonts w:ascii="Calibri" w:cs="Calibri" w:eastAsia="Calibri" w:hAnsi="Calibri"/>
          <w:sz w:val="22"/>
          <w:szCs w:val="22"/>
        </w:rPr>
        <w:t xml:space="preserve">The integration accesses student work submissions (FERPA-protected data). We need to understand NLU’s requirements.</w:t>
      </w:r>
    </w:p>
    <w:p>
      <w:pPr>
        <w:spacing w:after="120"/>
      </w:pPr>
      <w:r>
        <w:rPr>
          <w:rFonts w:ascii="Calibri" w:cs="Calibri" w:eastAsia="Calibri" w:hAnsi="Calibri"/>
          <w:b/>
          <w:bCs/>
          <w:sz w:val="22"/>
          <w:szCs w:val="22"/>
        </w:rPr>
        <w:t xml:space="preserve">Questions:</w:t>
      </w:r>
    </w:p>
    <w:p>
      <w:pPr>
        <w:pStyle w:val="ListParagraph"/>
        <w:numPr>
          <w:ilvl w:val="0"/>
          <w:numId w:val="4"/>
        </w:numPr>
        <w:spacing w:after="80"/>
      </w:pPr>
      <w:r>
        <w:rPr>
          <w:rFonts w:ascii="Calibri" w:cs="Calibri" w:eastAsia="Calibri" w:hAnsi="Calibri"/>
          <w:sz w:val="22"/>
          <w:szCs w:val="22"/>
        </w:rPr>
        <w:t xml:space="preserve">Does NLU require a FERPA data sharing agreement or addendum for third-party API integrations?</w:t>
      </w:r>
    </w:p>
    <w:p>
      <w:pPr>
        <w:pStyle w:val="ListParagraph"/>
        <w:numPr>
          <w:ilvl w:val="0"/>
          <w:numId w:val="4"/>
        </w:numPr>
        <w:spacing w:after="80"/>
      </w:pPr>
      <w:r>
        <w:rPr>
          <w:rFonts w:ascii="Calibri" w:cs="Calibri" w:eastAsia="Calibri" w:hAnsi="Calibri"/>
          <w:sz w:val="22"/>
          <w:szCs w:val="22"/>
        </w:rPr>
        <w:t xml:space="preserve">Is there a security review or approval process for new API integrations with Brightspace?</w:t>
      </w:r>
    </w:p>
    <w:p>
      <w:pPr>
        <w:pStyle w:val="ListParagraph"/>
        <w:numPr>
          <w:ilvl w:val="0"/>
          <w:numId w:val="4"/>
        </w:numPr>
        <w:spacing w:after="80"/>
      </w:pPr>
      <w:r>
        <w:rPr>
          <w:rFonts w:ascii="Calibri" w:cs="Calibri" w:eastAsia="Calibri" w:hAnsi="Calibri"/>
          <w:sz w:val="22"/>
          <w:szCs w:val="22"/>
        </w:rPr>
        <w:t xml:space="preserve">Are there data residency requirements (e.g., data must stay within specific cloud regions)?</w:t>
      </w:r>
    </w:p>
    <w:p>
      <w:pPr>
        <w:pStyle w:val="ListParagraph"/>
        <w:numPr>
          <w:ilvl w:val="0"/>
          <w:numId w:val="4"/>
        </w:numPr>
        <w:spacing w:after="80"/>
      </w:pPr>
      <w:r>
        <w:rPr>
          <w:rFonts w:ascii="Calibri" w:cs="Calibri" w:eastAsia="Calibri" w:hAnsi="Calibri"/>
          <w:sz w:val="22"/>
          <w:szCs w:val="22"/>
        </w:rPr>
        <w:t xml:space="preserve">Does NLU have a standard process for registering third-party applications with IT?</w:t>
      </w:r>
    </w:p>
    <w:p>
      <w:pPr>
        <w:spacing w:after="120"/>
      </w:pPr>
      <w:r>
        <w:rPr>
          <w:rFonts w:ascii="Calibri" w:cs="Calibri" w:eastAsia="Calibri" w:hAnsi="Calibri"/>
          <w:b/>
          <w:bCs/>
          <w:sz w:val="22"/>
          <w:szCs w:val="22"/>
        </w:rPr>
        <w:t xml:space="preserve">What we can provide for review:</w:t>
      </w:r>
    </w:p>
    <w:p>
      <w:pPr>
        <w:pStyle w:val="ListParagraph"/>
        <w:numPr>
          <w:ilvl w:val="0"/>
          <w:numId w:val="3"/>
        </w:numPr>
        <w:spacing w:after="60"/>
      </w:pPr>
      <w:r>
        <w:rPr>
          <w:rFonts w:ascii="Calibri" w:cs="Calibri" w:eastAsia="Calibri" w:hAnsi="Calibri"/>
          <w:sz w:val="22"/>
          <w:szCs w:val="22"/>
        </w:rPr>
        <w:t xml:space="preserve">The application only reads data — no write access to Brightspace</w:t>
      </w:r>
    </w:p>
    <w:p>
      <w:pPr>
        <w:pStyle w:val="ListParagraph"/>
        <w:numPr>
          <w:ilvl w:val="0"/>
          <w:numId w:val="3"/>
        </w:numPr>
        <w:spacing w:after="60"/>
      </w:pPr>
      <w:r>
        <w:rPr>
          <w:rFonts w:ascii="Calibri" w:cs="Calibri" w:eastAsia="Calibri" w:hAnsi="Calibri"/>
          <w:sz w:val="22"/>
          <w:szCs w:val="22"/>
        </w:rPr>
        <w:t xml:space="preserve">Student data is stored in Supabase (PostgreSQL) with Row Level Security — students can only see their own records</w:t>
      </w:r>
    </w:p>
    <w:p>
      <w:pPr>
        <w:pStyle w:val="ListParagraph"/>
        <w:numPr>
          <w:ilvl w:val="0"/>
          <w:numId w:val="3"/>
        </w:numPr>
        <w:spacing w:after="60"/>
      </w:pPr>
      <w:r>
        <w:rPr>
          <w:rFonts w:ascii="Calibri" w:cs="Calibri" w:eastAsia="Calibri" w:hAnsi="Calibri"/>
          <w:sz w:val="22"/>
          <w:szCs w:val="22"/>
        </w:rPr>
        <w:t xml:space="preserve">LLM processing uses enterprise-tier API agreements (Google Gemini via NLU contract, or Anthropic Claude)</w:t>
      </w:r>
    </w:p>
    <w:p>
      <w:pPr>
        <w:pStyle w:val="ListParagraph"/>
        <w:numPr>
          <w:ilvl w:val="0"/>
          <w:numId w:val="3"/>
        </w:numPr>
        <w:spacing w:after="60"/>
      </w:pPr>
      <w:r>
        <w:rPr>
          <w:rFonts w:ascii="Calibri" w:cs="Calibri" w:eastAsia="Calibri" w:hAnsi="Calibri"/>
          <w:sz w:val="22"/>
          <w:szCs w:val="22"/>
        </w:rPr>
        <w:t xml:space="preserve">No student PII beyond first name is sent to LLM providers</w:t>
      </w:r>
    </w:p>
    <w:p>
      <w:pPr>
        <w:pStyle w:val="ListParagraph"/>
        <w:numPr>
          <w:ilvl w:val="0"/>
          <w:numId w:val="3"/>
        </w:numPr>
        <w:spacing w:after="60"/>
      </w:pPr>
      <w:r>
        <w:rPr>
          <w:rFonts w:ascii="Calibri" w:cs="Calibri" w:eastAsia="Calibri" w:hAnsi="Calibri"/>
          <w:sz w:val="22"/>
          <w:szCs w:val="22"/>
        </w:rPr>
        <w:t xml:space="preserve">The application is deployed on Vercel with environment-variable-based secrets management</w:t>
      </w:r>
    </w:p>
    <w:p>
      <w:pPr>
        <w:pStyle w:val="Heading2"/>
      </w:pPr>
      <w:r>
        <w:t xml:space="preserve">7. Test Environment</w:t>
      </w:r>
    </w:p>
    <w:p>
      <w:pPr>
        <w:spacing w:after="120"/>
      </w:pPr>
      <w:r>
        <w:rPr>
          <w:rFonts w:ascii="Calibri" w:cs="Calibri" w:eastAsia="Calibri" w:hAnsi="Calibri"/>
          <w:sz w:val="22"/>
          <w:szCs w:val="22"/>
        </w:rPr>
        <w:t xml:space="preserve">We need a way to test the integration before going live with real student data.</w:t>
      </w:r>
    </w:p>
    <w:p>
      <w:pPr>
        <w:spacing w:after="120"/>
      </w:pPr>
      <w:r>
        <w:rPr>
          <w:rFonts w:ascii="Calibri" w:cs="Calibri" w:eastAsia="Calibri" w:hAnsi="Calibri"/>
          <w:b/>
          <w:bCs/>
          <w:sz w:val="22"/>
          <w:szCs w:val="22"/>
        </w:rPr>
        <w:t xml:space="preserve">Options:</w:t>
      </w:r>
    </w:p>
    <w:p>
      <w:pPr>
        <w:pStyle w:val="ListParagraph"/>
        <w:numPr>
          <w:ilvl w:val="0"/>
          <w:numId w:val="3"/>
        </w:numPr>
        <w:spacing w:after="60"/>
      </w:pPr>
      <w:r>
        <w:rPr>
          <w:rFonts w:ascii="Calibri" w:cs="Calibri" w:eastAsia="Calibri" w:hAnsi="Calibri"/>
          <w:sz w:val="22"/>
          <w:szCs w:val="22"/>
        </w:rPr>
        <w:t xml:space="preserve">Sandbox/test instance of Brightspace (if NLU has one)</w:t>
      </w:r>
    </w:p>
    <w:p>
      <w:pPr>
        <w:pStyle w:val="ListParagraph"/>
        <w:numPr>
          <w:ilvl w:val="0"/>
          <w:numId w:val="3"/>
        </w:numPr>
        <w:spacing w:after="60"/>
      </w:pPr>
      <w:r>
        <w:rPr>
          <w:rFonts w:ascii="Calibri" w:cs="Calibri" w:eastAsia="Calibri" w:hAnsi="Calibri"/>
          <w:sz w:val="22"/>
          <w:szCs w:val="22"/>
        </w:rPr>
        <w:t xml:space="preserve">A test course in production Brightspace with synthetic student accounts</w:t>
      </w:r>
    </w:p>
    <w:p>
      <w:pPr>
        <w:pStyle w:val="ListParagraph"/>
        <w:numPr>
          <w:ilvl w:val="0"/>
          <w:numId w:val="3"/>
        </w:numPr>
        <w:spacing w:after="60"/>
      </w:pPr>
      <w:r>
        <w:rPr>
          <w:rFonts w:ascii="Calibri" w:cs="Calibri" w:eastAsia="Calibri" w:hAnsi="Calibri"/>
          <w:sz w:val="22"/>
          <w:szCs w:val="22"/>
        </w:rPr>
        <w:t xml:space="preserve">A real course section with a small number of consenting pilot students</w:t>
      </w:r>
    </w:p>
    <w:p>
      <w:pPr>
        <w:spacing w:after="120"/>
      </w:pPr>
      <w:r>
        <w:rPr>
          <w:rFonts w:ascii="Calibri" w:cs="Calibri" w:eastAsia="Calibri" w:hAnsi="Calibri"/>
          <w:b/>
          <w:bCs/>
          <w:sz w:val="22"/>
          <w:szCs w:val="22"/>
        </w:rPr>
        <w:t xml:space="preserve">Question: Is there a Brightspace sandbox, or should we test against production with a designated test course?</w:t>
      </w:r>
    </w:p>
    <w:p>
      <w:r>
        <w:br w:type="page"/>
      </w:r>
    </w:p>
    <w:p>
      <w:pPr>
        <w:pStyle w:val="Heading1"/>
      </w:pPr>
      <w:r>
        <w:t xml:space="preserve">What Happens Once Connected</w:t>
      </w:r>
    </w:p>
    <w:p>
      <w:pPr>
        <w:spacing w:after="120"/>
      </w:pPr>
      <w:r>
        <w:rPr>
          <w:rFonts w:ascii="Calibri" w:cs="Calibri" w:eastAsia="Calibri" w:hAnsi="Calibri"/>
          <w:sz w:val="22"/>
          <w:szCs w:val="22"/>
        </w:rPr>
        <w:t xml:space="preserve">Once the above requirements are met and we configure the environment variables, the integration pipeline works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System authenticates with D2L via OAuth2 Client Credentials and obtains a bearer token.</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System queries D2L for all LE3 courses (via enrollment API with pagination).</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 each course, fetches all assignment/dropbox folders (visible, non-hidden).</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 each assignment, fetches per-student submissions with file metadata.</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Downloads submitted files and extracts text content (PDF, DOCX, TXT support, max 8KB per file).</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Creates a student_work record in the Growth Portfolio database, linked to the student by email or NLU ID match. Tracked by external ID (d2l:{courseId}:{folderId}) for deduplication.</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reads the assignment content and auto-tags it with 1–3 of 12 durable skills (using the same LLM that runs conversations).</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Tagged assignments appear in the student’s conversation hub, grouped by skill. Students click any assignment to start a reflective conversation.</w:t>
            </w:r>
          </w:p>
        </w:tc>
      </w:tr>
      <w:tr>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9</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The conversation engine uses the actual assignment text to ask specific, relevant questions about the student’s work.</w:t>
            </w:r>
          </w:p>
        </w:tc>
      </w:tr>
    </w:tbl>
    <w:p>
      <w:pPr>
        <w:spacing w:after="200"/>
      </w:pPr>
    </w:p>
    <w:p>
      <w:pPr>
        <w:spacing w:after="120"/>
      </w:pPr>
      <w:r>
        <w:rPr>
          <w:rFonts w:ascii="Calibri" w:cs="Calibri" w:eastAsia="Calibri" w:hAnsi="Calibri"/>
          <w:b/>
          <w:bCs/>
          <w:sz w:val="22"/>
          <w:szCs w:val="22"/>
        </w:rPr>
        <w:t xml:space="preserve">Sync frequency:</w:t>
      </w:r>
    </w:p>
    <w:p>
      <w:pPr>
        <w:spacing w:after="120"/>
      </w:pPr>
      <w:r>
        <w:rPr>
          <w:rFonts w:ascii="Calibri" w:cs="Calibri" w:eastAsia="Calibri" w:hAnsi="Calibri"/>
          <w:sz w:val="22"/>
          <w:szCs w:val="22"/>
        </w:rPr>
        <w:t xml:space="preserve">Initially triggered manually by a coach or admin. Can be scheduled (e.g., nightly) once the integration is stable. Re-syncing is safe — the deduplication system prevents duplicate records.</w:t>
      </w:r>
    </w:p>
    <w:p>
      <w:pPr>
        <w:spacing w:after="120"/>
      </w:pPr>
      <w:r>
        <w:rPr>
          <w:rFonts w:ascii="Calibri" w:cs="Calibri" w:eastAsia="Calibri" w:hAnsi="Calibri"/>
          <w:b/>
          <w:bCs/>
          <w:sz w:val="22"/>
          <w:szCs w:val="22"/>
        </w:rPr>
        <w:t xml:space="preserve">Data flow:</w:t>
      </w:r>
    </w:p>
    <w:p>
      <w:pPr>
        <w:spacing w:after="120"/>
      </w:pPr>
      <w:r>
        <w:rPr>
          <w:rFonts w:ascii="Calibri" w:cs="Calibri" w:eastAsia="Calibri" w:hAnsi="Calibri"/>
          <w:color w:val="475569"/>
          <w:sz w:val="22"/>
          <w:szCs w:val="22"/>
        </w:rPr>
        <w:t xml:space="preserve">D2L Brightspace → Growth Portfolio API → Supabase database → Student conversation hub → AI conversation engine → Skill narratives → Career output</w:t>
      </w:r>
    </w:p>
    <w:p>
      <w:pPr>
        <w:spacing w:after="120"/>
      </w:pPr>
      <w:r>
        <w:rPr>
          <w:rFonts w:ascii="Calibri" w:cs="Calibri" w:eastAsia="Calibri" w:hAnsi="Calibri"/>
          <w:sz w:val="22"/>
          <w:szCs w:val="22"/>
        </w:rPr>
        <w:t xml:space="preserve">Data flows one direction: from D2L into the Growth Portfolio. The Growth Portfolio never writes back to D2L.</w:t>
      </w:r>
    </w:p>
    <w:p>
      <w:pPr>
        <w:pStyle w:val="Heading1"/>
      </w:pPr>
      <w:r>
        <w:t xml:space="preserve">Summary of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480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What We Need</w:t>
            </w:r>
          </w:p>
        </w:tc>
        <w:tc>
          <w:tcPr>
            <w:tcW w:type="dxa" w:w="4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From Whom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Register OAuth2 app in Manage Extensibility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Brightspace system administrator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Brightspace instance URL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 or any Brightspace user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Service user account with LE3 course access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 + LE3 program director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How LE3 courses are organized in Brightspace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LE3 program director or Brightspace admin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Confirm student email matching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 (email domain confirmation)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governance/FERPA requirements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 security / compliance office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Test environment or test course access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 + LE3 program director</w:t>
            </w:r>
          </w:p>
        </w:tc>
      </w:tr>
    </w:tbl>
    <w:p>
      <w:pPr>
        <w:spacing w:after="200"/>
      </w:pPr>
    </w:p>
    <w:p>
      <w:pPr>
        <w:spacing w:after="120"/>
      </w:pPr>
      <w:r>
        <w:rPr>
          <w:rFonts w:ascii="Calibri" w:cs="Calibri" w:eastAsia="Calibri" w:hAnsi="Calibri"/>
          <w:b/>
          <w:bCs/>
          <w:sz w:val="22"/>
          <w:szCs w:val="22"/>
        </w:rPr>
        <w:t xml:space="preserve">Once we have these, integration is three environment variables and a deploy:</w:t>
      </w:r>
    </w:p>
    <w:p>
      <w:pPr>
        <w:spacing w:after="60"/>
        <w:ind w:left="360"/>
      </w:pPr>
      <w:r>
        <w:rPr>
          <w:rFonts w:ascii="Consolas" w:cs="Consolas" w:eastAsia="Consolas" w:hAnsi="Consolas"/>
          <w:color w:val="475569"/>
          <w:sz w:val="20"/>
          <w:szCs w:val="20"/>
        </w:rPr>
        <w:t xml:space="preserve">D2L_INSTANCE_URL=https://nlu.brightspace.com</w:t>
      </w:r>
    </w:p>
    <w:p>
      <w:pPr>
        <w:spacing w:after="60"/>
        <w:ind w:left="360"/>
      </w:pPr>
      <w:r>
        <w:rPr>
          <w:rFonts w:ascii="Consolas" w:cs="Consolas" w:eastAsia="Consolas" w:hAnsi="Consolas"/>
          <w:color w:val="475569"/>
          <w:sz w:val="20"/>
          <w:szCs w:val="20"/>
        </w:rPr>
        <w:t xml:space="preserve">D2L_ACCESS_TOKEN=&lt;bearer-token&gt;</w:t>
      </w:r>
    </w:p>
    <w:p>
      <w:pPr>
        <w:spacing w:after="60"/>
        <w:ind w:left="360"/>
      </w:pPr>
      <w:r>
        <w:rPr>
          <w:rFonts w:ascii="Consolas" w:cs="Consolas" w:eastAsia="Consolas" w:hAnsi="Consolas"/>
          <w:color w:val="475569"/>
          <w:sz w:val="20"/>
          <w:szCs w:val="20"/>
        </w:rPr>
        <w:t xml:space="preserve">D2L_API_VERSION=1.82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LE3 Growth Portfolio — D2L Integration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6653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E293B"/>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2026-04-07T21:40:01.897Z</dcterms:created>
  <dcterms:modified xsi:type="dcterms:W3CDTF">2026-04-07T21:40:01.898Z</dcterms:modified>
</cp:coreProperties>
</file>

<file path=docProps/custom.xml><?xml version="1.0" encoding="utf-8"?>
<Properties xmlns="http://schemas.openxmlformats.org/officeDocument/2006/custom-properties" xmlns:vt="http://schemas.openxmlformats.org/officeDocument/2006/docPropsVTypes"/>
</file>