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5E20"/>
          <w:sz w:val="36"/>
          <w:szCs w:val="36"/>
        </w:rPr>
        <w:t xml:space="preserve">LE3 Growth Portfolio</w:t>
      </w:r>
    </w:p>
    <w:p>
      <w:pPr>
        <w:spacing w:after="120" w:before="0"/>
      </w:pPr>
      <w:r>
        <w:rPr>
          <w:rFonts w:ascii="Arial" w:cs="Arial" w:eastAsia="Arial" w:hAnsi="Arial"/>
          <w:b w:val="false"/>
          <w:bCs w:val="false"/>
          <w:color w:val="666666"/>
          <w:sz w:val="24"/>
          <w:szCs w:val="24"/>
        </w:rPr>
        <w:t xml:space="preserve">Brightspace LTI 1.3 Setup Guide for NLU IT</w:t>
      </w:r>
    </w:p>
    <w:p>
      <w:pPr>
        <w:pBdr>
          <w:bottom w:val="single" w:color="1B5E20" w:sz="8" w:space="6"/>
        </w:pBdr>
        <w:spacing w:after="240" w:before="0"/>
      </w:pPr>
      <w:r>
        <w:rPr>
          <w:sz w:val="4"/>
          <w:szCs w:val="4"/>
        </w:rPr>
        <w:t xml:space="preserve"/>
      </w:r>
    </w:p>
    <w:p>
      <w:pPr>
        <w:spacing w:after="60" w:before="60"/>
      </w:pPr>
      <w:r>
        <w:rPr>
          <w:b/>
          <w:bCs/>
        </w:rPr>
        <w:t xml:space="preserve">Audience: </w:t>
      </w:r>
      <w:r>
        <w:t xml:space="preserve">NLU Brightspace administrator    </w:t>
      </w:r>
      <w:r>
        <w:rPr>
          <w:b/>
          <w:bCs/>
        </w:rPr>
        <w:t xml:space="preserve">Time required: </w:t>
      </w:r>
      <w:r>
        <w:t xml:space="preserve">~30 minutes</w:t>
      </w:r>
    </w:p>
    <w:p>
      <w:pPr>
        <w:spacing w:after="60" w:before="60"/>
      </w:pPr>
      <w:r>
        <w:rPr>
          <w:b/>
          <w:bCs/>
        </w:rPr>
        <w:t xml:space="preserve">What you're doing: </w:t>
      </w:r>
      <w:r>
        <w:t xml:space="preserve">Registering the LE3 Growth Portfolio as an external LTI 1.3 tool with Asset Processor enabled, so NLU students can SSO into the portfolio from Brightspace and so student submissions to selected assignments flow to it automatically.</w:t>
      </w:r>
    </w:p>
    <w:p>
      <w:pPr>
        <w:spacing w:after="160" w:before="60"/>
      </w:pPr>
      <w:r>
        <w:rPr>
          <w:b/>
          <w:bCs/>
        </w:rPr>
        <w:t xml:space="preserve">Context: </w:t>
      </w:r>
      <w:r>
        <w:t xml:space="preserve">The LE3 Growth Portfolio is being built for NLU’s LE3 program and will eventually be administered directly by NLU. This guide is for the initial pilot registration.</w:t>
      </w:r>
    </w:p>
    <w:p>
      <w:pPr>
        <w:pBdr>
          <w:left w:val="single" w:color="1B5E20" w:sz="24" w:space="8"/>
        </w:pBdr>
        <w:shd w:fill="E8F5E9" w:val="clear"/>
        <w:spacing w:after="80" w:before="120"/>
      </w:pPr>
      <w:r>
        <w:rPr>
          <w:b/>
          <w:bCs/>
          <w:color w:val="1B5E20"/>
          <w:sz w:val="22"/>
          <w:szCs w:val="22"/>
        </w:rPr>
        <w:t xml:space="preserve">✨ The easy path</w:t>
      </w:r>
    </w:p>
    <w:p>
      <w:pPr>
        <w:pBdr>
          <w:left w:val="single" w:color="1B5E20" w:sz="24" w:space="8"/>
        </w:pBdr>
        <w:shd w:fill="E8F5E9" w:val="clear"/>
        <w:spacing w:after="80" w:before="0"/>
      </w:pPr>
      <w:r>
        <w:rPr>
          <w:sz w:val="20"/>
          <w:szCs w:val="20"/>
        </w:rPr>
        <w:t xml:space="preserve">Open this URL in a browser for a step-by-step registration helper with copy-to-clipboard buttons for every value you need:</w:t>
      </w:r>
    </w:p>
    <w:p>
      <w:pPr>
        <w:pBdr>
          <w:left w:val="single" w:color="1B5E20" w:sz="24" w:space="8"/>
        </w:pBdr>
        <w:shd w:fill="E8F5E9" w:val="clear"/>
        <w:spacing w:after="80" w:before="0"/>
      </w:pPr>
      <w:r>
        <w:rPr>
          <w:rFonts w:ascii="Consolas" w:cs="Consolas" w:eastAsia="Consolas" w:hAnsi="Consolas"/>
          <w:b/>
          <w:bCs/>
          <w:color w:val="1B5E20"/>
          <w:sz w:val="22"/>
          <w:szCs w:val="22"/>
        </w:rPr>
        <w:t xml:space="preserve">https://le3-growth-portfolio.vercel.app/lti/register</w:t>
      </w:r>
    </w:p>
    <w:p>
      <w:pPr>
        <w:pBdr>
          <w:left w:val="single" w:color="1B5E20" w:sz="24" w:space="8"/>
        </w:pBdr>
        <w:shd w:fill="E8F5E9" w:val="clear"/>
        <w:spacing w:after="200" w:before="0"/>
      </w:pPr>
      <w:r>
        <w:rPr>
          <w:i/>
          <w:iCs/>
          <w:color w:val="666666"/>
          <w:sz w:val="18"/>
          <w:szCs w:val="18"/>
        </w:rPr>
        <w:t xml:space="preserve">If you can reach that URL from your workstation, use it instead of this document. The rest of this guide is a reference for offline / locked-down environments.</w:t>
      </w:r>
    </w:p>
    <w:p>
      <w:pPr>
        <w:pStyle w:val="Heading2"/>
        <w:spacing w:after="80" w:before="180"/>
      </w:pPr>
      <w:r>
        <w:rPr>
          <w:rFonts w:ascii="Arial" w:cs="Arial" w:eastAsia="Arial" w:hAnsi="Arial"/>
          <w:b/>
          <w:bCs/>
          <w:color w:val="1B5E20"/>
          <w:sz w:val="26"/>
          <w:szCs w:val="26"/>
        </w:rPr>
        <w:t xml:space="preserve">Before you start</w:t>
      </w:r>
    </w:p>
    <w:p>
      <w:pPr>
        <w:spacing w:after="60" w:before="60"/>
      </w:pPr>
      <w:r>
        <w:t xml:space="preserve">You'll need:</w:t>
      </w:r>
    </w:p>
    <w:p>
      <w:pPr>
        <w:pStyle w:val="ListParagraph"/>
        <w:numPr>
          <w:ilvl w:val="0"/>
          <w:numId w:val="2"/>
        </w:numPr>
        <w:spacing w:after="40" w:before="40"/>
      </w:pPr>
      <w:r>
        <w:rPr>
          <w:sz w:val="22"/>
          <w:szCs w:val="22"/>
        </w:rPr>
        <w:t xml:space="preserve">Brightspace admin access with permission to register LTI Advantage tools</w:t>
      </w:r>
    </w:p>
    <w:p>
      <w:pPr>
        <w:pStyle w:val="ListParagraph"/>
        <w:numPr>
          <w:ilvl w:val="0"/>
          <w:numId w:val="2"/>
        </w:numPr>
        <w:spacing w:after="40" w:before="40"/>
      </w:pPr>
      <w:r>
        <w:rPr>
          <w:sz w:val="22"/>
          <w:szCs w:val="22"/>
        </w:rPr>
        <w:t xml:space="preserve">Brightspace version </w:t>
      </w:r>
      <w:r>
        <w:rPr>
          <w:b/>
          <w:bCs/>
          <w:sz w:val="22"/>
          <w:szCs w:val="22"/>
        </w:rPr>
        <w:t xml:space="preserve">20.24.3 or later</w:t>
      </w:r>
      <w:r>
        <w:rPr>
          <w:sz w:val="22"/>
          <w:szCs w:val="22"/>
        </w:rPr>
        <w:t xml:space="preserve"> (required for Asset Processor)</w:t>
      </w:r>
    </w:p>
    <w:p>
      <w:pPr>
        <w:pStyle w:val="ListParagraph"/>
        <w:numPr>
          <w:ilvl w:val="0"/>
          <w:numId w:val="2"/>
        </w:numPr>
        <w:spacing w:after="40" w:before="40"/>
      </w:pPr>
      <w:r>
        <w:rPr>
          <w:sz w:val="22"/>
          <w:szCs w:val="22"/>
        </w:rPr>
        <w:t xml:space="preserve">~30 minutes</w:t>
      </w:r>
    </w:p>
    <w:p>
      <w:pPr>
        <w:spacing w:after="60" w:before="100"/>
      </w:pPr>
      <w:r>
        <w:rPr>
          <w:i/>
          <w:iCs/>
          <w:color w:val="666666"/>
        </w:rPr>
        <w:t xml:space="preserve">You'll send us four values at the end. Nothing else is required from your side.</w:t>
      </w:r>
    </w:p>
    <w:p>
      <w:pPr>
        <w:pStyle w:val="Heading2"/>
        <w:spacing w:after="80" w:before="180"/>
      </w:pPr>
      <w:r>
        <w:rPr>
          <w:rFonts w:ascii="Arial" w:cs="Arial" w:eastAsia="Arial" w:hAnsi="Arial"/>
          <w:b/>
          <w:bCs/>
          <w:color w:val="1B5E20"/>
          <w:sz w:val="26"/>
          <w:szCs w:val="26"/>
        </w:rPr>
        <w:t xml:space="preserve">Step 1 — Register the tool   (5 min)</w:t>
      </w:r>
    </w:p>
    <w:p>
      <w:pPr>
        <w:spacing w:after="60" w:before="60"/>
      </w:pPr>
      <w:r>
        <w:t xml:space="preserve">In Brightspace, navigate to </w:t>
      </w:r>
      <w:r>
        <w:rPr>
          <w:b/>
          <w:bCs/>
        </w:rPr>
        <w:t xml:space="preserve">Admin Tools → Manage Extensibility → LTI Advantage → Register Tool</w:t>
      </w:r>
      <w:r>
        <w:t xml:space="preserve">. Enter the following values into the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Field</w:t>
            </w:r>
          </w:p>
        </w:tc>
        <w:tc>
          <w:tcPr>
            <w:tcW w:type="dxa" w:w="612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Value</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Name</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LE3 Growth Portfolio</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Description</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AI-guided reflective conversations for LE3</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Vendor / Provider Name</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LE3 Growth Portfolio</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Contact Email</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contact@le3-growth-portfolio.vercel.app</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Domain</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le3-growth-portfolio.vercel.app</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Icon URL</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https://le3-growth-portfolio.vercel.app/favicon.ico</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Privacy Policy URL</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https://le3-growth-portfolio.vercel.app/privacy</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Terms of Service URL</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https://le3-growth-portfolio.vercel.app/terms</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Redirect URL</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https://le3-growth-portfolio.vercel.app/api/lti/launch</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OIDC Login URL / Initiate Login URI</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https://le3-growth-portfolio.vercel.app/api/lti/login</w:t>
            </w:r>
          </w:p>
        </w:tc>
      </w:tr>
      <w:tr>
        <w:tc>
          <w:tcPr>
            <w:tcW w:type="dxa" w:w="324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Target Link URI</w:t>
            </w:r>
          </w:p>
        </w:tc>
        <w:tc>
          <w:tcPr>
            <w:tcW w:type="dxa" w:w="612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https://le3-growth-portfolio.vercel.app/api/lti/launch</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Keyset URL / JWKS URI</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https://le3-growth-portfolio.vercel.app/api/lti/jwks</w:t>
            </w:r>
          </w:p>
        </w:tc>
      </w:tr>
    </w:tbl>
    <w:p>
      <w:pPr>
        <w:spacing w:after="60" w:before="100"/>
      </w:pPr>
      <w:r>
        <w:rPr>
          <w:i/>
          <w:iCs/>
          <w:color w:val="666666"/>
          <w:sz w:val="18"/>
          <w:szCs w:val="18"/>
        </w:rPr>
        <w:t xml:space="preserve">Raw JSON of all the above is at https://le3-growth-portfolio.vercel.app/api/lti/config if you want to confirm expected values. Brightspace does not auto-import from this URL — it's provided for reference only.</w:t>
      </w:r>
    </w:p>
    <w:p>
      <w:pPr>
        <w:pStyle w:val="Heading2"/>
        <w:spacing w:after="80" w:before="180"/>
      </w:pPr>
      <w:r>
        <w:rPr>
          <w:rFonts w:ascii="Arial" w:cs="Arial" w:eastAsia="Arial" w:hAnsi="Arial"/>
          <w:b/>
          <w:bCs/>
          <w:color w:val="1B5E20"/>
          <w:sz w:val="26"/>
          <w:szCs w:val="26"/>
        </w:rPr>
        <w:t xml:space="preserve">Step 2 — Grant LTI Advantage scopes   (2 min)</w:t>
      </w:r>
    </w:p>
    <w:p>
      <w:pPr>
        <w:spacing w:after="60" w:before="60"/>
      </w:pPr>
      <w:r>
        <w:t xml:space="preserve">Enable these five scopes on the tool registration. They are all standard IMS Global scopes — no Brightspace-proprietary scopes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Scope</w:t>
            </w:r>
          </w:p>
        </w:tc>
        <w:tc>
          <w:tcPr>
            <w:tcW w:type="dxa" w:w="576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noticehandlers</w:t>
            </w:r>
          </w:p>
        </w:tc>
        <w:tc>
          <w:tcPr>
            <w:tcW w:type="dxa" w:w="57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Receive submission notices via Platform Notification Service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asset.readonly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Download files students submitted to Brightspace dropboxes</w:t>
            </w:r>
          </w:p>
        </w:tc>
      </w:tr>
      <w:tr>
        <w:tc>
          <w:tcPr>
            <w:tcW w:type="dxa" w:w="3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report</w:t>
            </w:r>
          </w:p>
        </w:tc>
        <w:tc>
          <w:tcPr>
            <w:tcW w:type="dxa" w:w="57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Report processing status back to the dropbox</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lti-ags/lineitem.readonly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Read assignment metadata</w:t>
            </w:r>
          </w:p>
        </w:tc>
      </w:tr>
      <w:tr>
        <w:tc>
          <w:tcPr>
            <w:tcW w:type="dxa" w:w="3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lti-ags/result.readonly</w:t>
            </w:r>
          </w:p>
        </w:tc>
        <w:tc>
          <w:tcPr>
            <w:tcW w:type="dxa" w:w="57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Read assignment results</w:t>
            </w:r>
          </w:p>
        </w:tc>
      </w:tr>
    </w:tbl>
    <w:p>
      <w:pPr>
        <w:spacing w:after="60" w:before="80"/>
      </w:pPr>
      <w:r>
        <w:rPr>
          <w:i/>
          <w:iCs/>
          <w:color w:val="666666"/>
          <w:sz w:val="20"/>
          <w:szCs w:val="20"/>
        </w:rPr>
        <w:t xml:space="preserve">Full scope URIs are prefixed with https://purl.imsglobal.org/spec/lti/scope/ and https://purl.imsglobal.org/spec/lti-ags/scope/ respectively.</w:t>
      </w:r>
    </w:p>
    <w:p>
      <w:pPr>
        <w:pStyle w:val="Heading2"/>
        <w:spacing w:after="80" w:before="180"/>
      </w:pPr>
      <w:r>
        <w:rPr>
          <w:rFonts w:ascii="Arial" w:cs="Arial" w:eastAsia="Arial" w:hAnsi="Arial"/>
          <w:b/>
          <w:bCs/>
          <w:color w:val="1B5E20"/>
          <w:sz w:val="26"/>
          <w:szCs w:val="26"/>
        </w:rPr>
        <w:t xml:space="preserve">Step 3 — Enable placements   (2 min)</w:t>
      </w:r>
    </w:p>
    <w:p>
      <w:pPr>
        <w:spacing w:after="60" w:before="60"/>
      </w:pPr>
      <w:r>
        <w:t xml:space="preserve">Enable all three placements on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Placement</w:t>
            </w:r>
          </w:p>
        </w:tc>
        <w:tc>
          <w:tcPr>
            <w:tcW w:type="dxa" w:w="648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What it does</w:t>
            </w:r>
          </w:p>
        </w:tc>
      </w:tr>
      <w:tr>
        <w:tc>
          <w:tcPr>
            <w:tcW w:type="dxa" w:w="28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Assignment Attachment</w:t>
            </w:r>
          </w:p>
        </w:tc>
        <w:tc>
          <w:tcPr>
            <w:tcW w:type="dxa" w:w="6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CRITICAL. Lets instructors attach the portfolio to individual dropboxes as an Asset Processor so submissions flow automatically.</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Link Selection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Lets instructors drop a portfolio link into any course page or module.</w:t>
            </w:r>
          </w:p>
        </w:tc>
      </w:tr>
      <w:tr>
        <w:tc>
          <w:tcPr>
            <w:tcW w:type="dxa" w:w="28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Course Navigation</w:t>
            </w:r>
          </w:p>
        </w:tc>
        <w:tc>
          <w:tcPr>
            <w:tcW w:type="dxa" w:w="6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Adds “Growth Portfolio” to the course navigation bar.</w:t>
            </w:r>
          </w:p>
        </w:tc>
      </w:tr>
    </w:tbl>
    <w:p>
      <w:pPr>
        <w:spacing w:after="60" w:before="80"/>
      </w:pPr>
      <w:r>
        <w:rPr>
          <w:i/>
          <w:iCs/>
          <w:color w:val="666666"/>
          <w:sz w:val="20"/>
          <w:szCs w:val="20"/>
        </w:rPr>
        <w:t xml:space="preserve">If Brightspace's UI uses different names, look for “Assignment Submission / Asset Processor,” “Editor / Course Builder Link,” and “Course Navigation Link.”</w:t>
      </w:r>
    </w:p>
    <w:p>
      <w:pPr>
        <w:pStyle w:val="Heading2"/>
        <w:spacing w:after="80" w:before="180"/>
      </w:pPr>
      <w:r>
        <w:rPr>
          <w:rFonts w:ascii="Arial" w:cs="Arial" w:eastAsia="Arial" w:hAnsi="Arial"/>
          <w:b/>
          <w:bCs/>
          <w:color w:val="1B5E20"/>
          <w:sz w:val="26"/>
          <w:szCs w:val="26"/>
        </w:rPr>
        <w:t xml:space="preserve">Step 4 — Create a deployment   (2 min)</w:t>
      </w:r>
    </w:p>
    <w:p>
      <w:pPr>
        <w:spacing w:after="60" w:before="60"/>
      </w:pPr>
      <w:r>
        <w:t xml:space="preserve">After registering the tool, create a deployment of it. For the pilot, scope the deployment to the LE3 org unit (or whichever org unit contains the pilot course). This limits the tool to just LE3 courses while we test.</w:t>
      </w:r>
    </w:p>
    <w:p>
      <w:pPr>
        <w:spacing w:after="60" w:before="80"/>
      </w:pPr>
      <w:r>
        <w:t xml:space="preserve">Brightspace will generate:</w:t>
      </w:r>
    </w:p>
    <w:p>
      <w:pPr>
        <w:pStyle w:val="ListParagraph"/>
        <w:numPr>
          <w:ilvl w:val="0"/>
          <w:numId w:val="2"/>
        </w:numPr>
        <w:spacing w:after="40" w:before="40"/>
      </w:pPr>
      <w:r>
        <w:rPr>
          <w:b/>
          <w:bCs/>
          <w:sz w:val="22"/>
          <w:szCs w:val="22"/>
        </w:rPr>
        <w:t xml:space="preserve">Client ID </w:t>
      </w:r>
      <w:r>
        <w:rPr>
          <w:sz w:val="22"/>
          <w:szCs w:val="22"/>
        </w:rPr>
        <w:t xml:space="preserve">— a UUID</w:t>
      </w:r>
    </w:p>
    <w:p>
      <w:pPr>
        <w:pStyle w:val="ListParagraph"/>
        <w:numPr>
          <w:ilvl w:val="0"/>
          <w:numId w:val="2"/>
        </w:numPr>
        <w:spacing w:after="40" w:before="40"/>
      </w:pPr>
      <w:r>
        <w:rPr>
          <w:b/>
          <w:bCs/>
          <w:sz w:val="22"/>
          <w:szCs w:val="22"/>
        </w:rPr>
        <w:t xml:space="preserve">Deployment ID </w:t>
      </w:r>
      <w:r>
        <w:rPr>
          <w:sz w:val="22"/>
          <w:szCs w:val="22"/>
        </w:rPr>
        <w:t xml:space="preserve">— a string</w:t>
      </w:r>
    </w:p>
    <w:p>
      <w:pPr>
        <w:spacing w:after="60" w:before="80"/>
      </w:pPr>
      <w:r>
        <w:rPr>
          <w:b/>
          <w:bCs/>
        </w:rPr>
        <w:t xml:space="preserve">Save these two values. </w:t>
      </w:r>
      <w:r>
        <w:t xml:space="preserve">You'll send them to us in the next step.</w:t>
      </w:r>
    </w:p>
    <w:p>
      <w:pPr>
        <w:pStyle w:val="Heading2"/>
        <w:spacing w:after="80" w:before="180"/>
      </w:pPr>
      <w:r>
        <w:rPr>
          <w:rFonts w:ascii="Arial" w:cs="Arial" w:eastAsia="Arial" w:hAnsi="Arial"/>
          <w:b/>
          <w:bCs/>
          <w:color w:val="1B5E20"/>
          <w:sz w:val="26"/>
          <w:szCs w:val="26"/>
        </w:rPr>
        <w:t xml:space="preserve">Step 5 — Send us four values   (2 min)</w:t>
      </w:r>
    </w:p>
    <w:p>
      <w:pPr>
        <w:spacing w:after="60" w:before="60"/>
      </w:pPr>
      <w:r>
        <w:t xml:space="preserve">Email the following to the LE3 Growth Portfolio team:</w:t>
      </w:r>
    </w:p>
    <w:p>
      <w:pPr>
        <w:pStyle w:val="ListParagraph"/>
        <w:numPr>
          <w:ilvl w:val="0"/>
          <w:numId w:val="2"/>
        </w:numPr>
        <w:spacing w:after="40" w:before="40"/>
      </w:pPr>
      <w:r>
        <w:rPr>
          <w:b/>
          <w:bCs/>
          <w:sz w:val="22"/>
          <w:szCs w:val="22"/>
        </w:rPr>
        <w:t xml:space="preserve">Client ID </w:t>
      </w:r>
      <w:r>
        <w:rPr>
          <w:sz w:val="22"/>
          <w:szCs w:val="22"/>
        </w:rPr>
        <w:t xml:space="preserve">(from Step 4)</w:t>
      </w:r>
    </w:p>
    <w:p>
      <w:pPr>
        <w:pStyle w:val="ListParagraph"/>
        <w:numPr>
          <w:ilvl w:val="0"/>
          <w:numId w:val="2"/>
        </w:numPr>
        <w:spacing w:after="40" w:before="40"/>
      </w:pPr>
      <w:r>
        <w:rPr>
          <w:b/>
          <w:bCs/>
          <w:sz w:val="22"/>
          <w:szCs w:val="22"/>
        </w:rPr>
        <w:t xml:space="preserve">Deployment ID </w:t>
      </w:r>
      <w:r>
        <w:rPr>
          <w:sz w:val="22"/>
          <w:szCs w:val="22"/>
        </w:rPr>
        <w:t xml:space="preserve">(from Step 4)</w:t>
      </w:r>
    </w:p>
    <w:p>
      <w:pPr>
        <w:pStyle w:val="ListParagraph"/>
        <w:numPr>
          <w:ilvl w:val="0"/>
          <w:numId w:val="2"/>
        </w:numPr>
        <w:spacing w:after="40" w:before="40"/>
      </w:pPr>
      <w:r>
        <w:rPr>
          <w:b/>
          <w:bCs/>
          <w:sz w:val="22"/>
          <w:szCs w:val="22"/>
        </w:rPr>
        <w:t xml:space="preserve">Brightspace issuer URL </w:t>
      </w:r>
      <w:r>
        <w:rPr>
          <w:sz w:val="22"/>
          <w:szCs w:val="22"/>
        </w:rPr>
        <w:t xml:space="preserve">— usually </w:t>
      </w:r>
      <w:r>
        <w:rPr>
          <w:rFonts w:ascii="Consolas" w:cs="Consolas" w:eastAsia="Consolas" w:hAnsi="Consolas"/>
          <w:sz w:val="20"/>
          <w:szCs w:val="20"/>
        </w:rPr>
        <w:t xml:space="preserve">https://nlu.brightspace.com</w:t>
      </w:r>
    </w:p>
    <w:p>
      <w:pPr>
        <w:pStyle w:val="ListParagraph"/>
        <w:numPr>
          <w:ilvl w:val="0"/>
          <w:numId w:val="2"/>
        </w:numPr>
        <w:spacing w:after="40" w:before="40"/>
      </w:pPr>
      <w:r>
        <w:rPr>
          <w:b/>
          <w:bCs/>
          <w:sz w:val="22"/>
          <w:szCs w:val="22"/>
        </w:rPr>
        <w:t xml:space="preserve">Brightspace release version </w:t>
      </w:r>
      <w:r>
        <w:rPr>
          <w:sz w:val="22"/>
          <w:szCs w:val="22"/>
        </w:rPr>
        <w:t xml:space="preserve">— so we can verify Asset Processor compatibility</w:t>
      </w:r>
    </w:p>
    <w:p>
      <w:pPr>
        <w:spacing w:after="60" w:before="80"/>
      </w:pPr>
      <w:r>
        <w:rPr>
          <w:i/>
          <w:iCs/>
          <w:color w:val="666666"/>
          <w:sz w:val="20"/>
          <w:szCs w:val="20"/>
        </w:rPr>
        <w:t xml:space="preserve">Standard D2L auth, token, and JWKS URLs are already known to us; you only need to provide non-standard values if your instance uses them.</w:t>
      </w:r>
    </w:p>
    <w:p>
      <w:pPr>
        <w:pStyle w:val="Heading2"/>
        <w:spacing w:after="80" w:before="180"/>
      </w:pPr>
      <w:r>
        <w:rPr>
          <w:rFonts w:ascii="Arial" w:cs="Arial" w:eastAsia="Arial" w:hAnsi="Arial"/>
          <w:b/>
          <w:bCs/>
          <w:color w:val="1B5E20"/>
          <w:sz w:val="26"/>
          <w:szCs w:val="26"/>
        </w:rPr>
        <w:t xml:space="preserve">Step 6 — Quick verification test   (5 min)</w:t>
      </w:r>
    </w:p>
    <w:p>
      <w:pPr>
        <w:spacing w:after="60" w:before="140"/>
      </w:pPr>
      <w:r>
        <w:rPr>
          <w:rFonts w:ascii="Arial" w:cs="Arial" w:eastAsia="Arial" w:hAnsi="Arial"/>
          <w:b/>
          <w:bCs/>
          <w:color w:val="333333"/>
          <w:sz w:val="22"/>
          <w:szCs w:val="22"/>
        </w:rPr>
        <w:t xml:space="preserve">Test SSO:</w:t>
      </w:r>
    </w:p>
    <w:p>
      <w:pPr>
        <w:pStyle w:val="ListParagraph"/>
        <w:numPr>
          <w:ilvl w:val="0"/>
          <w:numId w:val="2"/>
        </w:numPr>
      </w:pPr>
      <w:r>
        <w:rPr>
          <w:sz w:val="22"/>
          <w:szCs w:val="22"/>
        </w:rPr>
        <w:t xml:space="preserve">In a test course, add the Growth Portfolio link to the course nav (Course Tools → Navigation &amp; Themes → add “Growth Portfolio”).</w:t>
      </w:r>
    </w:p>
    <w:p>
      <w:pPr>
        <w:pStyle w:val="ListParagraph"/>
        <w:numPr>
          <w:ilvl w:val="0"/>
          <w:numId w:val="2"/>
        </w:numPr>
      </w:pPr>
      <w:r>
        <w:rPr>
          <w:sz w:val="22"/>
          <w:szCs w:val="22"/>
        </w:rPr>
        <w:t xml:space="preserve">Click it. You should land at le3-growth-portfolio.vercel.app authenticated as yourself.</w:t>
      </w:r>
    </w:p>
    <w:p>
      <w:pPr>
        <w:pStyle w:val="ListParagraph"/>
        <w:numPr>
          <w:ilvl w:val="0"/>
          <w:numId w:val="2"/>
        </w:numPr>
      </w:pPr>
      <w:r>
        <w:rPr>
          <w:sz w:val="22"/>
          <w:szCs w:val="22"/>
        </w:rPr>
        <w:t xml:space="preserve">If you see the portfolio homepage with your name in the corner, SSO is working.</w:t>
      </w:r>
    </w:p>
    <w:p>
      <w:pPr>
        <w:spacing w:after="60" w:before="140"/>
      </w:pPr>
      <w:r>
        <w:rPr>
          <w:rFonts w:ascii="Arial" w:cs="Arial" w:eastAsia="Arial" w:hAnsi="Arial"/>
          <w:b/>
          <w:bCs/>
          <w:color w:val="333333"/>
          <w:sz w:val="22"/>
          <w:szCs w:val="22"/>
        </w:rPr>
        <w:t xml:space="preserve">Test Asset Processor:</w:t>
      </w:r>
    </w:p>
    <w:p>
      <w:pPr>
        <w:pStyle w:val="ListParagraph"/>
        <w:numPr>
          <w:ilvl w:val="0"/>
          <w:numId w:val="2"/>
        </w:numPr>
      </w:pPr>
      <w:r>
        <w:rPr>
          <w:sz w:val="22"/>
          <w:szCs w:val="22"/>
        </w:rPr>
        <w:t xml:space="preserve">Create a new assignment dropbox in the test course.</w:t>
      </w:r>
    </w:p>
    <w:p>
      <w:pPr>
        <w:pStyle w:val="ListParagraph"/>
        <w:numPr>
          <w:ilvl w:val="0"/>
          <w:numId w:val="2"/>
        </w:numPr>
      </w:pPr>
      <w:r>
        <w:rPr>
          <w:sz w:val="22"/>
          <w:szCs w:val="22"/>
        </w:rPr>
        <w:t xml:space="preserve">Edit it, go to Attachments / External Tools, add Growth Portfolio.</w:t>
      </w:r>
    </w:p>
    <w:p>
      <w:pPr>
        <w:pStyle w:val="ListParagraph"/>
        <w:numPr>
          <w:ilvl w:val="0"/>
          <w:numId w:val="2"/>
        </w:numPr>
      </w:pPr>
      <w:r>
        <w:rPr>
          <w:sz w:val="22"/>
          <w:szCs w:val="22"/>
        </w:rPr>
        <w:t xml:space="preserve">On the deep-linking page that opens, click “Attach to Assignment.”</w:t>
      </w:r>
    </w:p>
    <w:p>
      <w:pPr>
        <w:pStyle w:val="ListParagraph"/>
        <w:numPr>
          <w:ilvl w:val="0"/>
          <w:numId w:val="2"/>
        </w:numPr>
      </w:pPr>
      <w:r>
        <w:rPr>
          <w:sz w:val="22"/>
          <w:szCs w:val="22"/>
        </w:rPr>
        <w:t xml:space="preserve">Return to the dropbox and save it.</w:t>
      </w:r>
    </w:p>
    <w:p>
      <w:pPr>
        <w:pStyle w:val="ListParagraph"/>
        <w:numPr>
          <w:ilvl w:val="0"/>
          <w:numId w:val="2"/>
        </w:numPr>
      </w:pPr>
      <w:r>
        <w:rPr>
          <w:sz w:val="22"/>
          <w:szCs w:val="22"/>
        </w:rPr>
        <w:t xml:space="preserve">As a test student, submit a PDF or DOCX to that dropbox.</w:t>
      </w:r>
    </w:p>
    <w:p>
      <w:pPr>
        <w:pStyle w:val="ListParagraph"/>
        <w:numPr>
          <w:ilvl w:val="0"/>
          <w:numId w:val="2"/>
        </w:numPr>
      </w:pPr>
      <w:r>
        <w:rPr>
          <w:sz w:val="22"/>
          <w:szCs w:val="22"/>
        </w:rPr>
        <w:t xml:space="preserve">Within ~30 seconds we should receive the submission. Let us know and we'll confirm on our side.</w:t>
      </w:r>
    </w:p>
    <w:p>
      <w:pPr>
        <w:spacing w:after="60" w:before="120"/>
      </w:pPr>
      <w:r>
        <w:rPr>
          <w:b/>
          <w:bCs/>
          <w:color w:val="1B5E20"/>
        </w:rPr>
        <w:t xml:space="preserve">If all verification steps work, the integration is live.</w:t>
      </w:r>
    </w:p>
    <w:p>
      <w:pPr>
        <w:pStyle w:val="Heading2"/>
        <w:spacing w:after="80" w:before="180"/>
      </w:pPr>
      <w:r>
        <w:rPr>
          <w:rFonts w:ascii="Arial" w:cs="Arial" w:eastAsia="Arial" w:hAnsi="Arial"/>
          <w:b/>
          <w:bCs/>
          <w:color w:val="1B5E20"/>
          <w:sz w:val="26"/>
          <w:szCs w:val="26"/>
        </w:rPr>
        <w:t xml:space="preserve">If something doesn't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Symptom</w:t>
            </w:r>
          </w:p>
        </w:tc>
        <w:tc>
          <w:tcPr>
            <w:tcW w:type="dxa" w:w="5360"/>
            <w:tcBorders>
              <w:top w:val="single" w:color="CCCCCC" w:sz="4"/>
              <w:left w:val="single" w:color="CCCCCC" w:sz="4"/>
              <w:bottom w:val="single" w:color="CCCCCC" w:sz="4"/>
              <w:right w:val="single" w:color="CCCCCC" w:sz="4"/>
            </w:tcBorders>
            <w:shd w:fill="1B5E20" w:val="clear"/>
            <w:tcMar>
              <w:top w:type="dxa" w:w="100"/>
              <w:left w:type="dxa" w:w="120"/>
              <w:bottom w:type="dxa" w:w="100"/>
              <w:right w:type="dxa" w:w="120"/>
            </w:tcMar>
          </w:tcPr>
          <w:p>
            <w:r>
              <w:rPr>
                <w:b/>
                <w:bCs/>
                <w:color w:val="FFFFFF"/>
                <w:sz w:val="20"/>
                <w:szCs w:val="20"/>
              </w:rPr>
              <w:t xml:space="preserve">Likely cause</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“Asset Processor” placement isn't an option</w:t>
            </w:r>
          </w:p>
        </w:tc>
        <w:tc>
          <w:tcPr>
            <w:tcW w:type="dxa" w:w="5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Brightspace version &lt; 20.24.3, or Asset Processor feature flag disabled at the org level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SSO launch returns an error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Scopes not granted, or Redirect URL mismatch</w:t>
            </w:r>
          </w:p>
        </w:tc>
      </w:tr>
      <w:tr>
        <w:tc>
          <w:tcPr>
            <w:tcW w:type="dxa" w:w="4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Submission not received after student uploads</w:t>
            </w:r>
          </w:p>
        </w:tc>
        <w:tc>
          <w:tcPr>
            <w:tcW w:type="dxa" w:w="5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sz w:val="20"/>
                <w:szCs w:val="20"/>
              </w:rPr>
              <w:t xml:space="preserve">Tool not attached to the specific dropbox (attachment is per-assignment, not per-course)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Deep linking returns an error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Deployment not scoped to include the course</w:t>
            </w:r>
          </w:p>
        </w:tc>
      </w:tr>
    </w:tbl>
    <w:p>
      <w:pPr>
        <w:spacing w:after="60" w:before="80"/>
      </w:pPr>
      <w:r>
        <w:rPr>
          <w:i/>
          <w:iCs/>
          <w:color w:val="666666"/>
          <w:sz w:val="20"/>
          <w:szCs w:val="20"/>
        </w:rPr>
        <w:t xml:space="preserve">Send us the error message or a screenshot and we'll diagnose.</w:t>
      </w:r>
    </w:p>
    <w:p>
      <w:pPr>
        <w:pStyle w:val="Heading2"/>
        <w:spacing w:after="80" w:before="180"/>
      </w:pPr>
      <w:r>
        <w:rPr>
          <w:rFonts w:ascii="Arial" w:cs="Arial" w:eastAsia="Arial" w:hAnsi="Arial"/>
          <w:b/>
          <w:bCs/>
          <w:color w:val="1B5E20"/>
          <w:sz w:val="26"/>
          <w:szCs w:val="26"/>
        </w:rPr>
        <w:t xml:space="preserve">Questions we'd love answered on the kickoff call</w:t>
      </w:r>
    </w:p>
    <w:p>
      <w:pPr>
        <w:pStyle w:val="ListParagraph"/>
        <w:numPr>
          <w:ilvl w:val="0"/>
          <w:numId w:val="2"/>
        </w:numPr>
      </w:pPr>
      <w:r>
        <w:rPr>
          <w:sz w:val="22"/>
          <w:szCs w:val="22"/>
        </w:rPr>
        <w:t xml:space="preserve">What Brightspace release version are you on?</w:t>
      </w:r>
    </w:p>
    <w:p>
      <w:pPr>
        <w:pStyle w:val="ListParagraph"/>
        <w:numPr>
          <w:ilvl w:val="0"/>
          <w:numId w:val="2"/>
        </w:numPr>
      </w:pPr>
      <w:r>
        <w:rPr>
          <w:sz w:val="22"/>
          <w:szCs w:val="22"/>
        </w:rPr>
        <w:t xml:space="preserve">Is there a sandbox instance we should register against first, or go straight to production?</w:t>
      </w:r>
    </w:p>
    <w:p>
      <w:pPr>
        <w:pStyle w:val="ListParagraph"/>
        <w:numPr>
          <w:ilvl w:val="0"/>
          <w:numId w:val="2"/>
        </w:numPr>
      </w:pPr>
      <w:r>
        <w:rPr>
          <w:sz w:val="22"/>
          <w:szCs w:val="22"/>
        </w:rPr>
        <w:t xml:space="preserve">What's the pilot scope — single course, single instructor, or full LE3 org unit?</w:t>
      </w:r>
    </w:p>
    <w:p>
      <w:pPr>
        <w:pStyle w:val="ListParagraph"/>
        <w:numPr>
          <w:ilvl w:val="0"/>
          <w:numId w:val="2"/>
        </w:numPr>
      </w:pPr>
      <w:r>
        <w:rPr>
          <w:sz w:val="22"/>
          <w:szCs w:val="22"/>
        </w:rPr>
        <w:t xml:space="preserve">Do you require a Data Processing Agreement or FERPA addendum before we go live? If so, can you send your template?</w:t>
      </w:r>
    </w:p>
    <w:p>
      <w:pPr>
        <w:pStyle w:val="ListParagraph"/>
        <w:numPr>
          <w:ilvl w:val="0"/>
          <w:numId w:val="2"/>
        </w:numPr>
      </w:pPr>
      <w:r>
        <w:rPr>
          <w:sz w:val="22"/>
          <w:szCs w:val="22"/>
        </w:rPr>
        <w:t xml:space="preserve">Will a Brightspace admin bulk-attach the portfolio to LE3 assignments, or will individual instructors do it themselves?</w:t>
      </w:r>
    </w:p>
    <w:p>
      <w:pPr>
        <w:pStyle w:val="Heading2"/>
        <w:spacing w:after="80" w:before="180"/>
      </w:pPr>
      <w:r>
        <w:rPr>
          <w:rFonts w:ascii="Arial" w:cs="Arial" w:eastAsia="Arial" w:hAnsi="Arial"/>
          <w:b/>
          <w:bCs/>
          <w:color w:val="1B5E20"/>
          <w:sz w:val="26"/>
          <w:szCs w:val="26"/>
        </w:rPr>
        <w:t xml:space="preserve">What we'll do on our side</w:t>
      </w:r>
    </w:p>
    <w:p>
      <w:pPr>
        <w:spacing w:after="60" w:before="60"/>
      </w:pPr>
      <w:r>
        <w:t xml:space="preserve">Once you send the four values:</w:t>
      </w:r>
    </w:p>
    <w:p>
      <w:pPr>
        <w:pStyle w:val="ListParagraph"/>
        <w:numPr>
          <w:ilvl w:val="0"/>
          <w:numId w:val="2"/>
        </w:numPr>
      </w:pPr>
      <w:r>
        <w:rPr>
          <w:sz w:val="22"/>
          <w:szCs w:val="22"/>
        </w:rPr>
        <w:t xml:space="preserve">Set four environment variables on our Vercel deployment (~2 min)</w:t>
      </w:r>
    </w:p>
    <w:p>
      <w:pPr>
        <w:pStyle w:val="ListParagraph"/>
        <w:numPr>
          <w:ilvl w:val="0"/>
          <w:numId w:val="2"/>
        </w:numPr>
      </w:pPr>
      <w:r>
        <w:rPr>
          <w:sz w:val="22"/>
          <w:szCs w:val="22"/>
        </w:rPr>
        <w:t xml:space="preserve">Redeploy (~2 min)</w:t>
      </w:r>
    </w:p>
    <w:p>
      <w:pPr>
        <w:pStyle w:val="ListParagraph"/>
        <w:numPr>
          <w:ilvl w:val="0"/>
          <w:numId w:val="2"/>
        </w:numPr>
      </w:pPr>
      <w:r>
        <w:rPr>
          <w:sz w:val="22"/>
          <w:szCs w:val="22"/>
        </w:rPr>
        <w:t xml:space="preserve">Run through the Step 6 verification with you on a call</w:t>
      </w:r>
    </w:p>
    <w:p>
      <w:pPr>
        <w:spacing w:after="60" w:before="120"/>
      </w:pPr>
      <w:r>
        <w:rPr>
          <w:b/>
          <w:bCs/>
          <w:color w:val="1B5E20"/>
        </w:rPr>
        <w:t xml:space="preserve">Total time from receiving your values to live pilot: under 10 minutes.</w:t>
      </w:r>
    </w:p>
    <w:p>
      <w:pPr>
        <w:pBdr>
          <w:top w:val="single" w:color="CCCCCC" w:sz="4" w:space="6"/>
        </w:pBdr>
        <w:spacing w:after="0" w:before="400"/>
      </w:pPr>
      <w:r>
        <w:rPr>
          <w:sz w:val="4"/>
          <w:szCs w:val="4"/>
        </w:rPr>
        <w:t xml:space="preserve"/>
      </w:r>
    </w:p>
    <w:p>
      <w:pPr>
        <w:spacing w:after="0" w:before="120"/>
        <w:jc w:val="center"/>
      </w:pPr>
      <w:r>
        <w:rPr>
          <w:i/>
          <w:iCs/>
          <w:color w:val="666666"/>
          <w:sz w:val="18"/>
          <w:szCs w:val="18"/>
        </w:rPr>
        <w:t xml:space="preserve">LE3 Growth Portfolio  ·  National Louis University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LE3 Growth Portfolio — NLU IT Setup Guide</dc:title>
  <dc:creator>LE3 Growth Portfolio</dc:creator>
  <cp:lastModifiedBy>Un-named</cp:lastModifiedBy>
  <cp:revision>1</cp:revision>
  <dcterms:created xsi:type="dcterms:W3CDTF">2026-04-12T01:02:20.729Z</dcterms:created>
  <dcterms:modified xsi:type="dcterms:W3CDTF">2026-04-12T01:02:20.730Z</dcterms:modified>
</cp:coreProperties>
</file>

<file path=docProps/custom.xml><?xml version="1.0" encoding="utf-8"?>
<Properties xmlns="http://schemas.openxmlformats.org/officeDocument/2006/custom-properties" xmlns:vt="http://schemas.openxmlformats.org/officeDocument/2006/docPropsVTypes"/>
</file>