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Arial" w:cs="Arial" w:eastAsia="Arial" w:hAnsi="Arial"/>
          <w:b/>
          <w:bCs/>
          <w:color w:val="1B5E20"/>
          <w:sz w:val="36"/>
          <w:szCs w:val="36"/>
        </w:rPr>
        <w:t xml:space="preserve">LE3 Growth Portfolio</w:t>
      </w:r>
    </w:p>
    <w:p>
      <w:pPr>
        <w:spacing w:after="120" w:before="0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Brightspace Setup Guide for NLU IT</w:t>
      </w:r>
    </w:p>
    <w:p>
      <w:pPr>
        <w:pBdr>
          <w:bottom w:val="single" w:color="1B5E20" w:sz="8" w:space="6"/>
        </w:pBdr>
        <w:spacing w:after="240" w:before="0"/>
      </w:pPr>
      <w:r>
        <w:rPr>
          <w:sz w:val="4"/>
          <w:szCs w:val="4"/>
        </w:rPr>
        <w:t xml:space="preserve"/>
      </w:r>
    </w:p>
    <w:p>
      <w:pPr>
        <w:spacing w:after="60" w:before="60"/>
      </w:pPr>
      <w:r>
        <w:rPr>
          <w:b/>
          <w:bCs/>
        </w:rPr>
        <w:t xml:space="preserve">Audience: </w:t>
      </w:r>
      <w:r>
        <w:t xml:space="preserve">NLU Brightspace administrator    </w:t>
      </w:r>
      <w:r>
        <w:rPr>
          <w:b/>
          <w:bCs/>
        </w:rPr>
        <w:t xml:space="preserve">Time: </w:t>
      </w:r>
      <w:r>
        <w:t xml:space="preserve">~60 minutes total</w:t>
      </w:r>
    </w:p>
    <w:p>
      <w:pPr>
        <w:spacing w:after="60" w:before="60"/>
      </w:pPr>
      <w:r>
        <w:rPr>
          <w:b/>
          <w:bCs/>
        </w:rPr>
        <w:t xml:space="preserve">What you're doing: </w:t>
      </w:r>
      <w:r>
        <w:t xml:space="preserve">Two parallel Brightspace registrations for the LE3 Growth Portfolio. Part A is an LTI 1.3 tool registration for SSO and real-time submission push. Part B is a Valence OAuth2 application for bulk sync of all LE3 data. Both run simultaneously and share dedup keys.</w:t>
      </w:r>
    </w:p>
    <w:p>
      <w:pPr>
        <w:spacing w:after="160" w:before="60"/>
      </w:pPr>
      <w:r>
        <w:rPr>
          <w:b/>
          <w:bCs/>
        </w:rPr>
        <w:t xml:space="preserve">Context: </w:t>
      </w:r>
      <w:r>
        <w:t xml:space="preserve">The LE3 Growth Portfolio is being built for NLU’s LE3 program and will eventually be administered directly by NLU. This guide is for the initial pilot registration.</w:t>
      </w:r>
    </w:p>
    <w:p>
      <w:pPr>
        <w:pBdr>
          <w:left w:val="single" w:color="1B5E20" w:sz="24" w:space="8"/>
        </w:pBdr>
        <w:shd w:fill="E8F5E9" w:val="clear"/>
        <w:spacing w:after="120" w:before="120"/>
      </w:pPr>
      <w:r>
        <w:rPr>
          <w:i/>
          <w:iCs/>
          <w:sz w:val="22"/>
          <w:szCs w:val="22"/>
        </w:rPr>
        <w:t xml:space="preserve">✨ The easy path: open https://le3-growth-portfolio.vercel.app/lti/register in a browser for a step-by-step registration helper with copy-to-clipboard buttons for every value. This document is a reference for offline or locked-down environments.</w:t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1B5E20"/>
          <w:sz w:val="26"/>
          <w:szCs w:val="26"/>
        </w:rPr>
        <w:t xml:space="preserve">Two parallel integration paths</w:t>
      </w:r>
    </w:p>
    <w:p>
      <w:pPr>
        <w:spacing w:after="60" w:before="60"/>
      </w:pPr>
      <w:r>
        <w:rPr>
          <w:sz w:val="22"/>
          <w:szCs w:val="22"/>
        </w:rPr>
        <w:t xml:space="preserve">The portfolio uses two complementary data delivery paths that run at the same time and never duplicate data: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  <w:sz w:val="22"/>
          <w:szCs w:val="22"/>
        </w:rPr>
        <w:t xml:space="preserve">Path A — LTI 1.3 </w:t>
      </w:r>
      <w:r>
        <w:rPr>
          <w:sz w:val="22"/>
          <w:szCs w:val="22"/>
        </w:rPr>
        <w:t xml:space="preserve">provides SSO (students and instructors click into the portfolio authenticated) and push-based submission webhooks for dropboxes where instructors explicitly attach the tool.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  <w:sz w:val="22"/>
          <w:szCs w:val="22"/>
        </w:rPr>
        <w:t xml:space="preserve">Path B — Valence REST API </w:t>
      </w:r>
      <w:r>
        <w:rPr>
          <w:sz w:val="22"/>
          <w:szCs w:val="22"/>
        </w:rPr>
        <w:t xml:space="preserve">pulls the full set of LE3 courses, rosters, assignments, and submissions on a schedule. No per-assignment attachment required. Covers historical data and every LE3 course automatically.</w:t>
      </w:r>
    </w:p>
    <w:p>
      <w:pPr>
        <w:spacing w:after="160" w:before="100"/>
      </w:pPr>
      <w:r>
        <w:rPr>
          <w:i/>
          <w:iCs/>
          <w:color w:val="666666"/>
          <w:sz w:val="22"/>
          <w:szCs w:val="22"/>
        </w:rPr>
        <w:t xml:space="preserve">Valence is comprehensive but polling-based (minutes of latency). Asset Processor is real-time but requires instructor opt-in per assignment. Running both means everything is covered — instant for attached dropboxes, eventual for everything else.</w:t>
      </w:r>
    </w:p>
    <w:p>
      <w:pPr>
        <w:pBdr>
          <w:left w:val="single" w:color="1B5E20" w:sz="36" w:space="12"/>
        </w:pBdr>
        <w:shd w:fill="E8F5E9" w:val="clear"/>
        <w:spacing w:after="120" w:before="320"/>
      </w:pPr>
      <w:r>
        <w:rPr>
          <w:rFonts w:ascii="Arial" w:cs="Arial" w:eastAsia="Arial" w:hAnsi="Arial"/>
          <w:b/>
          <w:bCs/>
          <w:color w:val="1B5E20"/>
          <w:sz w:val="22"/>
          <w:szCs w:val="22"/>
        </w:rPr>
        <w:t xml:space="preserve">PART A — LTI 1.3 TOOL REGISTRATION</w:t>
      </w:r>
      <w:r>
        <w:rPr>
          <w:color w:val="666666"/>
          <w:sz w:val="20"/>
          <w:szCs w:val="20"/>
        </w:rPr>
        <w:t xml:space="preserve">     ~30 minutes</w:t>
      </w:r>
    </w:p>
    <w:p>
      <w:pPr>
        <w:spacing w:after="60" w:before="1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Step A1 — Open the Brightspace LTI form (1 min)</w:t>
      </w:r>
    </w:p>
    <w:p>
      <w:pPr>
        <w:spacing w:after="60" w:before="60"/>
      </w:pPr>
      <w:r>
        <w:t xml:space="preserve">Navigate to </w:t>
      </w:r>
      <w:r>
        <w:rPr>
          <w:b/>
          <w:bCs/>
        </w:rPr>
        <w:t xml:space="preserve">Admin Tools → Manage Extensibility → LTI Advantage → Register Tool</w:t>
      </w:r>
      <w:r>
        <w:t xml:space="preserve">.</w:t>
      </w:r>
    </w:p>
    <w:p>
      <w:pPr>
        <w:spacing w:after="60" w:before="1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Step A2 — Tool information (3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0"/>
        <w:gridCol w:w="6120"/>
      </w:tblGrid>
      <w:tr>
        <w:tc>
          <w:tcPr>
            <w:tcW w:type="dxa" w:w="32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5E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5E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2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Name</w:t>
            </w:r>
          </w:p>
        </w:tc>
        <w:tc>
          <w:tcPr>
            <w:tcW w:type="dxa" w:w="6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LE3 Growth Portfolio</w:t>
            </w:r>
          </w:p>
        </w:tc>
      </w:tr>
      <w:tr>
        <w:tc>
          <w:tcPr>
            <w:tcW w:type="dxa" w:w="32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Description</w:t>
            </w:r>
          </w:p>
        </w:tc>
        <w:tc>
          <w:tcPr>
            <w:tcW w:type="dxa" w:w="6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AI-guided reflective conversations for LE3</w:t>
            </w:r>
          </w:p>
        </w:tc>
      </w:tr>
      <w:tr>
        <w:tc>
          <w:tcPr>
            <w:tcW w:type="dxa" w:w="32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Vendor / Provider Name</w:t>
            </w:r>
          </w:p>
        </w:tc>
        <w:tc>
          <w:tcPr>
            <w:tcW w:type="dxa" w:w="6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LE3 Growth Portfolio</w:t>
            </w:r>
          </w:p>
        </w:tc>
      </w:tr>
      <w:tr>
        <w:tc>
          <w:tcPr>
            <w:tcW w:type="dxa" w:w="32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Contact Email</w:t>
            </w:r>
          </w:p>
        </w:tc>
        <w:tc>
          <w:tcPr>
            <w:tcW w:type="dxa" w:w="6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contact@le3-growth-portfolio.vercel.app</w:t>
            </w:r>
          </w:p>
        </w:tc>
      </w:tr>
      <w:tr>
        <w:tc>
          <w:tcPr>
            <w:tcW w:type="dxa" w:w="32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Domain</w:t>
            </w:r>
          </w:p>
        </w:tc>
        <w:tc>
          <w:tcPr>
            <w:tcW w:type="dxa" w:w="6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le3-growth-portfolio.vercel.app</w:t>
            </w:r>
          </w:p>
        </w:tc>
      </w:tr>
      <w:tr>
        <w:tc>
          <w:tcPr>
            <w:tcW w:type="dxa" w:w="32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Icon URL</w:t>
            </w:r>
          </w:p>
        </w:tc>
        <w:tc>
          <w:tcPr>
            <w:tcW w:type="dxa" w:w="6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https://le3-growth-portfolio.vercel.app/favicon.ico</w:t>
            </w:r>
          </w:p>
        </w:tc>
      </w:tr>
      <w:tr>
        <w:tc>
          <w:tcPr>
            <w:tcW w:type="dxa" w:w="32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Privacy Policy URL</w:t>
            </w:r>
          </w:p>
        </w:tc>
        <w:tc>
          <w:tcPr>
            <w:tcW w:type="dxa" w:w="6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https://le3-growth-portfolio.vercel.app/privacy</w:t>
            </w:r>
          </w:p>
        </w:tc>
      </w:tr>
      <w:tr>
        <w:tc>
          <w:tcPr>
            <w:tcW w:type="dxa" w:w="32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Terms of Service URL</w:t>
            </w:r>
          </w:p>
        </w:tc>
        <w:tc>
          <w:tcPr>
            <w:tcW w:type="dxa" w:w="6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https://le3-growth-portfolio.vercel.app/terms</w:t>
            </w:r>
          </w:p>
        </w:tc>
      </w:tr>
      <w:tr>
        <w:tc>
          <w:tcPr>
            <w:tcW w:type="dxa" w:w="32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OIDC Login URL / Initiate Login URI</w:t>
            </w:r>
          </w:p>
        </w:tc>
        <w:tc>
          <w:tcPr>
            <w:tcW w:type="dxa" w:w="6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https://le3-growth-portfolio.vercel.app/api/lti/login</w:t>
            </w:r>
          </w:p>
        </w:tc>
      </w:tr>
      <w:tr>
        <w:tc>
          <w:tcPr>
            <w:tcW w:type="dxa" w:w="32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Target Link URI / Redirect URL</w:t>
            </w:r>
          </w:p>
        </w:tc>
        <w:tc>
          <w:tcPr>
            <w:tcW w:type="dxa" w:w="6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https://le3-growth-portfolio.vercel.app/api/lti/launch</w:t>
            </w:r>
          </w:p>
        </w:tc>
      </w:tr>
      <w:tr>
        <w:tc>
          <w:tcPr>
            <w:tcW w:type="dxa" w:w="32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Keyset URL / JWKS URI</w:t>
            </w:r>
          </w:p>
        </w:tc>
        <w:tc>
          <w:tcPr>
            <w:tcW w:type="dxa" w:w="6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https://le3-growth-portfolio.vercel.app/api/lti/jwks</w:t>
            </w:r>
          </w:p>
        </w:tc>
      </w:tr>
    </w:tbl>
    <w:p>
      <w:pPr>
        <w:spacing w:after="60" w:before="1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Step A3 — Grant five LTI Advantage scopes (2 min)</w:t>
      </w:r>
    </w:p>
    <w:p>
      <w:pPr>
        <w:spacing w:after="60" w:before="60"/>
      </w:pPr>
      <w:r>
        <w:rPr>
          <w:sz w:val="22"/>
          <w:szCs w:val="22"/>
        </w:rPr>
        <w:t xml:space="preserve">All standard IMS Global scopes — no Brightspace-proprietary scopes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5E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5E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noticehandlers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Subscribe to Asset Processor submission notices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asset.readonly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Download submitted files via push path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report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Report processing status back to dropboxes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lti-ags/lineitem.readonly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Read assignment line items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lti-ags/result.readonly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Read assignment results and grades</w:t>
            </w:r>
          </w:p>
        </w:tc>
      </w:tr>
    </w:tbl>
    <w:p>
      <w:pPr>
        <w:spacing w:after="60" w:before="60"/>
      </w:pPr>
      <w:r>
        <w:rPr>
          <w:i/>
          <w:iCs/>
          <w:color w:val="666666"/>
          <w:sz w:val="20"/>
          <w:szCs w:val="20"/>
        </w:rPr>
        <w:t xml:space="preserve">Full URIs prefixed with https://purl.imsglobal.org/spec/lti/scope/ or https://purl.imsglobal.org/spec/lti-ags/scope/</w:t>
      </w:r>
    </w:p>
    <w:p>
      <w:pPr>
        <w:spacing w:after="60" w:before="1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Step A4 — Enable placements (3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40"/>
        <w:gridCol w:w="5520"/>
      </w:tblGrid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5E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Placement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5E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55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5E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Course Navigation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CRITICAL</w:t>
            </w:r>
          </w:p>
        </w:tc>
        <w:tc>
          <w:tcPr>
            <w:tcW w:type="dxa" w:w="55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Adds Growth Portfolio to the course nav bar — the main entry point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Assignment Attachment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Optional</w:t>
            </w:r>
          </w:p>
        </w:tc>
        <w:tc>
          <w:tcPr>
            <w:tcW w:type="dxa" w:w="55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Real-time submission push for attached dropboxes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Link Selection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Optional</w:t>
            </w:r>
          </w:p>
        </w:tc>
        <w:tc>
          <w:tcPr>
            <w:tcW w:type="dxa" w:w="55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Lets instructors drop portfolio links in course content</w:t>
            </w:r>
          </w:p>
        </w:tc>
      </w:tr>
    </w:tbl>
    <w:p>
      <w:pPr>
        <w:spacing w:after="60" w:before="1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Step A5 — Create LTI deployment (2 min)</w:t>
      </w:r>
    </w:p>
    <w:p>
      <w:pPr>
        <w:spacing w:after="60" w:before="60"/>
      </w:pPr>
      <w:r>
        <w:rPr>
          <w:sz w:val="22"/>
          <w:szCs w:val="22"/>
        </w:rPr>
        <w:t xml:space="preserve">After registering the tool, create a deployment scoped to the LE3 org unit. Brightspace will generate an LTI Client ID and LTI Deployment ID — save both for Step C.</w:t>
      </w:r>
    </w:p>
    <w:p>
      <w:pPr>
        <w:pBdr>
          <w:left w:val="single" w:color="E65100" w:sz="36" w:space="12"/>
        </w:pBdr>
        <w:shd w:fill="FFF3E0" w:val="clear"/>
        <w:spacing w:after="120" w:before="320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PART B — VALENCE OAUTH2 APPLICATION</w:t>
      </w:r>
      <w:r>
        <w:rPr>
          <w:color w:val="666666"/>
          <w:sz w:val="20"/>
          <w:szCs w:val="20"/>
        </w:rPr>
        <w:t xml:space="preserve">     ~25 minutes</w:t>
      </w:r>
    </w:p>
    <w:p>
      <w:pPr>
        <w:spacing w:after="60" w:before="1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Step B1 — Register an OAuth2 client (5 min)</w:t>
      </w:r>
    </w:p>
    <w:p>
      <w:pPr>
        <w:spacing w:after="60" w:before="60"/>
      </w:pPr>
      <w:r>
        <w:t xml:space="preserve">Navigate to </w:t>
      </w:r>
      <w:r>
        <w:rPr>
          <w:b/>
          <w:bCs/>
        </w:rPr>
        <w:t xml:space="preserve">Admin Tools → Manage Extensibility → OAuth 2.0 → Register an app</w:t>
      </w:r>
      <w:r>
        <w:t xml:space="preserve">.</w:t>
      </w:r>
    </w:p>
    <w:p>
      <w:pPr>
        <w:spacing w:after="60" w:before="60"/>
      </w:pPr>
      <w:r>
        <w:rPr>
          <w:sz w:val="22"/>
          <w:szCs w:val="22"/>
        </w:rPr>
        <w:t xml:space="preserve">Fill in: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0"/>
        <w:gridCol w:w="6120"/>
      </w:tblGrid>
      <w:tr>
        <w:tc>
          <w:tcPr>
            <w:tcW w:type="dxa" w:w="32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6510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6510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2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Application Name</w:t>
            </w:r>
          </w:p>
        </w:tc>
        <w:tc>
          <w:tcPr>
            <w:tcW w:type="dxa" w:w="6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LE3 Growth Portfolio — Data Sync</w:t>
            </w:r>
          </w:p>
        </w:tc>
      </w:tr>
      <w:tr>
        <w:tc>
          <w:tcPr>
            <w:tcW w:type="dxa" w:w="32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Grant Type</w:t>
            </w:r>
          </w:p>
        </w:tc>
        <w:tc>
          <w:tcPr>
            <w:tcW w:type="dxa" w:w="6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Client Credentials (server-to-server)</w:t>
            </w:r>
          </w:p>
        </w:tc>
      </w:tr>
      <w:tr>
        <w:tc>
          <w:tcPr>
            <w:tcW w:type="dxa" w:w="32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Access Token Lifetime</w:t>
            </w:r>
          </w:p>
        </w:tc>
        <w:tc>
          <w:tcPr>
            <w:tcW w:type="dxa" w:w="6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72000 seconds (20 hours, the maximum)</w:t>
            </w:r>
          </w:p>
        </w:tc>
      </w:tr>
    </w:tbl>
    <w:p>
      <w:pPr>
        <w:spacing w:after="60" w:before="60"/>
      </w:pPr>
      <w:r>
        <w:rPr>
          <w:i/>
          <w:iCs/>
          <w:color w:val="666666"/>
          <w:sz w:val="20"/>
          <w:szCs w:val="20"/>
        </w:rPr>
        <w:t xml:space="preserve">Brightspace will generate a Client ID and Client Secret — save both for Step C.</w:t>
      </w:r>
    </w:p>
    <w:p>
      <w:pPr>
        <w:spacing w:after="60" w:before="1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Step B2 — Grant Valence scopes (3 min)</w:t>
      </w:r>
    </w:p>
    <w:p>
      <w:pPr>
        <w:spacing w:after="60" w:before="60"/>
      </w:pPr>
      <w:r>
        <w:rPr>
          <w:sz w:val="22"/>
          <w:szCs w:val="22"/>
        </w:rPr>
        <w:t xml:space="preserve">These are Brightspace-specific (not IMS standard). Grant all seven.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6510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6510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core:*:*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General Valence API read access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dropbox:folders:read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List assignment dropbox folders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dropbox:submissions:read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List student submissions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dropbox:folder-attachments:read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Download submitted files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enrollment:orgunit:read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Read course enrollments (rosters)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users:userdata:read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Read student and instructor profiles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orgunit:children:read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Walk the LE3 org unit to find courses</w:t>
            </w:r>
          </w:p>
        </w:tc>
      </w:tr>
    </w:tbl>
    <w:p>
      <w:pPr>
        <w:spacing w:after="60" w:before="1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Step B3 — Assign a service user (5 min)</w:t>
      </w:r>
    </w:p>
    <w:p>
      <w:pPr>
        <w:spacing w:after="60" w:before="60"/>
      </w:pPr>
      <w:r>
        <w:rPr>
          <w:sz w:val="22"/>
          <w:szCs w:val="22"/>
        </w:rPr>
        <w:t xml:space="preserve">The Client Credentials grant means our sync job acts as a specific Brightspace user. Designate an admin-level service account with read access to all LE3 courses, permission to view dropbox submissions, and permission to read user profiles. A dedicated service account (e.g., le3-portfolio-sync@nlu.edu) is preferred over personal credentials.</w:t>
      </w:r>
    </w:p>
    <w:p>
      <w:pPr>
        <w:spacing w:after="60" w:before="1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Step B4 — Identify the LE3 org unit ID (2 min)</w:t>
      </w:r>
    </w:p>
    <w:p>
      <w:pPr>
        <w:spacing w:after="60" w:before="60"/>
      </w:pPr>
      <w:r>
        <w:rPr>
          <w:sz w:val="22"/>
          <w:szCs w:val="22"/>
        </w:rPr>
        <w:t xml:space="preserve">The sync job walks the org structure starting from a parent LE3 org unit and pulls every descendant course offering. Find the org unit ID of the LE3 program container (or the top-level LE3 department, whichever is most appropriate).</w:t>
      </w:r>
    </w:p>
    <w:p>
      <w:pPr>
        <w:spacing w:after="60" w:before="60"/>
      </w:pPr>
      <w:r>
        <w:rPr>
          <w:i/>
          <w:iCs/>
          <w:color w:val="666666"/>
          <w:sz w:val="20"/>
          <w:szCs w:val="20"/>
        </w:rPr>
        <w:t xml:space="preserve">You can see the ID in the URL when browsing the org structure — it's the number at the end, e.g. https://nlu.brightspace.com/d2l/orgstructure/home/12345 → the ID is 12345.</w:t>
      </w:r>
    </w:p>
    <w:p>
      <w:pPr>
        <w:pBdr>
          <w:left w:val="single" w:color="F57F17" w:sz="36" w:space="12"/>
        </w:pBdr>
        <w:shd w:fill="FFF9C4" w:val="clear"/>
        <w:spacing w:after="120" w:before="320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PART C — SEND BACK SIX VALUES</w:t>
      </w:r>
      <w:r>
        <w:rPr>
          <w:color w:val="666666"/>
          <w:sz w:val="20"/>
          <w:szCs w:val="20"/>
        </w:rPr>
        <w:t xml:space="preserve">     ~2 minutes</w:t>
      </w:r>
    </w:p>
    <w:p>
      <w:pPr>
        <w:spacing w:after="60" w:before="60"/>
      </w:pPr>
      <w:r>
        <w:rPr>
          <w:sz w:val="22"/>
          <w:szCs w:val="22"/>
        </w:rPr>
        <w:t xml:space="preserve">Email these six values to the LE3 Growth Portfolio contact. Until all six are set on our side, the integration cannot go live.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4960"/>
      </w:tblGrid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7F1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From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7F1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4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7F1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Where you got it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Part A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LTI Client ID</w:t>
            </w:r>
          </w:p>
        </w:tc>
        <w:tc>
          <w:tcPr>
            <w:tcW w:type="dxa" w:w="4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Step A5 (Brightspace registration output)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Part A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LTI Deployment ID</w:t>
            </w:r>
          </w:p>
        </w:tc>
        <w:tc>
          <w:tcPr>
            <w:tcW w:type="dxa" w:w="4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Step A5 (Brightspace deployment creation)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Part A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Brightspace Issuer URL</w:t>
            </w:r>
          </w:p>
        </w:tc>
        <w:tc>
          <w:tcPr>
            <w:tcW w:type="dxa" w:w="4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e.g., https://nlu.brightspace.com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Part B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Valence Client ID</w:t>
            </w:r>
          </w:p>
        </w:tc>
        <w:tc>
          <w:tcPr>
            <w:tcW w:type="dxa" w:w="4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Step B1 (OAuth2 app registration output)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Part B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Valence Client Secret</w:t>
            </w:r>
          </w:p>
        </w:tc>
        <w:tc>
          <w:tcPr>
            <w:tcW w:type="dxa" w:w="4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Step B1 (same)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Part B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LE3 Org Unit ID</w:t>
            </w:r>
          </w:p>
        </w:tc>
        <w:tc>
          <w:tcPr>
            <w:tcW w:type="dxa" w:w="4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Step B4</w:t>
            </w:r>
          </w:p>
        </w:tc>
      </w:tr>
    </w:tbl>
    <w:p>
      <w:pPr>
        <w:spacing w:after="80" w:before="180"/>
      </w:pPr>
      <w:r>
        <w:rPr>
          <w:rFonts w:ascii="Arial" w:cs="Arial" w:eastAsia="Arial" w:hAnsi="Arial"/>
          <w:b/>
          <w:bCs/>
          <w:color w:val="1B5E20"/>
          <w:sz w:val="26"/>
          <w:szCs w:val="26"/>
        </w:rPr>
        <w:t xml:space="preserve">If something doesn't work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5E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Symptom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5E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Likely cause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SSO launch returns an error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LTI scopes not granted, or Redirect URL mismatch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Valence sync returns “unauthorized”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Valence scopes not granted, or service user lacks read access to the org unit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Sync finds zero courses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Wrong LE3 org unit ID, or service user not enrolled in LE3 courses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“Asset Processor” placement isn’t available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Brightspace version &lt; 20.24.3 — this path is optional, Valence still works</w:t>
            </w:r>
          </w:p>
        </w:tc>
      </w:tr>
    </w:tbl>
    <w:p>
      <w:pPr>
        <w:spacing w:after="80" w:before="180"/>
      </w:pPr>
      <w:r>
        <w:rPr>
          <w:rFonts w:ascii="Arial" w:cs="Arial" w:eastAsia="Arial" w:hAnsi="Arial"/>
          <w:b/>
          <w:bCs/>
          <w:color w:val="1B5E20"/>
          <w:sz w:val="26"/>
          <w:szCs w:val="26"/>
        </w:rPr>
        <w:t xml:space="preserve">Questions for the kickoff call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What Brightspace release version are you on?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Is there a sandbox instance to register against first, or should we go straight to a scoped production pilot?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What’s the pilot scope — single course, department, or full LE3 program?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Which account should serve as the Valence OAuth2 service user?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Do you require a Data Processing Agreement or FERPA addendum before we go live? If so, can you send your template?</w:t>
      </w:r>
    </w:p>
    <w:p>
      <w:pPr>
        <w:pBdr>
          <w:top w:val="single" w:color="CCCCCC" w:sz="4" w:space="6"/>
        </w:pBdr>
        <w:spacing w:after="0" w:before="400"/>
      </w:pPr>
      <w:r>
        <w:rPr>
          <w:sz w:val="4"/>
          <w:szCs w:val="4"/>
        </w:rPr>
        <w:t xml:space="preserve"/>
      </w:r>
    </w:p>
    <w:p>
      <w:pPr>
        <w:spacing w:after="0" w:before="120"/>
        <w:jc w:val="center"/>
      </w:pPr>
      <w:r>
        <w:rPr>
          <w:i/>
          <w:iCs/>
          <w:color w:val="666666"/>
          <w:sz w:val="18"/>
          <w:szCs w:val="18"/>
        </w:rPr>
        <w:t xml:space="preserve">LE3 Growth Portfolio  ·  National Louis University  ·  April 2026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LE3 Growth Portfolio — NLU IT Setup Guide</dc:title>
  <dc:creator>LE3 Growth Portfolio</dc:creator>
  <cp:lastModifiedBy>Un-named</cp:lastModifiedBy>
  <cp:revision>1</cp:revision>
  <dcterms:created xsi:type="dcterms:W3CDTF">2026-04-12T02:36:22.586Z</dcterms:created>
  <dcterms:modified xsi:type="dcterms:W3CDTF">2026-04-12T02:36:22.587Z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