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68" w:after="200"/>
        <w:jc w:val="center"/>
        <w:rPr/>
      </w:pPr>
      <w:r>
        <w:rPr>
          <w:b/>
          <w:color w:val="1E1B4B"/>
          <w:sz w:val="144"/>
        </w:rPr>
        <w:t>A</w:t>
      </w:r>
    </w:p>
    <w:p>
      <w:pPr>
        <w:pStyle w:val="Normal"/>
        <w:jc w:val="center"/>
        <w:rPr/>
      </w:pPr>
      <w:r>
        <w:rPr>
          <w:rFonts w:ascii="Calibri" w:hAnsi="Calibri"/>
          <w:b/>
          <w:color w:val="1E1B4B"/>
          <w:sz w:val="28"/>
        </w:rPr>
        <w:t>APOCAL'IPSSI</w:t>
      </w:r>
    </w:p>
    <w:p>
      <w:pPr>
        <w:pStyle w:val="Normal"/>
        <w:spacing w:before="1701" w:after="200"/>
        <w:jc w:val="center"/>
        <w:rPr/>
      </w:pPr>
      <w:r>
        <w:rPr>
          <w:b/>
          <w:color w:val="F59E0B"/>
          <w:sz w:val="20"/>
        </w:rPr>
        <w:t>CADRAGE MATINAL · ARTEFACT 1 SUR 7</w:t>
      </w:r>
    </w:p>
    <w:p>
      <w:pPr>
        <w:pStyle w:val="Normal"/>
        <w:jc w:val="center"/>
        <w:rPr/>
      </w:pPr>
      <w:r>
        <w:rPr>
          <w:b/>
          <w:color w:val="1E1B4B"/>
          <w:sz w:val="64"/>
        </w:rPr>
        <w:t>Product Vision Board</w:t>
      </w:r>
    </w:p>
    <w:p>
      <w:pPr>
        <w:pStyle w:val="Normal"/>
        <w:spacing w:before="170" w:after="200"/>
        <w:jc w:val="center"/>
        <w:rPr/>
      </w:pPr>
      <w:r>
        <w:rPr>
          <w:i/>
          <w:color w:val="475569"/>
          <w:sz w:val="26"/>
        </w:rPr>
        <w:t>La direction du produit EduTutor IA : inclusion, internationalisation et déploiement public</w:t>
      </w:r>
    </w:p>
    <w:p>
      <w:pPr>
        <w:pStyle w:val="Normal"/>
        <w:spacing w:before="3969" w:after="200"/>
        <w:jc w:val="center"/>
        <w:rPr/>
      </w:pPr>
      <w:r>
        <w:rPr>
          <w:b/>
          <w:color w:val="475569"/>
        </w:rPr>
        <w:t>Projet EduTutor IA · Équipe 17 · Version 2.0 · Perturbation J4</w:t>
      </w:r>
    </w:p>
    <w:p>
      <w:pPr>
        <w:pStyle w:val="Normal"/>
        <w:spacing w:before="113" w:after="200"/>
        <w:jc w:val="center"/>
        <w:rPr/>
      </w:pPr>
      <w:r>
        <w:rPr>
          <w:i/>
          <w:color w:val="475569"/>
          <w:sz w:val="18"/>
        </w:rPr>
        <w:t>Auteur : Mohamed Amine EL AFRIT · Licence CC BY-NC-SA 4.0</w:t>
      </w:r>
    </w:p>
    <w:p>
      <w:pPr>
        <w:pStyle w:val="Normal"/>
        <w:rPr/>
      </w:pPr>
      <w:r>
        <w:rPr/>
      </w:r>
      <w:r>
        <w:br w:type="page"/>
      </w:r>
    </w:p>
    <w:p>
      <w:pPr>
        <w:pStyle w:val="Normal"/>
        <w:spacing w:before="0" w:after="200"/>
        <w:rPr/>
      </w:pPr>
      <w:r>
        <w:rPr>
          <w:b/>
          <w:color w:val="F59E0B"/>
        </w:rPr>
        <w:t>IDENTIFICATION DU DOCUMENT</w:t>
      </w:r>
    </w:p>
    <w:p>
      <w:pPr>
        <w:pStyle w:val="Normal"/>
        <w:rPr/>
      </w:pPr>
      <w:r>
        <w:rPr>
          <w:i/>
          <w:color w:val="475569"/>
          <w:sz w:val="20"/>
        </w:rPr>
        <w:t>À compléter par l'équipe avant chaque remise</w:t>
      </w:r>
    </w:p>
    <w:tbl>
      <w:tblPr>
        <w:tblStyle w:val="Grilleclaire-Accent1"/>
        <w:tblW w:w="88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02"/>
        <w:gridCol w:w="6353"/>
      </w:tblGrid>
      <w:tr>
        <w:trPr>
          <w:cnfStyle w:val="100000000000" w:firstRow="1" w:lastRow="0" w:firstColumn="0" w:lastColumn="0" w:oddVBand="0" w:evenVBand="0" w:oddHBand="0" w:evenHBand="0" w:firstRowFirstColumn="0" w:firstRowLastColumn="0" w:lastRowFirstColumn="0" w:lastRowLastColumn="0"/>
        </w:trPr>
        <w:tc>
          <w:tcPr>
            <w:tcW w:w="2502" w:type="dxa"/>
            <w:cnfStyle w:val="001000000000" w:firstRow="0" w:lastRow="0" w:firstColumn="1" w:lastColumn="0" w:oddVBand="0" w:evenVBand="0" w:oddHBand="0" w:evenHBand="0" w:firstRowFirstColumn="0" w:firstRowLastColumn="0" w:lastRowFirstColumn="0" w:lastRowLastColumn="0"/>
            <w:tcBorders>
              <w:bottom w:val="single" w:sz="18" w:space="0" w:color="4F81BD"/>
            </w:tcBorders>
            <w:shd w:color="auto" w:fill="F8FAFC"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color w:val="1E1B4B"/>
                <w:kern w:val="0"/>
                <w:sz w:val="22"/>
                <w:szCs w:val="22"/>
                <w:lang w:val="en-US" w:eastAsia="en-US" w:bidi="ar-SA"/>
              </w:rPr>
              <w:t>Équipe n°</w:t>
            </w:r>
          </w:p>
        </w:tc>
        <w:tc>
          <w:tcPr>
            <w:tcW w:w="6353" w:type="dxa"/>
            <w:tcBorders>
              <w:bottom w:val="single" w:sz="18" w:space="0" w:color="4F81BD"/>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17</w:t>
            </w:r>
          </w:p>
        </w:tc>
      </w:tr>
      <w:tr>
        <w:trPr>
          <w:cnfStyle w:val="000000100000" w:firstRow="0" w:lastRow="0" w:firstColumn="0" w:lastColumn="0" w:oddVBand="0" w:evenVBand="0" w:oddHBand="1" w:evenHBand="0" w:firstRowFirstColumn="0" w:firstRowLastColumn="0" w:lastRowFirstColumn="0" w:lastRowLastColumn="0"/>
        </w:trPr>
        <w:tc>
          <w:tcPr>
            <w:tcW w:w="2502" w:type="dxa"/>
            <w:cnfStyle w:val="001000000000" w:firstRow="0" w:lastRow="0" w:firstColumn="1" w:lastColumn="0" w:oddVBand="0" w:evenVBand="0" w:oddHBand="0" w:evenHBand="0" w:firstRowFirstColumn="0" w:firstRowLastColumn="0" w:lastRowFirstColumn="0" w:lastRowLastColumn="0"/>
            <w:tcBorders/>
            <w:shd w:color="auto" w:fill="F8FAFC"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color w:val="1E1B4B"/>
                <w:kern w:val="0"/>
                <w:sz w:val="22"/>
                <w:szCs w:val="22"/>
                <w:lang w:val="en-US" w:eastAsia="en-US" w:bidi="ar-SA"/>
              </w:rPr>
              <w:t>Membres</w:t>
            </w:r>
          </w:p>
        </w:tc>
        <w:tc>
          <w:tcPr>
            <w:tcW w:w="6353"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Abdelhadi MOUMOU, Jason DAHMOUN, Julie SAINT MARTIN, Kephren BIBANG, Mathis PENAGOS, Stive GAMY, Karam DHIFI</w:t>
            </w:r>
          </w:p>
        </w:tc>
      </w:tr>
      <w:tr>
        <w:trPr>
          <w:cnfStyle w:val="000000010000" w:firstRow="0" w:lastRow="0" w:firstColumn="0" w:lastColumn="0" w:oddVBand="0" w:evenVBand="0" w:oddHBand="0" w:evenHBand="1" w:firstRowFirstColumn="0" w:firstRowLastColumn="0" w:lastRowFirstColumn="0" w:lastRowLastColumn="0"/>
        </w:trPr>
        <w:tc>
          <w:tcPr>
            <w:tcW w:w="2502" w:type="dxa"/>
            <w:cnfStyle w:val="001000000000" w:firstRow="0" w:lastRow="0" w:firstColumn="1" w:lastColumn="0" w:oddVBand="0" w:evenVBand="0" w:oddHBand="0" w:evenHBand="0" w:firstRowFirstColumn="0" w:firstRowLastColumn="0" w:lastRowFirstColumn="0" w:lastRowLastColumn="0"/>
            <w:tcBorders/>
            <w:shd w:color="auto" w:fill="F8FAFC"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color w:val="1E1B4B"/>
                <w:kern w:val="0"/>
                <w:sz w:val="22"/>
                <w:szCs w:val="22"/>
                <w:lang w:val="en-US" w:eastAsia="en-US" w:bidi="ar-SA"/>
              </w:rPr>
              <w:t>Sprint concerné</w:t>
            </w:r>
          </w:p>
        </w:tc>
        <w:tc>
          <w:tcPr>
            <w:tcW w:w="635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Perturbation J4 · Vision / Scope stratégique</w:t>
            </w:r>
          </w:p>
        </w:tc>
      </w:tr>
      <w:tr>
        <w:trPr>
          <w:cnfStyle w:val="000000100000" w:firstRow="0" w:lastRow="0" w:firstColumn="0" w:lastColumn="0" w:oddVBand="0" w:evenVBand="0" w:oddHBand="1" w:evenHBand="0" w:firstRowFirstColumn="0" w:firstRowLastColumn="0" w:lastRowFirstColumn="0" w:lastRowLastColumn="0"/>
        </w:trPr>
        <w:tc>
          <w:tcPr>
            <w:tcW w:w="2502" w:type="dxa"/>
            <w:cnfStyle w:val="001000000000" w:firstRow="0" w:lastRow="0" w:firstColumn="1" w:lastColumn="0" w:oddVBand="0" w:evenVBand="0" w:oddHBand="0" w:evenHBand="0" w:firstRowFirstColumn="0" w:firstRowLastColumn="0" w:lastRowFirstColumn="0" w:lastRowLastColumn="0"/>
            <w:tcBorders/>
            <w:shd w:color="auto" w:fill="F8FAFC"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color w:val="1E1B4B"/>
                <w:kern w:val="0"/>
                <w:sz w:val="22"/>
                <w:szCs w:val="22"/>
                <w:lang w:val="en-US" w:eastAsia="en-US" w:bidi="ar-SA"/>
              </w:rPr>
              <w:t>Version</w:t>
            </w:r>
          </w:p>
        </w:tc>
        <w:tc>
          <w:tcPr>
            <w:tcW w:w="635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v2.0 (après J4)</w:t>
            </w:r>
          </w:p>
        </w:tc>
      </w:tr>
      <w:tr>
        <w:trPr>
          <w:cnfStyle w:val="000000010000" w:firstRow="0" w:lastRow="0" w:firstColumn="0" w:lastColumn="0" w:oddVBand="0" w:evenVBand="0" w:oddHBand="0" w:evenHBand="1" w:firstRowFirstColumn="0" w:firstRowLastColumn="0" w:lastRowFirstColumn="0" w:lastRowLastColumn="0"/>
        </w:trPr>
        <w:tc>
          <w:tcPr>
            <w:tcW w:w="2502" w:type="dxa"/>
            <w:cnfStyle w:val="001000000000" w:firstRow="0" w:lastRow="0" w:firstColumn="1" w:lastColumn="0" w:oddVBand="0" w:evenVBand="0" w:oddHBand="0" w:evenHBand="0" w:firstRowFirstColumn="0" w:firstRowLastColumn="0" w:lastRowFirstColumn="0" w:lastRowLastColumn="0"/>
            <w:tcBorders/>
            <w:shd w:color="auto" w:fill="F8FAFC"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color w:val="1E1B4B"/>
                <w:kern w:val="0"/>
                <w:sz w:val="22"/>
                <w:szCs w:val="22"/>
                <w:lang w:val="en-US" w:eastAsia="en-US" w:bidi="ar-SA"/>
              </w:rPr>
              <w:t>Date de remise</w:t>
            </w:r>
          </w:p>
        </w:tc>
        <w:tc>
          <w:tcPr>
            <w:tcW w:w="635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02/07/2026  10h00</w:t>
            </w:r>
          </w:p>
        </w:tc>
      </w:tr>
      <w:tr>
        <w:trPr>
          <w:cnfStyle w:val="000000100000" w:firstRow="0" w:lastRow="0" w:firstColumn="0" w:lastColumn="0" w:oddVBand="0" w:evenVBand="0" w:oddHBand="1" w:evenHBand="0" w:firstRowFirstColumn="0" w:firstRowLastColumn="0" w:lastRowFirstColumn="0" w:lastRowLastColumn="0"/>
        </w:trPr>
        <w:tc>
          <w:tcPr>
            <w:tcW w:w="2502" w:type="dxa"/>
            <w:cnfStyle w:val="001000000000" w:firstRow="0" w:lastRow="0" w:firstColumn="1" w:lastColumn="0" w:oddVBand="0" w:evenVBand="0" w:oddHBand="0" w:evenHBand="0" w:firstRowFirstColumn="0" w:firstRowLastColumn="0" w:lastRowFirstColumn="0" w:lastRowLastColumn="0"/>
            <w:tcBorders/>
            <w:shd w:color="auto" w:fill="F8FAFC"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color w:val="1E1B4B"/>
                <w:kern w:val="0"/>
                <w:sz w:val="22"/>
                <w:szCs w:val="22"/>
                <w:lang w:val="en-US" w:eastAsia="en-US" w:bidi="ar-SA"/>
              </w:rPr>
              <w:t>Statut</w:t>
            </w:r>
          </w:p>
        </w:tc>
        <w:tc>
          <w:tcPr>
            <w:tcW w:w="635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En revue PO</w:t>
            </w:r>
          </w:p>
        </w:tc>
      </w:tr>
    </w:tbl>
    <w:p>
      <w:pPr>
        <w:pStyle w:val="Normal"/>
        <w:rPr/>
      </w:pPr>
      <w:r>
        <w:rPr/>
      </w:r>
      <w:r>
        <w:br w:type="page"/>
      </w:r>
    </w:p>
    <w:p>
      <w:pPr>
        <w:pStyle w:val="Normal"/>
        <w:spacing w:before="0" w:after="200"/>
        <w:rPr/>
      </w:pPr>
      <w:r>
        <w:rPr>
          <w:b/>
          <w:color w:val="1E1B4B"/>
          <w:sz w:val="36"/>
        </w:rPr>
        <w:t>Table des matières</w:t>
      </w:r>
    </w:p>
    <w:sdt>
      <w:sdtPr>
        <w:docPartObj>
          <w:docPartGallery w:val="Table of Contents"/>
          <w:docPartUnique w:val="true"/>
        </w:docPartObj>
      </w:sdtPr>
      <w:sdtContent>
        <w:p>
          <w:pPr>
            <w:pStyle w:val="TOC1"/>
            <w:tabs>
              <w:tab w:val="clear" w:pos="720"/>
              <w:tab w:val="right" w:pos="8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59_3732404666">
            <w:r>
              <w:rPr>
                <w:webHidden/>
                <w:rStyle w:val="IndexLink"/>
              </w:rPr>
              <w:t>Pourquoi cet artefact ?</w:t>
              <w:tab/>
              <w:t>6</w:t>
            </w:r>
          </w:hyperlink>
        </w:p>
        <w:p>
          <w:pPr>
            <w:pStyle w:val="TOC1"/>
            <w:tabs>
              <w:tab w:val="clear" w:pos="720"/>
              <w:tab w:val="right" w:pos="8639" w:leader="dot"/>
            </w:tabs>
            <w:rPr/>
          </w:pPr>
          <w:hyperlink w:anchor="__RefHeading___Toc1161_3732404666">
            <w:r>
              <w:rPr>
                <w:webHidden/>
                <w:rStyle w:val="IndexLink"/>
              </w:rPr>
              <w:t>1. Vision</w:t>
              <w:tab/>
              <w:t>6</w:t>
            </w:r>
          </w:hyperlink>
        </w:p>
        <w:p>
          <w:pPr>
            <w:pStyle w:val="TOC2"/>
            <w:tabs>
              <w:tab w:val="clear" w:pos="720"/>
              <w:tab w:val="right" w:pos="8639" w:leader="dot"/>
            </w:tabs>
            <w:rPr/>
          </w:pPr>
          <w:hyperlink w:anchor="__RefHeading___Toc1163_3732404666">
            <w:r>
              <w:rPr>
                <w:webHidden/>
                <w:rStyle w:val="IndexLink"/>
              </w:rPr>
              <w:t>1.1. Vision EduTutor IA : version équipe</w:t>
              <w:tab/>
              <w:t>6</w:t>
            </w:r>
          </w:hyperlink>
        </w:p>
        <w:p>
          <w:pPr>
            <w:pStyle w:val="TOC1"/>
            <w:tabs>
              <w:tab w:val="clear" w:pos="720"/>
              <w:tab w:val="right" w:pos="8639" w:leader="dot"/>
            </w:tabs>
            <w:rPr/>
          </w:pPr>
          <w:hyperlink w:anchor="__RefHeading___Toc1165_3732404666">
            <w:r>
              <w:rPr>
                <w:webHidden/>
                <w:rStyle w:val="IndexLink"/>
              </w:rPr>
              <w:t>2. Target Group (cibles utilisateurs)</w:t>
              <w:tab/>
              <w:t>7</w:t>
            </w:r>
          </w:hyperlink>
        </w:p>
        <w:p>
          <w:pPr>
            <w:pStyle w:val="TOC2"/>
            <w:tabs>
              <w:tab w:val="clear" w:pos="720"/>
              <w:tab w:val="right" w:pos="8639" w:leader="dot"/>
            </w:tabs>
            <w:rPr/>
          </w:pPr>
          <w:hyperlink w:anchor="__RefHeading___Toc1167_3732404666">
            <w:r>
              <w:rPr>
                <w:webHidden/>
                <w:rStyle w:val="IndexLink"/>
              </w:rPr>
              <w:t>2.1. Cible primaire, Étudiant·e du supérieur</w:t>
              <w:tab/>
              <w:t>7</w:t>
            </w:r>
          </w:hyperlink>
        </w:p>
        <w:p>
          <w:pPr>
            <w:pStyle w:val="TOC2"/>
            <w:tabs>
              <w:tab w:val="clear" w:pos="720"/>
              <w:tab w:val="right" w:pos="8639" w:leader="dot"/>
            </w:tabs>
            <w:rPr/>
          </w:pPr>
          <w:hyperlink w:anchor="__RefHeading___Toc1169_3732404666">
            <w:r>
              <w:rPr>
                <w:webHidden/>
                <w:rStyle w:val="IndexLink"/>
              </w:rPr>
              <w:t>2.2. Cible secondaire, Enseignant·e (persona émergente J1)</w:t>
              <w:tab/>
              <w:t>7</w:t>
            </w:r>
          </w:hyperlink>
        </w:p>
        <w:p>
          <w:pPr>
            <w:pStyle w:val="TOC2"/>
            <w:tabs>
              <w:tab w:val="clear" w:pos="720"/>
              <w:tab w:val="right" w:pos="8639" w:leader="dot"/>
            </w:tabs>
            <w:rPr/>
          </w:pPr>
          <w:hyperlink w:anchor="__RefHeading___Toc1171_3732404666">
            <w:r>
              <w:rPr>
                <w:webHidden/>
                <w:rStyle w:val="IndexLink"/>
              </w:rPr>
              <w:t>2.3. Cible tertiaire, Établissement public / administration éducative (acheteur institutionnel)</w:t>
              <w:tab/>
              <w:t>7</w:t>
            </w:r>
          </w:hyperlink>
        </w:p>
        <w:p>
          <w:pPr>
            <w:pStyle w:val="TOC2"/>
            <w:tabs>
              <w:tab w:val="clear" w:pos="720"/>
              <w:tab w:val="right" w:pos="8639" w:leader="dot"/>
            </w:tabs>
            <w:rPr/>
          </w:pPr>
          <w:hyperlink w:anchor="__RefHeading___Toc1173_3732404666">
            <w:r>
              <w:rPr>
                <w:webHidden/>
                <w:rStyle w:val="IndexLink"/>
              </w:rPr>
              <w:t>2.4. Cible transversale, Utilisateur·rice international·e anglophone</w:t>
              <w:tab/>
              <w:t>8</w:t>
            </w:r>
          </w:hyperlink>
        </w:p>
        <w:p>
          <w:pPr>
            <w:pStyle w:val="TOC2"/>
            <w:tabs>
              <w:tab w:val="clear" w:pos="720"/>
              <w:tab w:val="right" w:pos="8639" w:leader="dot"/>
            </w:tabs>
            <w:rPr/>
          </w:pPr>
          <w:hyperlink w:anchor="__RefHeading___Toc1175_3732404666">
            <w:r>
              <w:rPr>
                <w:webHidden/>
                <w:rStyle w:val="IndexLink"/>
              </w:rPr>
              <w:t>2.5. Cible transversale, Utilisateur·rice en situation de handicap</w:t>
              <w:tab/>
              <w:t>8</w:t>
            </w:r>
          </w:hyperlink>
        </w:p>
        <w:p>
          <w:pPr>
            <w:pStyle w:val="TOC1"/>
            <w:tabs>
              <w:tab w:val="clear" w:pos="720"/>
              <w:tab w:val="right" w:pos="8639" w:leader="dot"/>
            </w:tabs>
            <w:rPr/>
          </w:pPr>
          <w:hyperlink w:anchor="__RefHeading___Toc1177_3732404666">
            <w:r>
              <w:rPr>
                <w:webHidden/>
                <w:rStyle w:val="IndexLink"/>
              </w:rPr>
              <w:t>3. Needs (besoins résolus)</w:t>
              <w:tab/>
              <w:t>8</w:t>
            </w:r>
          </w:hyperlink>
        </w:p>
        <w:p>
          <w:pPr>
            <w:pStyle w:val="TOC2"/>
            <w:tabs>
              <w:tab w:val="clear" w:pos="720"/>
              <w:tab w:val="right" w:pos="8639" w:leader="dot"/>
            </w:tabs>
            <w:rPr/>
          </w:pPr>
          <w:hyperlink w:anchor="__RefHeading___Toc1179_3732404666">
            <w:r>
              <w:rPr>
                <w:webHidden/>
                <w:rStyle w:val="IndexLink"/>
              </w:rPr>
              <w:t>3.1. Besoins de la cible primaire (Étudiant)</w:t>
              <w:tab/>
              <w:t>8</w:t>
            </w:r>
          </w:hyperlink>
        </w:p>
        <w:p>
          <w:pPr>
            <w:pStyle w:val="TOC2"/>
            <w:tabs>
              <w:tab w:val="clear" w:pos="720"/>
              <w:tab w:val="right" w:pos="8639" w:leader="dot"/>
            </w:tabs>
            <w:rPr/>
          </w:pPr>
          <w:hyperlink w:anchor="__RefHeading___Toc1181_3732404666">
            <w:r>
              <w:rPr>
                <w:webHidden/>
                <w:rStyle w:val="IndexLink"/>
              </w:rPr>
              <w:t>3.2. Besoins de la cible secondaire (Enseignant)</w:t>
              <w:tab/>
              <w:t>9</w:t>
            </w:r>
          </w:hyperlink>
        </w:p>
        <w:p>
          <w:pPr>
            <w:pStyle w:val="TOC2"/>
            <w:tabs>
              <w:tab w:val="clear" w:pos="720"/>
              <w:tab w:val="right" w:pos="8639" w:leader="dot"/>
            </w:tabs>
            <w:rPr/>
          </w:pPr>
          <w:hyperlink w:anchor="__RefHeading___Toc1183_3732404666">
            <w:r>
              <w:rPr>
                <w:webHidden/>
                <w:rStyle w:val="IndexLink"/>
              </w:rPr>
              <w:t>3.3. Besoins de la cible tertiaire (Établissement)</w:t>
              <w:tab/>
              <w:t>9</w:t>
            </w:r>
          </w:hyperlink>
        </w:p>
        <w:p>
          <w:pPr>
            <w:pStyle w:val="TOC2"/>
            <w:tabs>
              <w:tab w:val="clear" w:pos="720"/>
              <w:tab w:val="right" w:pos="8639" w:leader="dot"/>
            </w:tabs>
            <w:rPr/>
          </w:pPr>
          <w:hyperlink w:anchor="__RefHeading___Toc1185_3732404666">
            <w:r>
              <w:rPr>
                <w:webHidden/>
                <w:rStyle w:val="IndexLink"/>
              </w:rPr>
              <w:t>3.4. Besoins de la cible internationale</w:t>
              <w:tab/>
              <w:t>9</w:t>
            </w:r>
          </w:hyperlink>
        </w:p>
        <w:p>
          <w:pPr>
            <w:pStyle w:val="TOC2"/>
            <w:tabs>
              <w:tab w:val="clear" w:pos="720"/>
              <w:tab w:val="right" w:pos="8639" w:leader="dot"/>
            </w:tabs>
            <w:rPr/>
          </w:pPr>
          <w:hyperlink w:anchor="__RefHeading___Toc1187_3732404666">
            <w:r>
              <w:rPr>
                <w:webHidden/>
                <w:rStyle w:val="IndexLink"/>
              </w:rPr>
              <w:t>3.5. Besoins liés à l’accessibilité et au déploiement public</w:t>
              <w:tab/>
              <w:t>9</w:t>
            </w:r>
          </w:hyperlink>
        </w:p>
        <w:p>
          <w:pPr>
            <w:pStyle w:val="TOC1"/>
            <w:tabs>
              <w:tab w:val="clear" w:pos="720"/>
              <w:tab w:val="right" w:pos="8639" w:leader="dot"/>
            </w:tabs>
            <w:rPr/>
          </w:pPr>
          <w:hyperlink w:anchor="__RefHeading___Toc1189_3732404666">
            <w:r>
              <w:rPr>
                <w:webHidden/>
                <w:rStyle w:val="IndexLink"/>
              </w:rPr>
              <w:t>4. Product (le produit en 3-5 traits)</w:t>
              <w:tab/>
              <w:t>9</w:t>
            </w:r>
          </w:hyperlink>
        </w:p>
        <w:p>
          <w:pPr>
            <w:pStyle w:val="TOC2"/>
            <w:tabs>
              <w:tab w:val="clear" w:pos="720"/>
              <w:tab w:val="right" w:pos="8639" w:leader="dot"/>
            </w:tabs>
            <w:rPr/>
          </w:pPr>
          <w:hyperlink w:anchor="__RefHeading___Toc1191_3732404666">
            <w:r>
              <w:rPr>
                <w:webHidden/>
                <w:rStyle w:val="IndexLink"/>
              </w:rPr>
              <w:t>4.1. Caractéristiques signature d'EduTutor IA</w:t>
              <w:tab/>
              <w:t>10</w:t>
            </w:r>
          </w:hyperlink>
        </w:p>
        <w:p>
          <w:pPr>
            <w:pStyle w:val="TOC2"/>
            <w:tabs>
              <w:tab w:val="clear" w:pos="720"/>
              <w:tab w:val="right" w:pos="8639" w:leader="dot"/>
            </w:tabs>
            <w:rPr/>
          </w:pPr>
          <w:hyperlink w:anchor="__RefHeading___Toc1193_3732404666">
            <w:r>
              <w:rPr>
                <w:webHidden/>
                <w:rStyle w:val="IndexLink"/>
              </w:rPr>
              <w:t>4.2. MVP must-have (Release 1) : rappel imposé</w:t>
              <w:tab/>
              <w:t>10</w:t>
            </w:r>
          </w:hyperlink>
        </w:p>
        <w:p>
          <w:pPr>
            <w:pStyle w:val="TOC2"/>
            <w:tabs>
              <w:tab w:val="clear" w:pos="720"/>
              <w:tab w:val="right" w:pos="8639" w:leader="dot"/>
            </w:tabs>
            <w:rPr/>
          </w:pPr>
          <w:hyperlink w:anchor="__RefHeading___Toc1195_3732404666">
            <w:r>
              <w:rPr>
                <w:webHidden/>
                <w:rStyle w:val="IndexLink"/>
              </w:rPr>
              <w:t>4.3. Pistes Release 2 envisagées (2 à 3 à choisir)</w:t>
              <w:tab/>
              <w:t>10</w:t>
            </w:r>
          </w:hyperlink>
        </w:p>
        <w:p>
          <w:pPr>
            <w:pStyle w:val="TOC1"/>
            <w:tabs>
              <w:tab w:val="clear" w:pos="720"/>
              <w:tab w:val="right" w:pos="8639" w:leader="dot"/>
            </w:tabs>
            <w:rPr/>
          </w:pPr>
          <w:hyperlink w:anchor="__RefHeading___Toc1197_3732404666">
            <w:r>
              <w:rPr>
                <w:webHidden/>
                <w:rStyle w:val="IndexLink"/>
              </w:rPr>
              <w:t>5. Business Goals (objectifs de succès)</w:t>
              <w:tab/>
              <w:t>10</w:t>
            </w:r>
          </w:hyperlink>
        </w:p>
        <w:p>
          <w:pPr>
            <w:pStyle w:val="TOC2"/>
            <w:tabs>
              <w:tab w:val="clear" w:pos="720"/>
              <w:tab w:val="right" w:pos="8639" w:leader="dot"/>
            </w:tabs>
            <w:rPr/>
          </w:pPr>
          <w:hyperlink w:anchor="__RefHeading___Toc1199_3732404666">
            <w:r>
              <w:rPr>
                <w:webHidden/>
                <w:rStyle w:val="IndexLink"/>
              </w:rPr>
              <w:t>5.1. Objectifs d'adoption</w:t>
              <w:tab/>
              <w:t>10</w:t>
            </w:r>
          </w:hyperlink>
        </w:p>
        <w:p>
          <w:pPr>
            <w:pStyle w:val="TOC2"/>
            <w:tabs>
              <w:tab w:val="clear" w:pos="720"/>
              <w:tab w:val="right" w:pos="8639" w:leader="dot"/>
            </w:tabs>
            <w:rPr/>
          </w:pPr>
          <w:hyperlink w:anchor="__RefHeading___Toc1201_3732404666">
            <w:r>
              <w:rPr>
                <w:webHidden/>
                <w:rStyle w:val="IndexLink"/>
              </w:rPr>
              <w:t>5.2. Objectifs de satisfaction</w:t>
              <w:tab/>
              <w:t>11</w:t>
            </w:r>
          </w:hyperlink>
        </w:p>
        <w:p>
          <w:pPr>
            <w:pStyle w:val="TOC2"/>
            <w:tabs>
              <w:tab w:val="clear" w:pos="720"/>
              <w:tab w:val="right" w:pos="8639" w:leader="dot"/>
            </w:tabs>
            <w:rPr/>
          </w:pPr>
          <w:hyperlink w:anchor="__RefHeading___Toc1203_3732404666">
            <w:r>
              <w:rPr>
                <w:webHidden/>
                <w:rStyle w:val="IndexLink"/>
              </w:rPr>
              <w:t>5.3. Objectifs business (long terme)</w:t>
              <w:tab/>
              <w:t>11</w:t>
            </w:r>
          </w:hyperlink>
        </w:p>
        <w:p>
          <w:pPr>
            <w:pStyle w:val="TOC1"/>
            <w:tabs>
              <w:tab w:val="clear" w:pos="720"/>
              <w:tab w:val="right" w:pos="8639" w:leader="dot"/>
            </w:tabs>
            <w:rPr/>
          </w:pPr>
          <w:hyperlink w:anchor="__RefHeading___Toc1205_3732404666">
            <w:r>
              <w:rPr>
                <w:webHidden/>
                <w:rStyle w:val="IndexLink"/>
              </w:rPr>
              <w:t>6. Différenciateurs vs concurrents</w:t>
              <w:tab/>
              <w:t>11</w:t>
            </w:r>
          </w:hyperlink>
        </w:p>
        <w:p>
          <w:pPr>
            <w:pStyle w:val="TOC2"/>
            <w:tabs>
              <w:tab w:val="clear" w:pos="720"/>
              <w:tab w:val="right" w:pos="8639" w:leader="dot"/>
            </w:tabs>
            <w:rPr/>
          </w:pPr>
          <w:hyperlink w:anchor="__RefHeading___Toc1207_3732404666">
            <w:r>
              <w:rPr>
                <w:webHidden/>
                <w:rStyle w:val="IndexLink"/>
              </w:rPr>
              <w:t>6.1. Cartographie des concurrents</w:t>
              <w:tab/>
              <w:t>11</w:t>
            </w:r>
          </w:hyperlink>
        </w:p>
        <w:p>
          <w:pPr>
            <w:pStyle w:val="TOC2"/>
            <w:tabs>
              <w:tab w:val="clear" w:pos="720"/>
              <w:tab w:val="right" w:pos="8639" w:leader="dot"/>
            </w:tabs>
            <w:rPr/>
          </w:pPr>
          <w:hyperlink w:anchor="__RefHeading___Toc1209_3732404666">
            <w:r>
              <w:rPr>
                <w:webHidden/>
                <w:rStyle w:val="IndexLink"/>
              </w:rPr>
              <w:t>6.2. Nos 3 différenciateurs argumentés</w:t>
              <w:tab/>
              <w:t>12</w:t>
            </w:r>
          </w:hyperlink>
        </w:p>
        <w:p>
          <w:pPr>
            <w:pStyle w:val="TOC1"/>
            <w:tabs>
              <w:tab w:val="clear" w:pos="720"/>
              <w:tab w:val="right" w:pos="8639" w:leader="dot"/>
            </w:tabs>
            <w:rPr/>
          </w:pPr>
          <w:hyperlink w:anchor="__RefHeading___Toc1211_3732404666">
            <w:r>
              <w:rPr>
                <w:webHidden/>
                <w:rStyle w:val="IndexLink"/>
              </w:rPr>
              <w:t xml:space="preserve">✅ </w:t>
            </w:r>
            <w:r>
              <w:rPr>
                <w:rStyle w:val="IndexLink"/>
              </w:rPr>
              <w:t>Grille d'auto-évaluation</w:t>
              <w:tab/>
              <w:t>13</w:t>
            </w:r>
          </w:hyperlink>
        </w:p>
        <w:p>
          <w:pPr>
            <w:pStyle w:val="TOC1"/>
            <w:tabs>
              <w:tab w:val="clear" w:pos="720"/>
              <w:tab w:val="right" w:pos="8639" w:leader="dot"/>
            </w:tabs>
            <w:rPr/>
          </w:pPr>
          <w:hyperlink w:anchor="__RefHeading___Toc1213_3732404666">
            <w:r>
              <w:rPr>
                <w:webHidden/>
                <w:rStyle w:val="IndexLink"/>
              </w:rPr>
              <w:t xml:space="preserve">📚 </w:t>
            </w:r>
            <w:r>
              <w:rPr>
                <w:rStyle w:val="IndexLink"/>
              </w:rPr>
              <w:t>Références et conventions</w:t>
              <w:tab/>
              <w:t>14</w:t>
            </w:r>
          </w:hyperlink>
        </w:p>
        <w:p>
          <w:pPr>
            <w:pStyle w:val="TOC2"/>
            <w:tabs>
              <w:tab w:val="clear" w:pos="720"/>
              <w:tab w:val="right" w:pos="8639" w:leader="dot"/>
            </w:tabs>
            <w:rPr/>
          </w:pPr>
          <w:hyperlink w:anchor="__RefHeading___Toc1215_3732404666">
            <w:r>
              <w:rPr>
                <w:webHidden/>
                <w:rStyle w:val="IndexLink"/>
              </w:rPr>
              <w:t>Références incontournables</w:t>
              <w:tab/>
              <w:t>14</w:t>
            </w:r>
          </w:hyperlink>
        </w:p>
        <w:p>
          <w:pPr>
            <w:pStyle w:val="TOC2"/>
            <w:tabs>
              <w:tab w:val="clear" w:pos="720"/>
              <w:tab w:val="right" w:pos="8639" w:leader="dot"/>
            </w:tabs>
            <w:rPr/>
          </w:pPr>
          <w:hyperlink w:anchor="__RefHeading___Toc1217_3732404666">
            <w:r>
              <w:rPr>
                <w:webHidden/>
                <w:rStyle w:val="IndexLink"/>
              </w:rPr>
              <w:t>Références spécifiques à ce document</w:t>
              <w:tab/>
              <w:t>14</w:t>
            </w:r>
          </w:hyperlink>
        </w:p>
        <w:p>
          <w:pPr>
            <w:pStyle w:val="TOC2"/>
            <w:tabs>
              <w:tab w:val="clear" w:pos="720"/>
              <w:tab w:val="right" w:pos="8639" w:leader="dot"/>
            </w:tabs>
            <w:rPr/>
          </w:pPr>
          <w:hyperlink w:anchor="__RefHeading___Toc1219_3732404666">
            <w:r>
              <w:rPr>
                <w:webHidden/>
                <w:rStyle w:val="IndexLink"/>
              </w:rPr>
              <w:t>Convention de versionnement</w:t>
              <w:tab/>
              <w:t>14</w:t>
            </w:r>
          </w:hyperlink>
          <w:r>
            <w:rPr>
              <w:rStyle w:val="IndexLink"/>
            </w:rPr>
            <w:fldChar w:fldCharType="end"/>
          </w:r>
        </w:p>
      </w:sdtContent>
    </w:sdt>
    <w:p>
      <w:pPr>
        <w:pStyle w:val="Normal"/>
        <w:spacing w:before="283" w:after="200"/>
        <w:rPr/>
      </w:pPr>
      <w:r>
        <w:rPr/>
      </w:r>
    </w:p>
    <w:p>
      <w:pPr>
        <w:pStyle w:val="Normal"/>
        <w:rPr/>
      </w:pPr>
      <w:r>
        <w:rPr/>
      </w:r>
      <w:r>
        <w:br w:type="page"/>
      </w:r>
    </w:p>
    <w:p>
      <w:pPr>
        <w:pStyle w:val="Normal"/>
        <w:spacing w:before="0" w:after="200"/>
        <w:rPr/>
      </w:pPr>
      <w:r>
        <w:rPr>
          <w:b/>
          <w:color w:val="F59E0B"/>
          <w:sz w:val="18"/>
        </w:rPr>
        <w:t>PRÉAMBULE</w:t>
      </w:r>
    </w:p>
    <w:p>
      <w:pPr>
        <w:pStyle w:val="Heading1"/>
        <w:rPr/>
      </w:pPr>
      <w:bookmarkStart w:id="0" w:name="__RefHeading___Toc1159_3732404666"/>
      <w:bookmarkStart w:id="1" w:name="_Toc233628907"/>
      <w:bookmarkEnd w:id="0"/>
      <w:r>
        <w:rPr>
          <w:color w:val="1E1B4B"/>
        </w:rPr>
        <w:t>Pourquoi cet artefact ?</w:t>
      </w:r>
      <w:bookmarkEnd w:id="1"/>
    </w:p>
    <w:p>
      <w:pPr>
        <w:pStyle w:val="Normal"/>
        <w:rPr/>
      </w:pPr>
      <w:r>
        <w:rPr/>
        <w:t>Le Product Vision Board, formalisé par Roman Pichler, condense en une seule page la direction stratégique du produit. Il répond à cinq questions : quelle est l'ambition long terme (Vision) ? pour qui (Target Group) ? pour quels besoins (Needs) ? avec quel produit (Product) ? et comment saurons-nous que c'est un succès (Business Goals) ?</w:t>
      </w:r>
    </w:p>
    <w:p>
      <w:pPr>
        <w:pStyle w:val="Normal"/>
        <w:rPr/>
      </w:pPr>
      <w:r>
        <w:rPr/>
        <w:t>Pour le projet EduTutor IA, vous compléterez les amorces fournies par les indications spécifiques à votre équipe. Une section supplémentaire, « Différenciateurs vs concurrents », vous prépare directement à la soutenance, en mettant en miroir Wilgo, Leo, Quizlet AI et Khanmigo avec les angles propres d'EduTutor IA.</w:t>
      </w:r>
    </w:p>
    <w:p>
      <w:pPr>
        <w:pStyle w:val="Normal"/>
        <w:ind w:left="283" w:right="283"/>
        <w:rPr/>
      </w:pPr>
      <w:r>
        <w:rPr>
          <w:b/>
          <w:color w:val="F59E0B"/>
        </w:rPr>
        <w:t xml:space="preserve">💡 </w:t>
      </w:r>
      <w:r>
        <w:rPr>
          <w:b/>
          <w:color w:val="F59E0B"/>
        </w:rPr>
        <w:t xml:space="preserve">Mode d'emploi </w:t>
      </w:r>
      <w:r>
        <w:rPr>
          <w:i/>
        </w:rPr>
        <w:t>Travaillez en binôme minimum. La Vision Board n'est jamais validée à 18h00 le jour 1, elle évolue au fil de la semaine. Recommitez à chaque révision majeure (perturbation J1, J3, J4) avec un nouveau numéro de version.</w:t>
      </w:r>
    </w:p>
    <w:p>
      <w:pPr>
        <w:pStyle w:val="Normal"/>
        <w:spacing w:before="120" w:after="160"/>
        <w:rPr/>
      </w:pPr>
      <w:r>
        <w:rPr>
          <w:b/>
          <w:color w:val="1F4E79"/>
        </w:rPr>
        <w:t>ÉVOLUTION v2.0 — Le sponsor vise désormais une adoption par des acteurs publics et une ouverture internationale. La vision intègre donc trois axes structurants : accessibilité (RGAA), internationalisation (FR / EN) et scalabilité.</w:t>
      </w:r>
    </w:p>
    <w:p>
      <w:pPr>
        <w:pStyle w:val="Heading1"/>
        <w:rPr/>
      </w:pPr>
      <w:bookmarkStart w:id="2" w:name="__RefHeading___Toc1161_3732404666"/>
      <w:bookmarkStart w:id="3" w:name="_Toc233628908"/>
      <w:bookmarkEnd w:id="2"/>
      <w:r>
        <w:rPr>
          <w:color w:val="1E1B4B"/>
        </w:rPr>
        <w:t>1. Vision</w:t>
      </w:r>
      <w:bookmarkEnd w:id="3"/>
    </w:p>
    <w:p>
      <w:pPr>
        <w:pStyle w:val="Normal"/>
        <w:spacing w:before="57" w:after="200"/>
        <w:ind w:left="227" w:right="227"/>
        <w:rPr/>
      </w:pPr>
      <w:r>
        <w:rPr>
          <w:b/>
          <w:color w:val="F59E0B"/>
          <w:sz w:val="18"/>
        </w:rPr>
        <w:t xml:space="preserve">💡 </w:t>
      </w:r>
      <w:r>
        <w:rPr>
          <w:b/>
          <w:color w:val="F59E0B"/>
          <w:sz w:val="18"/>
        </w:rPr>
        <w:t xml:space="preserve">Objectif. </w:t>
      </w:r>
      <w:r>
        <w:rPr>
          <w:i/>
          <w:color w:val="475569"/>
          <w:sz w:val="18"/>
        </w:rPr>
        <w:t>Décrire l'impact long terme du produit en 1 à 2 phrases. La Vision survit aux releases.</w:t>
      </w:r>
    </w:p>
    <w:p>
      <w:pPr>
        <w:pStyle w:val="Normal"/>
        <w:ind w:left="227" w:right="227"/>
        <w:rPr/>
      </w:pPr>
      <w:r>
        <w:rPr>
          <w:b/>
          <w:color w:val="F59E0B"/>
          <w:sz w:val="18"/>
        </w:rPr>
        <w:t xml:space="preserve">📐 </w:t>
      </w:r>
      <w:r>
        <w:rPr>
          <w:b/>
          <w:color w:val="F59E0B"/>
          <w:sz w:val="18"/>
        </w:rPr>
        <w:t xml:space="preserve">Format attendu. </w:t>
      </w:r>
      <w:r>
        <w:rPr>
          <w:i/>
          <w:color w:val="475569"/>
          <w:sz w:val="18"/>
        </w:rPr>
        <w:t>Une seule phrase mémorisable, orientée bénéfice utilisateur, pas fonctionnalité. Aucun jargon technique.</w:t>
      </w:r>
    </w:p>
    <w:p>
      <w:pPr>
        <w:pStyle w:val="Normal"/>
        <w:ind w:left="227" w:right="227"/>
        <w:rPr/>
      </w:pPr>
      <w:r>
        <w:rPr>
          <w:b/>
          <w:color w:val="16A34A"/>
          <w:sz w:val="18"/>
        </w:rPr>
        <w:t xml:space="preserve">✅ </w:t>
      </w:r>
      <w:r>
        <w:rPr>
          <w:b/>
          <w:color w:val="16A34A"/>
          <w:sz w:val="18"/>
        </w:rPr>
        <w:t xml:space="preserve">Bon exemple. </w:t>
      </w:r>
      <w:r>
        <w:rPr>
          <w:i/>
          <w:color w:val="475569"/>
          <w:sz w:val="18"/>
        </w:rPr>
        <w:t>« Permettre à chaque étudiant·e d'atteindre l'autonomie de révision en transformant ses cours en quiz personnalisés en moins de 5 minutes, tout en garantissant la souveraineté des données scolaires. »</w:t>
      </w:r>
    </w:p>
    <w:p>
      <w:pPr>
        <w:pStyle w:val="Normal"/>
        <w:ind w:left="227" w:right="227"/>
        <w:rPr/>
      </w:pPr>
      <w:r>
        <w:rPr>
          <w:b/>
          <w:color w:val="DC2626"/>
          <w:sz w:val="18"/>
        </w:rPr>
        <w:t xml:space="preserve">❌ </w:t>
      </w:r>
      <w:r>
        <w:rPr>
          <w:b/>
          <w:color w:val="DC2626"/>
          <w:sz w:val="18"/>
        </w:rPr>
        <w:t xml:space="preserve">À éviter. </w:t>
      </w:r>
      <w:r>
        <w:rPr>
          <w:i/>
          <w:color w:val="475569"/>
          <w:sz w:val="18"/>
        </w:rPr>
        <w:t>« Une plateforme web Django avec génération de QCM via LLM local Ollama, ancrée RAG. » (descriptif technique, pas une vision)</w:t>
      </w:r>
    </w:p>
    <w:p>
      <w:pPr>
        <w:pStyle w:val="Heading2"/>
        <w:rPr/>
      </w:pPr>
      <w:bookmarkStart w:id="4" w:name="__RefHeading___Toc1163_3732404666"/>
      <w:bookmarkStart w:id="5" w:name="_Toc233628909"/>
      <w:bookmarkEnd w:id="4"/>
      <w:r>
        <w:rPr>
          <w:color w:val="1E1B4B"/>
        </w:rPr>
        <w:t>1.1. Vision EduTutor IA : version équipe</w:t>
      </w:r>
      <w:bookmarkEnd w:id="5"/>
    </w:p>
    <w:p>
      <w:pPr>
        <w:pStyle w:val="Normal"/>
        <w:rPr/>
      </w:pPr>
      <w:r>
        <w:rPr>
          <w:b/>
        </w:rPr>
        <w:t>Amorce à affiner : Permettre à chaque étudiant·e du supérieur de transformer en moins de 5 minutes n'importe quel cours en outil de révision personnalisé, et à chaque enseignant·e de gagner 3 heures de préparation par semaine, tout en garantissant souveraineté des données et fiabilité pédagogique.</w:t>
      </w:r>
    </w:p>
    <w:p>
      <w:pPr>
        <w:pStyle w:val="Normal"/>
        <w:rPr/>
      </w:pPr>
      <w:r>
        <w:rPr/>
        <w:t xml:space="preserve">→ </w:t>
      </w:r>
      <w:r>
        <w:rPr/>
        <w:t>Votre vision finalisée :</w:t>
      </w:r>
    </w:p>
    <w:p>
      <w:pPr>
        <w:pStyle w:val="Normal"/>
        <w:rPr/>
      </w:pPr>
      <w:r>
        <w:rPr/>
        <w:t>Permettre aux étudiants et aux enseignants, en France comme à l’international, d’utiliser une plateforme de révision inclusive, bilingue et souveraine, capable d’être déployée à grande échelle par les établissements publics sans compromettre la qualité pédagogique ni la protection des données.</w:t>
      </w:r>
    </w:p>
    <w:p>
      <w:pPr>
        <w:pStyle w:val="Heading1"/>
        <w:rPr/>
      </w:pPr>
      <w:bookmarkStart w:id="6" w:name="__RefHeading___Toc1165_3732404666"/>
      <w:bookmarkStart w:id="7" w:name="_Toc233628910"/>
      <w:bookmarkEnd w:id="6"/>
      <w:r>
        <w:rPr>
          <w:color w:val="1E1B4B"/>
        </w:rPr>
        <w:t>2. Target Group (cibles utilisateurs)</w:t>
      </w:r>
      <w:bookmarkEnd w:id="7"/>
    </w:p>
    <w:p>
      <w:pPr>
        <w:pStyle w:val="Normal"/>
        <w:spacing w:before="57" w:after="200"/>
        <w:ind w:left="227" w:right="227"/>
        <w:rPr/>
      </w:pPr>
      <w:r>
        <w:rPr>
          <w:b/>
          <w:color w:val="F59E0B"/>
          <w:sz w:val="18"/>
        </w:rPr>
        <w:t xml:space="preserve">💡 </w:t>
      </w:r>
      <w:r>
        <w:rPr>
          <w:b/>
          <w:color w:val="F59E0B"/>
          <w:sz w:val="18"/>
        </w:rPr>
        <w:t xml:space="preserve">Objectif. </w:t>
      </w:r>
      <w:r>
        <w:rPr>
          <w:i/>
          <w:color w:val="475569"/>
          <w:sz w:val="18"/>
        </w:rPr>
        <w:t>Décrire qui utilise réellement le produit. Un produit qui parle « à tout le monde » ne parle à personne.</w:t>
      </w:r>
    </w:p>
    <w:p>
      <w:pPr>
        <w:pStyle w:val="Normal"/>
        <w:ind w:left="227" w:right="227"/>
        <w:rPr/>
      </w:pPr>
      <w:r>
        <w:rPr>
          <w:b/>
          <w:color w:val="F59E0B"/>
          <w:sz w:val="18"/>
        </w:rPr>
        <w:t xml:space="preserve">📐 </w:t>
      </w:r>
      <w:r>
        <w:rPr>
          <w:b/>
          <w:color w:val="F59E0B"/>
          <w:sz w:val="18"/>
        </w:rPr>
        <w:t xml:space="preserve">Format attendu. </w:t>
      </w:r>
      <w:r>
        <w:rPr>
          <w:i/>
          <w:color w:val="475569"/>
          <w:sz w:val="18"/>
        </w:rPr>
        <w:t>3 niveaux de cibles : primaire (acteur principal), secondaire (acteur émergent), tertiaire (acheteur B2B éventuel). Chacune avec profil, volume estimé et critère de décision principal.</w:t>
      </w:r>
    </w:p>
    <w:p>
      <w:pPr>
        <w:pStyle w:val="Normal"/>
        <w:ind w:left="227" w:right="227"/>
        <w:rPr/>
      </w:pPr>
      <w:r>
        <w:rPr>
          <w:b/>
          <w:color w:val="16A34A"/>
          <w:sz w:val="18"/>
        </w:rPr>
        <w:t xml:space="preserve">✅ </w:t>
      </w:r>
      <w:r>
        <w:rPr>
          <w:b/>
          <w:color w:val="16A34A"/>
          <w:sz w:val="18"/>
        </w:rPr>
        <w:t xml:space="preserve">Bon exemple. </w:t>
      </w:r>
      <w:r>
        <w:rPr>
          <w:i/>
          <w:color w:val="475569"/>
          <w:sz w:val="18"/>
        </w:rPr>
        <w:t>« Étudiant·e de licence universitaire, 18-22 ans, smartphone Android personnel, ~5h de révision/semaine en autonomie. Volume FR : 1,7M. »</w:t>
      </w:r>
    </w:p>
    <w:p>
      <w:pPr>
        <w:pStyle w:val="Normal"/>
        <w:ind w:left="227" w:right="227"/>
        <w:rPr/>
      </w:pPr>
      <w:r>
        <w:rPr>
          <w:b/>
          <w:color w:val="DC2626"/>
          <w:sz w:val="18"/>
        </w:rPr>
        <w:t xml:space="preserve">❌ </w:t>
      </w:r>
      <w:r>
        <w:rPr>
          <w:b/>
          <w:color w:val="DC2626"/>
          <w:sz w:val="18"/>
        </w:rPr>
        <w:t xml:space="preserve">À éviter. </w:t>
      </w:r>
      <w:r>
        <w:rPr>
          <w:i/>
          <w:color w:val="475569"/>
          <w:sz w:val="18"/>
        </w:rPr>
        <w:t>« Étudiants. » (trop générique, intestable)</w:t>
      </w:r>
    </w:p>
    <w:p>
      <w:pPr>
        <w:pStyle w:val="Heading2"/>
        <w:rPr/>
      </w:pPr>
      <w:bookmarkStart w:id="8" w:name="__RefHeading___Toc1167_3732404666"/>
      <w:bookmarkStart w:id="9" w:name="_Toc233628911"/>
      <w:bookmarkEnd w:id="8"/>
      <w:r>
        <w:rPr>
          <w:color w:val="1E1B4B"/>
        </w:rPr>
        <w:t>2.1. Cible primaire, Étudiant·e du supérieur</w:t>
      </w:r>
      <w:bookmarkEnd w:id="9"/>
    </w:p>
    <w:tbl>
      <w:tblPr>
        <w:tblStyle w:val="Grilleclaire-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cnfStyle w:val="100000000000" w:firstRow="1" w:lastRow="0" w:firstColumn="0" w:lastColumn="0" w:oddVBand="0" w:evenVBand="0" w:oddHBand="0" w:evenHBand="0"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bottom w:val="single" w:sz="18" w:space="0" w:color="4F81BD"/>
            </w:tcBorders>
            <w:shd w:color="auto" w:fill="F8FAFC"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Profil</w:t>
            </w:r>
          </w:p>
        </w:tc>
        <w:tc>
          <w:tcPr>
            <w:tcW w:w="4319" w:type="dxa"/>
            <w:tcBorders>
              <w:bottom w:val="single" w:sz="18" w:space="0" w:color="4F81BD"/>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18-25 ans · L1-M2 (Bac+1 à Bac+5) · usage smartphone et laptop quotidien</w:t>
            </w:r>
          </w:p>
        </w:tc>
      </w:tr>
      <w:tr>
        <w:trPr>
          <w:cnfStyle w:val="000000100000" w:firstRow="0" w:lastRow="0" w:firstColumn="0" w:lastColumn="0" w:oddVBand="0" w:evenVBand="0" w:oddHBand="1" w:evenHBand="0"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shd w:color="auto" w:fill="F8FAFC"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Volume FR</w:t>
            </w:r>
          </w:p>
        </w:tc>
        <w:tc>
          <w:tcPr>
            <w:tcW w:w="4319"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~2,7M d'étudiants dans le supérieur (chiffres MESR 2024)</w:t>
            </w:r>
          </w:p>
        </w:tc>
      </w:tr>
      <w:tr>
        <w:trPr>
          <w:cnfStyle w:val="000000010000" w:firstRow="0" w:lastRow="0" w:firstColumn="0" w:lastColumn="0" w:oddVBand="0" w:evenVBand="0" w:oddHBand="0" w:evenHBand="1"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shd w:color="auto" w:fill="F8FAFC"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Pain point</w:t>
            </w:r>
          </w:p>
        </w:tc>
        <w:tc>
          <w:tcPr>
            <w:tcW w:w="4319"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5h à 15h/semaine consacrées à chercher ou créer des supports de révision</w:t>
            </w:r>
          </w:p>
        </w:tc>
      </w:tr>
      <w:tr>
        <w:trPr>
          <w:cnfStyle w:val="000000100000" w:firstRow="0" w:lastRow="0" w:firstColumn="0" w:lastColumn="0" w:oddVBand="0" w:evenVBand="0" w:oddHBand="1" w:evenHBand="0"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shd w:color="auto" w:fill="F8FAFC"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Critère clé</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Faible coût + données hébergées en UE + parcours utilisable au clavier et disponible en français / anglais</w:t>
            </w:r>
          </w:p>
        </w:tc>
      </w:tr>
    </w:tbl>
    <w:p>
      <w:pPr>
        <w:pStyle w:val="Heading2"/>
        <w:rPr/>
      </w:pPr>
      <w:bookmarkStart w:id="10" w:name="__RefHeading___Toc1169_3732404666"/>
      <w:bookmarkStart w:id="11" w:name="_Toc233628912"/>
      <w:bookmarkEnd w:id="10"/>
      <w:r>
        <w:rPr>
          <w:color w:val="1E1B4B"/>
        </w:rPr>
        <w:t>2.2. Cible secondaire, Enseignant·e (persona émergente J1)</w:t>
      </w:r>
      <w:bookmarkEnd w:id="11"/>
    </w:p>
    <w:tbl>
      <w:tblPr>
        <w:tblStyle w:val="Grilleclaire-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cnfStyle w:val="100000000000" w:firstRow="1" w:lastRow="0" w:firstColumn="0" w:lastColumn="0" w:oddVBand="0" w:evenVBand="0" w:oddHBand="0" w:evenHBand="0"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bottom w:val="single" w:sz="18" w:space="0" w:color="4F81BD"/>
            </w:tcBorders>
            <w:shd w:color="auto" w:fill="F8FAFC"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Profil</w:t>
            </w:r>
          </w:p>
        </w:tc>
        <w:tc>
          <w:tcPr>
            <w:tcW w:w="4319" w:type="dxa"/>
            <w:tcBorders>
              <w:bottom w:val="single" w:sz="18" w:space="0" w:color="4F81BD"/>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35-55 ans · lycée privé sous contrat / BTS / supérieur · maîtrise modérée du numérique</w:t>
            </w:r>
          </w:p>
        </w:tc>
      </w:tr>
      <w:tr>
        <w:trPr>
          <w:cnfStyle w:val="000000100000" w:firstRow="0" w:lastRow="0" w:firstColumn="0" w:lastColumn="0" w:oddVBand="0" w:evenVBand="0" w:oddHBand="1" w:evenHBand="0"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shd w:color="auto" w:fill="F8FAFC"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Volume FR</w:t>
            </w:r>
          </w:p>
        </w:tc>
        <w:tc>
          <w:tcPr>
            <w:tcW w:w="4319"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~770 000 enseignants tous niveaux (Éducation nationale 2024)</w:t>
            </w:r>
          </w:p>
        </w:tc>
      </w:tr>
      <w:tr>
        <w:trPr>
          <w:cnfStyle w:val="000000010000" w:firstRow="0" w:lastRow="0" w:firstColumn="0" w:lastColumn="0" w:oddVBand="0" w:evenVBand="0" w:oddHBand="0" w:evenHBand="1"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shd w:color="auto" w:fill="F8FAFC"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Pain point</w:t>
            </w:r>
          </w:p>
        </w:tc>
        <w:tc>
          <w:tcPr>
            <w:tcW w:w="4319"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~12h/mois en correction et préparation de supports d'évaluation variés</w:t>
            </w:r>
          </w:p>
        </w:tc>
      </w:tr>
      <w:tr>
        <w:trPr>
          <w:cnfStyle w:val="000000100000" w:firstRow="0" w:lastRow="0" w:firstColumn="0" w:lastColumn="0" w:oddVBand="0" w:evenVBand="0" w:oddHBand="1" w:evenHBand="0"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shd w:color="auto" w:fill="F8FAFC"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Critère clé</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Interface simple, accessible et bilingue + suivi pédagogique + conformité RGPD / exigences du secteur public</w:t>
            </w:r>
          </w:p>
        </w:tc>
      </w:tr>
    </w:tbl>
    <w:p>
      <w:pPr>
        <w:pStyle w:val="Heading2"/>
        <w:rPr/>
      </w:pPr>
      <w:bookmarkStart w:id="12" w:name="__RefHeading___Toc1171_3732404666"/>
      <w:bookmarkStart w:id="13" w:name="_Toc233628913"/>
      <w:bookmarkEnd w:id="12"/>
      <w:r>
        <w:rPr>
          <w:color w:val="1E1B4B"/>
        </w:rPr>
        <w:t>2.3. Cible tertiaire, Établissement public / administration éducative (acheteur institutionnel)</w:t>
      </w:r>
      <w:bookmarkEnd w:id="13"/>
    </w:p>
    <w:tbl>
      <w:tblPr>
        <w:tblStyle w:val="Grilleclaire-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cnfStyle w:val="100000000000" w:firstRow="1" w:lastRow="0" w:firstColumn="0" w:lastColumn="0" w:oddVBand="0" w:evenVBand="0" w:oddHBand="0" w:evenHBand="0"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bottom w:val="single" w:sz="18" w:space="0" w:color="4F81BD"/>
            </w:tcBorders>
            <w:shd w:color="auto" w:fill="F8FAFC"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Profil</w:t>
            </w:r>
          </w:p>
        </w:tc>
        <w:tc>
          <w:tcPr>
            <w:tcW w:w="4319"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Direction d’établissement public · ministère / académie · DSI / DPO · responsable du numérique éducatif</w:t>
            </w:r>
          </w:p>
        </w:tc>
      </w:tr>
      <w:tr>
        <w:trPr>
          <w:cnfStyle w:val="000000100000" w:firstRow="0" w:lastRow="0" w:firstColumn="0" w:lastColumn="0" w:oddVBand="0" w:evenVBand="0" w:oddHBand="1" w:evenHBand="0"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shd w:color="auto" w:fill="F8FAFC"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Volume / portée</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Déploiement potentiel multi-établissements, régional ou national, avec appels d’offres publics</w:t>
            </w:r>
          </w:p>
        </w:tc>
      </w:tr>
      <w:tr>
        <w:trPr>
          <w:cnfStyle w:val="000000010000" w:firstRow="0" w:lastRow="0" w:firstColumn="0" w:lastColumn="0" w:oddVBand="0" w:evenVBand="0" w:oddHBand="0" w:evenHBand="1"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shd w:color="auto" w:fill="F8FAFC"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Pain point</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Obligations d’accessibilité, souveraineté, sécurité, interopérabilité et continuité de service à grande échelle</w:t>
            </w:r>
          </w:p>
        </w:tc>
      </w:tr>
      <w:tr>
        <w:trPr>
          <w:cnfStyle w:val="000000100000" w:firstRow="0" w:lastRow="0" w:firstColumn="0" w:lastColumn="0" w:oddVBand="0" w:evenVBand="0" w:oddHBand="1" w:evenHBand="0"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shd w:color="auto" w:fill="F8FAFC"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Critère clé</w:t>
            </w:r>
          </w:p>
        </w:tc>
        <w:tc>
          <w:tcPr>
            <w:tcW w:w="4319"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Conformité RGPD et RGAA, hébergement maîtrisé, supervision, performance sous charge et coûts prévisibles</w:t>
            </w:r>
          </w:p>
        </w:tc>
      </w:tr>
    </w:tbl>
    <w:p>
      <w:pPr>
        <w:pStyle w:val="Heading2"/>
        <w:rPr/>
      </w:pPr>
      <w:bookmarkStart w:id="14" w:name="__RefHeading___Toc1173_3732404666"/>
      <w:bookmarkEnd w:id="14"/>
      <w:r>
        <w:rPr/>
        <w:t>2.4. Cible transversale, Utilisateur·rice international·e anglophone</w:t>
      </w:r>
    </w:p>
    <w:tbl>
      <w:tblPr>
        <w:tblStyle w:val="Grilleclaire-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cnfStyle w:val="100000000000" w:firstRow="1" w:lastRow="0" w:firstColumn="0" w:lastColumn="0" w:oddVBand="0" w:evenVBand="0" w:oddHBand="0" w:evenHBand="0"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bottom w:val="single" w:sz="18" w:space="0" w:color="4F81BD"/>
            </w:tcBorders>
            <w:shd w:color="auto" w:fill="F8FAFC" w:val="clear"/>
            <w:vAlign w:val="cente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Profil</w:t>
            </w:r>
          </w:p>
        </w:tc>
        <w:tc>
          <w:tcPr>
            <w:tcW w:w="4319" w:type="dxa"/>
            <w:tcBorders>
              <w:bottom w:val="single" w:sz="18" w:space="0" w:color="4F81BD"/>
            </w:tcBorders>
            <w:vAlign w:val="cente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Étudiant·e ou enseignant·e non francophone · usage quotidien du web · besoin d’une interface en anglais</w:t>
            </w:r>
          </w:p>
        </w:tc>
      </w:tr>
      <w:tr>
        <w:trPr>
          <w:cnfStyle w:val="000000100000" w:firstRow="0" w:lastRow="0" w:firstColumn="0" w:lastColumn="0" w:oddVBand="0" w:evenVBand="0" w:oddHBand="1" w:evenHBand="0"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shd w:color="auto" w:fill="F8FAFC" w:val="clear"/>
            <w:vAlign w:val="cente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Volume / portée</w:t>
            </w:r>
          </w:p>
        </w:tc>
        <w:tc>
          <w:tcPr>
            <w:tcW w:w="4319" w:type="dxa"/>
            <w:tcBorders/>
            <w:shd w:color="auto" w:fill="D3DFEE" w:themeFill="accent1" w:themeFillTint="3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Phase pilote auprès d’établissements partenaires et d’étudiants internationaux en Europe et en Afrique du Nord</w:t>
            </w:r>
          </w:p>
        </w:tc>
      </w:tr>
      <w:tr>
        <w:trPr>
          <w:cnfStyle w:val="000000010000" w:firstRow="0" w:lastRow="0" w:firstColumn="0" w:lastColumn="0" w:oddVBand="0" w:evenVBand="0" w:oddHBand="0" w:evenHBand="1"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shd w:color="auto" w:fill="F8FAFC" w:val="clear"/>
            <w:vAlign w:val="cente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Pain point</w:t>
            </w:r>
          </w:p>
        </w:tc>
        <w:tc>
          <w:tcPr>
            <w:tcW w:w="4319"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Interfaces uniquement en français, messages d’erreur non traduits et quiz incapables de respecter la langue du cours</w:t>
            </w:r>
          </w:p>
        </w:tc>
      </w:tr>
      <w:tr>
        <w:trPr>
          <w:cnfStyle w:val="000000100000" w:firstRow="0" w:lastRow="0" w:firstColumn="0" w:lastColumn="0" w:oddVBand="0" w:evenVBand="0" w:oddHBand="1" w:evenHBand="0"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shd w:color="auto" w:fill="F8FAFC" w:val="clear"/>
            <w:vAlign w:val="cente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Critère clé</w:t>
            </w:r>
          </w:p>
        </w:tc>
        <w:tc>
          <w:tcPr>
            <w:tcW w:w="4319" w:type="dxa"/>
            <w:tcBorders/>
            <w:shd w:color="auto" w:fill="D3DFEE" w:themeFill="accent1" w:themeFillTint="3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Choix FR / EN cohérent sur l’ensemble du parcours et génération de quiz dans la langue du document fourni</w:t>
            </w:r>
          </w:p>
        </w:tc>
      </w:tr>
    </w:tbl>
    <w:p>
      <w:pPr>
        <w:pStyle w:val="Heading2"/>
        <w:rPr/>
      </w:pPr>
      <w:bookmarkStart w:id="15" w:name="__RefHeading___Toc1175_3732404666"/>
      <w:bookmarkEnd w:id="15"/>
      <w:r>
        <w:rPr/>
        <w:t>2.5. Cible transversale, Utilisateur·rice en situation de handicap</w:t>
      </w:r>
    </w:p>
    <w:tbl>
      <w:tblPr>
        <w:tblStyle w:val="Grilleclaire-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cnfStyle w:val="100000000000" w:firstRow="1" w:lastRow="0" w:firstColumn="0" w:lastColumn="0" w:oddVBand="0" w:evenVBand="0" w:oddHBand="0" w:evenHBand="0"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bottom w:val="single" w:sz="18" w:space="0" w:color="4F81BD"/>
            </w:tcBorders>
            <w:shd w:color="auto" w:fill="F8FAFC" w:val="clear"/>
            <w:vAlign w:val="cente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Profil</w:t>
            </w:r>
          </w:p>
        </w:tc>
        <w:tc>
          <w:tcPr>
            <w:tcW w:w="4319" w:type="dxa"/>
            <w:tcBorders>
              <w:bottom w:val="single" w:sz="18" w:space="0" w:color="4F81BD"/>
            </w:tcBorders>
            <w:vAlign w:val="cente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Étudiant·e ou enseignant·e utilisant un lecteur d’écran, une navigation clavier ou un affichage agrandi</w:t>
            </w:r>
          </w:p>
        </w:tc>
      </w:tr>
      <w:tr>
        <w:trPr>
          <w:cnfStyle w:val="000000100000" w:firstRow="0" w:lastRow="0" w:firstColumn="0" w:lastColumn="0" w:oddVBand="0" w:evenVBand="0" w:oddHBand="1" w:evenHBand="0"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shd w:color="auto" w:fill="F8FAFC" w:val="clear"/>
            <w:vAlign w:val="cente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Volume / portée</w:t>
            </w:r>
          </w:p>
        </w:tc>
        <w:tc>
          <w:tcPr>
            <w:tcW w:w="4319" w:type="dxa"/>
            <w:tcBorders/>
            <w:shd w:color="auto" w:fill="D3DFEE" w:themeFill="accent1" w:themeFillTint="3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Cible transversale présente dans tous les établissements ; exigence incontournable pour un service public numérique</w:t>
            </w:r>
          </w:p>
        </w:tc>
      </w:tr>
      <w:tr>
        <w:trPr>
          <w:cnfStyle w:val="000000010000" w:firstRow="0" w:lastRow="0" w:firstColumn="0" w:lastColumn="0" w:oddVBand="0" w:evenVBand="0" w:oddHBand="0" w:evenHBand="1"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shd w:color="auto" w:fill="F8FAFC" w:val="clear"/>
            <w:vAlign w:val="cente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Pain point</w:t>
            </w:r>
          </w:p>
        </w:tc>
        <w:tc>
          <w:tcPr>
            <w:tcW w:w="4319"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Boutons non nommés, ordre de tabulation incohérent, contrastes insuffisants et informations transmises uniquement par la couleur</w:t>
            </w:r>
          </w:p>
        </w:tc>
      </w:tr>
      <w:tr>
        <w:trPr>
          <w:cnfStyle w:val="000000100000" w:firstRow="0" w:lastRow="0" w:firstColumn="0" w:lastColumn="0" w:oddVBand="0" w:evenVBand="0" w:oddHBand="1" w:evenHBand="0" w:firstRowFirstColumn="0" w:firstRowLastColumn="0" w:lastRowFirstColumn="0" w:lastRowLastColumn="0"/>
        </w:trPr>
        <w:tc>
          <w:tcPr>
            <w:tcW w:w="4320" w:type="dxa"/>
            <w:cnfStyle w:val="001000000000" w:firstRow="0" w:lastRow="0" w:firstColumn="1" w:lastColumn="0" w:oddVBand="0" w:evenVBand="0" w:oddHBand="0" w:evenHBand="0" w:firstRowFirstColumn="0" w:firstRowLastColumn="0" w:lastRowFirstColumn="0" w:lastRowLastColumn="0"/>
            <w:tcBorders/>
            <w:shd w:color="auto" w:fill="F8FAFC" w:val="clear"/>
            <w:vAlign w:val="cente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Critère clé</w:t>
            </w:r>
          </w:p>
        </w:tc>
        <w:tc>
          <w:tcPr>
            <w:tcW w:w="4319" w:type="dxa"/>
            <w:tcBorders/>
            <w:shd w:color="auto" w:fill="D3DFEE" w:themeFill="accent1" w:themeFillTint="3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Parcours critiques entièrement utilisables au clavier, structure sémantique claire et compatibilité avec les technologies d’assistance</w:t>
            </w:r>
          </w:p>
        </w:tc>
      </w:tr>
    </w:tbl>
    <w:p>
      <w:pPr>
        <w:pStyle w:val="Heading1"/>
        <w:rPr/>
      </w:pPr>
      <w:bookmarkStart w:id="16" w:name="__RefHeading___Toc1177_3732404666"/>
      <w:bookmarkStart w:id="17" w:name="_Toc233628914"/>
      <w:bookmarkEnd w:id="16"/>
      <w:r>
        <w:rPr>
          <w:color w:val="1E1B4B"/>
        </w:rPr>
        <w:t>3. Needs (besoins résolus)</w:t>
      </w:r>
      <w:bookmarkEnd w:id="17"/>
    </w:p>
    <w:p>
      <w:pPr>
        <w:pStyle w:val="Normal"/>
        <w:spacing w:before="57" w:after="200"/>
        <w:ind w:left="227" w:right="227"/>
        <w:rPr/>
      </w:pPr>
      <w:r>
        <w:rPr>
          <w:b/>
          <w:color w:val="F59E0B"/>
          <w:sz w:val="18"/>
        </w:rPr>
        <w:t xml:space="preserve">💡 </w:t>
      </w:r>
      <w:r>
        <w:rPr>
          <w:b/>
          <w:color w:val="F59E0B"/>
          <w:sz w:val="18"/>
        </w:rPr>
        <w:t xml:space="preserve">Objectif. </w:t>
      </w:r>
      <w:r>
        <w:rPr>
          <w:i/>
          <w:color w:val="475569"/>
          <w:sz w:val="18"/>
        </w:rPr>
        <w:t>Décrire les besoins concrets que le produit résout pour chaque cible. Ce sont les frustrations chiffrables du quotidien, pas des concepts vagues.</w:t>
      </w:r>
    </w:p>
    <w:p>
      <w:pPr>
        <w:pStyle w:val="Normal"/>
        <w:ind w:left="227" w:right="227"/>
        <w:rPr/>
      </w:pPr>
      <w:r>
        <w:rPr>
          <w:b/>
          <w:color w:val="F59E0B"/>
          <w:sz w:val="18"/>
        </w:rPr>
        <w:t xml:space="preserve">📐 </w:t>
      </w:r>
      <w:r>
        <w:rPr>
          <w:b/>
          <w:color w:val="F59E0B"/>
          <w:sz w:val="18"/>
        </w:rPr>
        <w:t xml:space="preserve">Format attendu. </w:t>
      </w:r>
      <w:r>
        <w:rPr>
          <w:i/>
          <w:color w:val="475569"/>
          <w:sz w:val="18"/>
        </w:rPr>
        <w:t>3 à 5 besoins par cible, formulés comme des verbes d'action utilisateur. Privilégier les besoins mesurables (temps gagné, fréquence, coût économisé).</w:t>
      </w:r>
    </w:p>
    <w:p>
      <w:pPr>
        <w:pStyle w:val="Normal"/>
        <w:ind w:left="227" w:right="227"/>
        <w:rPr/>
      </w:pPr>
      <w:r>
        <w:rPr>
          <w:b/>
          <w:color w:val="16A34A"/>
          <w:sz w:val="18"/>
        </w:rPr>
        <w:t xml:space="preserve">✅ </w:t>
      </w:r>
      <w:r>
        <w:rPr>
          <w:b/>
          <w:color w:val="16A34A"/>
          <w:sz w:val="18"/>
        </w:rPr>
        <w:t xml:space="preserve">Bon exemple. </w:t>
      </w:r>
      <w:r>
        <w:rPr>
          <w:i/>
          <w:color w:val="475569"/>
          <w:sz w:val="18"/>
        </w:rPr>
        <w:t>« Générer un quiz de révision sur n'importe quel chapitre en moins de 5 minutes » (mesurable, fréquence claire)</w:t>
      </w:r>
    </w:p>
    <w:p>
      <w:pPr>
        <w:pStyle w:val="Normal"/>
        <w:ind w:left="227" w:right="227"/>
        <w:rPr/>
      </w:pPr>
      <w:r>
        <w:rPr>
          <w:b/>
          <w:color w:val="DC2626"/>
          <w:sz w:val="18"/>
        </w:rPr>
        <w:t xml:space="preserve">❌ </w:t>
      </w:r>
      <w:r>
        <w:rPr>
          <w:b/>
          <w:color w:val="DC2626"/>
          <w:sz w:val="18"/>
        </w:rPr>
        <w:t xml:space="preserve">À éviter. </w:t>
      </w:r>
      <w:r>
        <w:rPr>
          <w:i/>
          <w:color w:val="475569"/>
          <w:sz w:val="18"/>
        </w:rPr>
        <w:t>« Mieux apprendre. » (générique, non mesurable)</w:t>
      </w:r>
    </w:p>
    <w:p>
      <w:pPr>
        <w:pStyle w:val="Heading2"/>
        <w:rPr/>
      </w:pPr>
      <w:bookmarkStart w:id="18" w:name="__RefHeading___Toc1179_3732404666"/>
      <w:bookmarkStart w:id="19" w:name="_Toc233628915"/>
      <w:bookmarkEnd w:id="18"/>
      <w:r>
        <w:rPr>
          <w:color w:val="1E1B4B"/>
        </w:rPr>
        <w:t>3.1. Besoins de la cible primaire (Étudiant)</w:t>
      </w:r>
      <w:bookmarkEnd w:id="19"/>
    </w:p>
    <w:p>
      <w:pPr>
        <w:pStyle w:val="ListBullet"/>
        <w:numPr>
          <w:ilvl w:val="0"/>
          <w:numId w:val="1"/>
        </w:numPr>
        <w:rPr/>
      </w:pPr>
      <w:r>
        <w:rPr/>
        <w:t xml:space="preserve">• </w:t>
      </w:r>
      <w:r>
        <w:rPr/>
        <w:t>Générer en moins de 5 min un quiz de révision sur n'importe quel chapitre d'un cours fourni</w:t>
      </w:r>
    </w:p>
    <w:p>
      <w:pPr>
        <w:pStyle w:val="ListBullet"/>
        <w:numPr>
          <w:ilvl w:val="0"/>
          <w:numId w:val="1"/>
        </w:numPr>
        <w:rPr/>
      </w:pPr>
      <w:r>
        <w:rPr/>
        <w:t xml:space="preserve">• </w:t>
      </w:r>
      <w:r>
        <w:rPr/>
        <w:t>Identifier ses lacunes par chapitre avant un examen (sans correcteur humain)</w:t>
      </w:r>
    </w:p>
    <w:p>
      <w:pPr>
        <w:pStyle w:val="ListBullet"/>
        <w:numPr>
          <w:ilvl w:val="0"/>
          <w:numId w:val="1"/>
        </w:numPr>
        <w:rPr/>
      </w:pPr>
      <w:r>
        <w:rPr/>
        <w:t xml:space="preserve">• </w:t>
      </w:r>
      <w:r>
        <w:rPr/>
        <w:t>Réviser hors-ligne (transports, lieu sans wifi)</w:t>
      </w:r>
    </w:p>
    <w:p>
      <w:pPr>
        <w:pStyle w:val="ListBullet"/>
        <w:numPr>
          <w:ilvl w:val="0"/>
          <w:numId w:val="1"/>
        </w:numPr>
        <w:rPr/>
      </w:pPr>
      <w:r>
        <w:rPr/>
        <w:t xml:space="preserve">• </w:t>
      </w:r>
      <w:r>
        <w:rPr/>
        <w:t>Consulter l'historique de ses scores pour mesurer sa progression chapitre par chapitre</w:t>
      </w:r>
    </w:p>
    <w:p>
      <w:pPr>
        <w:pStyle w:val="ListBullet"/>
        <w:numPr>
          <w:ilvl w:val="0"/>
          <w:numId w:val="1"/>
        </w:numPr>
        <w:rPr/>
      </w:pPr>
      <w:r>
        <w:rPr/>
        <w:t xml:space="preserve">• </w:t>
      </w:r>
      <w:r>
        <w:rPr/>
        <w:t>Obtenir une correction détaillée (bonne réponse + explication) immédiatement après le quiz</w:t>
      </w:r>
    </w:p>
    <w:p>
      <w:pPr>
        <w:pStyle w:val="Heading2"/>
        <w:rPr/>
      </w:pPr>
      <w:bookmarkStart w:id="20" w:name="__RefHeading___Toc1181_3732404666"/>
      <w:bookmarkStart w:id="21" w:name="_Toc233628916"/>
      <w:bookmarkEnd w:id="20"/>
      <w:r>
        <w:rPr>
          <w:color w:val="1E1B4B"/>
        </w:rPr>
        <w:t>3.2. Besoins de la cible secondaire (Enseignant)</w:t>
      </w:r>
      <w:bookmarkEnd w:id="21"/>
    </w:p>
    <w:p>
      <w:pPr>
        <w:pStyle w:val="ListBullet"/>
        <w:numPr>
          <w:ilvl w:val="0"/>
          <w:numId w:val="1"/>
        </w:numPr>
        <w:rPr/>
      </w:pPr>
      <w:r>
        <w:rPr/>
        <w:t xml:space="preserve">• </w:t>
      </w:r>
      <w:r>
        <w:rPr/>
        <w:t>Préparer des supports d'évaluation variés (quiz, QCM, questions ouvertes) en gain de temps mesurable</w:t>
      </w:r>
    </w:p>
    <w:p>
      <w:pPr>
        <w:pStyle w:val="ListBullet"/>
        <w:numPr>
          <w:ilvl w:val="0"/>
          <w:numId w:val="1"/>
        </w:numPr>
        <w:rPr/>
      </w:pPr>
      <w:r>
        <w:rPr/>
        <w:t xml:space="preserve">• </w:t>
      </w:r>
      <w:r>
        <w:rPr/>
        <w:t>Adapter automatiquement le niveau de difficulté au niveau de la classe</w:t>
      </w:r>
    </w:p>
    <w:p>
      <w:pPr>
        <w:pStyle w:val="ListBullet"/>
        <w:numPr>
          <w:ilvl w:val="0"/>
          <w:numId w:val="1"/>
        </w:numPr>
        <w:rPr/>
      </w:pPr>
      <w:r>
        <w:rPr/>
        <w:t xml:space="preserve">• </w:t>
      </w:r>
      <w:r>
        <w:rPr/>
        <w:t>Générer des questions de contrôle corrigées en moins de 5 minutes pour préparer une interro surprise</w:t>
      </w:r>
    </w:p>
    <w:p>
      <w:pPr>
        <w:pStyle w:val="Heading2"/>
        <w:rPr/>
      </w:pPr>
      <w:bookmarkStart w:id="22" w:name="__RefHeading___Toc1183_3732404666"/>
      <w:bookmarkStart w:id="23" w:name="_Toc233628917"/>
      <w:bookmarkEnd w:id="22"/>
      <w:r>
        <w:rPr>
          <w:color w:val="1E1B4B"/>
        </w:rPr>
        <w:t>3.3. Besoins de la cible tertiaire (Établissement)</w:t>
      </w:r>
      <w:bookmarkEnd w:id="23"/>
    </w:p>
    <w:p>
      <w:pPr>
        <w:pStyle w:val="ListBullet"/>
        <w:numPr>
          <w:ilvl w:val="0"/>
          <w:numId w:val="1"/>
        </w:numPr>
        <w:rPr/>
      </w:pPr>
      <w:r>
        <w:rPr/>
        <w:t xml:space="preserve">• </w:t>
      </w:r>
      <w:r>
        <w:rPr/>
        <w:t>Déployer une solution conforme au RGPD et aux exigences d’accessibilité du secteur public, avec supervision et capacité de montée en charge</w:t>
      </w:r>
    </w:p>
    <w:p>
      <w:pPr>
        <w:pStyle w:val="ListBullet"/>
        <w:numPr>
          <w:ilvl w:val="0"/>
          <w:numId w:val="1"/>
        </w:numPr>
        <w:rPr/>
      </w:pPr>
      <w:r>
        <w:rPr/>
        <w:t xml:space="preserve">• </w:t>
      </w:r>
      <w:r>
        <w:rPr/>
        <w:t>Tarification prévisible par élève / par an, sans surprise</w:t>
      </w:r>
    </w:p>
    <w:p>
      <w:pPr>
        <w:pStyle w:val="ListBullet"/>
        <w:numPr>
          <w:ilvl w:val="0"/>
          <w:numId w:val="1"/>
        </w:numPr>
        <w:rPr/>
      </w:pPr>
      <w:r>
        <w:rPr/>
        <w:t xml:space="preserve">• </w:t>
      </w:r>
      <w:r>
        <w:rPr/>
        <w:t>Garantir une disponibilité stable et des performances observables lors des pics d’utilisation</w:t>
      </w:r>
    </w:p>
    <w:p>
      <w:pPr>
        <w:pStyle w:val="Heading2"/>
        <w:rPr/>
      </w:pPr>
      <w:bookmarkStart w:id="24" w:name="__RefHeading___Toc1185_3732404666"/>
      <w:bookmarkEnd w:id="24"/>
      <w:r>
        <w:rPr/>
        <w:t>3.4. Besoins de la cible internationale</w:t>
      </w:r>
    </w:p>
    <w:p>
      <w:pPr>
        <w:pStyle w:val="ListBullet"/>
        <w:numPr>
          <w:ilvl w:val="0"/>
          <w:numId w:val="1"/>
        </w:numPr>
        <w:rPr/>
      </w:pPr>
      <w:r>
        <w:rPr/>
        <w:t xml:space="preserve">• </w:t>
      </w:r>
      <w:r>
        <w:rPr/>
        <w:t>Choisir le français ou l’anglais dès l’arrivée dans l’application</w:t>
      </w:r>
    </w:p>
    <w:p>
      <w:pPr>
        <w:pStyle w:val="ListBullet"/>
        <w:numPr>
          <w:ilvl w:val="0"/>
          <w:numId w:val="1"/>
        </w:numPr>
        <w:rPr/>
      </w:pPr>
      <w:r>
        <w:rPr/>
        <w:t xml:space="preserve">• </w:t>
      </w:r>
      <w:r>
        <w:rPr/>
        <w:t>Consulter des menus, aides, validations et messages d’erreur traduits de manière cohérente</w:t>
      </w:r>
    </w:p>
    <w:p>
      <w:pPr>
        <w:pStyle w:val="ListBullet"/>
        <w:numPr>
          <w:ilvl w:val="0"/>
          <w:numId w:val="1"/>
        </w:numPr>
        <w:rPr/>
      </w:pPr>
      <w:r>
        <w:rPr/>
        <w:t xml:space="preserve">• </w:t>
      </w:r>
      <w:r>
        <w:rPr/>
        <w:t>Générer et corriger un quiz en anglais à partir d’un cours rédigé en anglais</w:t>
      </w:r>
    </w:p>
    <w:p>
      <w:pPr>
        <w:pStyle w:val="ListBullet"/>
        <w:numPr>
          <w:ilvl w:val="0"/>
          <w:numId w:val="1"/>
        </w:numPr>
        <w:rPr/>
      </w:pPr>
      <w:r>
        <w:rPr/>
        <w:t xml:space="preserve">• </w:t>
      </w:r>
      <w:r>
        <w:rPr/>
        <w:t>Conserver une terminologie pédagogique stable entre l’interface et le contenu généré</w:t>
      </w:r>
    </w:p>
    <w:p>
      <w:pPr>
        <w:pStyle w:val="Heading2"/>
        <w:rPr/>
      </w:pPr>
      <w:bookmarkStart w:id="25" w:name="__RefHeading___Toc1187_3732404666"/>
      <w:bookmarkEnd w:id="25"/>
      <w:r>
        <w:rPr/>
        <w:t>3.5. Besoins liés à l’accessibilité et au déploiement public</w:t>
      </w:r>
    </w:p>
    <w:p>
      <w:pPr>
        <w:pStyle w:val="ListBullet"/>
        <w:numPr>
          <w:ilvl w:val="0"/>
          <w:numId w:val="1"/>
        </w:numPr>
        <w:rPr/>
      </w:pPr>
      <w:r>
        <w:rPr/>
        <w:t xml:space="preserve">• </w:t>
      </w:r>
      <w:r>
        <w:rPr/>
        <w:t>Utiliser toutes les fonctionnalités principales au clavier, sans dépendre de la souris</w:t>
      </w:r>
    </w:p>
    <w:p>
      <w:pPr>
        <w:pStyle w:val="ListBullet"/>
        <w:numPr>
          <w:ilvl w:val="0"/>
          <w:numId w:val="1"/>
        </w:numPr>
        <w:rPr/>
      </w:pPr>
      <w:r>
        <w:rPr/>
        <w:t xml:space="preserve">• </w:t>
      </w:r>
      <w:r>
        <w:rPr/>
        <w:t>Comprendre les champs, boutons, erreurs et résultats avec un lecteur d’écran</w:t>
      </w:r>
    </w:p>
    <w:p>
      <w:pPr>
        <w:pStyle w:val="ListBullet"/>
        <w:numPr>
          <w:ilvl w:val="0"/>
          <w:numId w:val="1"/>
        </w:numPr>
        <w:rPr/>
      </w:pPr>
      <w:r>
        <w:rPr/>
        <w:t xml:space="preserve">• </w:t>
      </w:r>
      <w:r>
        <w:rPr/>
        <w:t>Lire les contenus avec un contraste suffisant et un zoom important sans perte d’information</w:t>
      </w:r>
    </w:p>
    <w:p>
      <w:pPr>
        <w:pStyle w:val="ListBullet"/>
        <w:numPr>
          <w:ilvl w:val="0"/>
          <w:numId w:val="1"/>
        </w:numPr>
        <w:rPr/>
      </w:pPr>
      <w:r>
        <w:rPr/>
        <w:t xml:space="preserve">• </w:t>
      </w:r>
      <w:r>
        <w:rPr/>
        <w:t>Recevoir des messages compréhensibles sans dépendre uniquement de la couleur ou de la position visuelle</w:t>
      </w:r>
    </w:p>
    <w:p>
      <w:pPr>
        <w:pStyle w:val="ListBullet"/>
        <w:numPr>
          <w:ilvl w:val="0"/>
          <w:numId w:val="1"/>
        </w:numPr>
        <w:rPr/>
      </w:pPr>
      <w:r>
        <w:rPr/>
        <w:t xml:space="preserve">• </w:t>
      </w:r>
      <w:r>
        <w:rPr/>
        <w:t>Garantir un service stable, supervisé et capable d’absorber une hausse du nombre d’utilisateurs</w:t>
      </w:r>
    </w:p>
    <w:p>
      <w:pPr>
        <w:pStyle w:val="Heading1"/>
        <w:rPr/>
      </w:pPr>
      <w:bookmarkStart w:id="26" w:name="__RefHeading___Toc1189_3732404666"/>
      <w:bookmarkStart w:id="27" w:name="_Toc233628918"/>
      <w:bookmarkEnd w:id="26"/>
      <w:r>
        <w:rPr>
          <w:color w:val="1E1B4B"/>
        </w:rPr>
        <w:t>4. Product (le produit en 3-5 traits)</w:t>
      </w:r>
      <w:bookmarkEnd w:id="27"/>
    </w:p>
    <w:p>
      <w:pPr>
        <w:pStyle w:val="Normal"/>
        <w:spacing w:before="57" w:after="200"/>
        <w:ind w:left="227" w:right="227"/>
        <w:rPr/>
      </w:pPr>
      <w:r>
        <w:rPr>
          <w:b/>
          <w:color w:val="F59E0B"/>
          <w:sz w:val="18"/>
        </w:rPr>
        <w:t xml:space="preserve">💡 </w:t>
      </w:r>
      <w:r>
        <w:rPr>
          <w:b/>
          <w:color w:val="F59E0B"/>
          <w:sz w:val="18"/>
        </w:rPr>
        <w:t xml:space="preserve">Objectif. </w:t>
      </w:r>
      <w:r>
        <w:rPr>
          <w:i/>
          <w:color w:val="475569"/>
          <w:sz w:val="18"/>
        </w:rPr>
        <w:t>Décrire le produit lui-même en 3 à 5 caractéristiques différenciantes. Ce n'est pas le scope MVP : c'est la "signature" du produit.</w:t>
      </w:r>
    </w:p>
    <w:p>
      <w:pPr>
        <w:pStyle w:val="Normal"/>
        <w:ind w:left="227" w:right="227"/>
        <w:rPr/>
      </w:pPr>
      <w:r>
        <w:rPr>
          <w:b/>
          <w:color w:val="F59E0B"/>
          <w:sz w:val="18"/>
        </w:rPr>
        <w:t xml:space="preserve">📐 </w:t>
      </w:r>
      <w:r>
        <w:rPr>
          <w:b/>
          <w:color w:val="F59E0B"/>
          <w:sz w:val="18"/>
        </w:rPr>
        <w:t xml:space="preserve">Format attendu. </w:t>
      </w:r>
      <w:r>
        <w:rPr>
          <w:i/>
          <w:color w:val="475569"/>
          <w:sz w:val="18"/>
        </w:rPr>
        <w:t>Phrases courtes, orientées bénéfice perçu. Évite la liste de features techniques exhaustive.</w:t>
      </w:r>
    </w:p>
    <w:p>
      <w:pPr>
        <w:pStyle w:val="Normal"/>
        <w:ind w:left="227" w:right="227"/>
        <w:rPr/>
      </w:pPr>
      <w:r>
        <w:rPr>
          <w:b/>
          <w:color w:val="16A34A"/>
          <w:sz w:val="18"/>
        </w:rPr>
        <w:t xml:space="preserve">✅ </w:t>
      </w:r>
      <w:r>
        <w:rPr>
          <w:b/>
          <w:color w:val="16A34A"/>
          <w:sz w:val="18"/>
        </w:rPr>
        <w:t xml:space="preserve">Bon exemple. </w:t>
      </w:r>
      <w:r>
        <w:rPr>
          <w:i/>
          <w:color w:val="475569"/>
          <w:sz w:val="18"/>
        </w:rPr>
        <w:t>« Génération de quiz en moins de 60 secondes via LLM local, aucune donnée ne quitte le serveur. »</w:t>
      </w:r>
    </w:p>
    <w:p>
      <w:pPr>
        <w:pStyle w:val="Normal"/>
        <w:ind w:left="227" w:right="227"/>
        <w:rPr/>
      </w:pPr>
      <w:r>
        <w:rPr>
          <w:b/>
          <w:color w:val="DC2626"/>
          <w:sz w:val="18"/>
        </w:rPr>
        <w:t xml:space="preserve">❌ </w:t>
      </w:r>
      <w:r>
        <w:rPr>
          <w:b/>
          <w:color w:val="DC2626"/>
          <w:sz w:val="18"/>
        </w:rPr>
        <w:t xml:space="preserve">À éviter. </w:t>
      </w:r>
      <w:r>
        <w:rPr>
          <w:i/>
          <w:color w:val="475569"/>
          <w:sz w:val="18"/>
        </w:rPr>
        <w:t>« Backend Django, PostgreSQL, JWT, Redis cache, Celery, Ollama, Vite + React, Docker Compose, etc. » (stack technique, pas signature produit)</w:t>
      </w:r>
    </w:p>
    <w:p>
      <w:pPr>
        <w:pStyle w:val="Heading2"/>
        <w:rPr/>
      </w:pPr>
      <w:bookmarkStart w:id="28" w:name="__RefHeading___Toc1191_3732404666"/>
      <w:bookmarkStart w:id="29" w:name="_Toc233628919"/>
      <w:bookmarkEnd w:id="28"/>
      <w:r>
        <w:rPr>
          <w:color w:val="1E1B4B"/>
        </w:rPr>
        <w:t>4.1. Caractéristiques signature d'EduTutor IA</w:t>
      </w:r>
      <w:bookmarkEnd w:id="29"/>
    </w:p>
    <w:p>
      <w:pPr>
        <w:pStyle w:val="ListBullet"/>
        <w:numPr>
          <w:ilvl w:val="0"/>
          <w:numId w:val="1"/>
        </w:numPr>
        <w:rPr/>
      </w:pPr>
      <w:r>
        <w:rPr/>
        <w:t xml:space="preserve">• </w:t>
      </w:r>
      <w:r>
        <w:rPr/>
        <w:t>Génération de 10 QCM en moins de 60 s à partir d’un cours fourni (PDF ou texte)</w:t>
      </w:r>
    </w:p>
    <w:p>
      <w:pPr>
        <w:pStyle w:val="ListBullet"/>
        <w:numPr>
          <w:ilvl w:val="0"/>
          <w:numId w:val="1"/>
        </w:numPr>
        <w:rPr/>
      </w:pPr>
      <w:r>
        <w:rPr/>
        <w:t xml:space="preserve">• </w:t>
      </w:r>
      <w:r>
        <w:rPr/>
        <w:t>Fonctionnement local-first : les données pédagogiques restent sous contrôle de l’établissement</w:t>
      </w:r>
    </w:p>
    <w:p>
      <w:pPr>
        <w:pStyle w:val="ListBullet"/>
        <w:numPr>
          <w:ilvl w:val="0"/>
          <w:numId w:val="1"/>
        </w:numPr>
        <w:rPr/>
      </w:pPr>
      <w:r>
        <w:rPr/>
        <w:t xml:space="preserve">• </w:t>
      </w:r>
      <w:r>
        <w:rPr/>
        <w:t>Interface inclusive, structurée pour la navigation clavier et les technologies d’assistance</w:t>
      </w:r>
    </w:p>
    <w:p>
      <w:pPr>
        <w:pStyle w:val="ListBullet"/>
        <w:numPr>
          <w:ilvl w:val="0"/>
          <w:numId w:val="1"/>
        </w:numPr>
        <w:rPr/>
      </w:pPr>
      <w:r>
        <w:rPr/>
        <w:t xml:space="preserve">• </w:t>
      </w:r>
      <w:r>
        <w:rPr/>
        <w:t>Architecture supervisable et évolutive, conçue pour les déploiements multi-établissements</w:t>
      </w:r>
    </w:p>
    <w:p>
      <w:pPr>
        <w:pStyle w:val="ListBullet"/>
        <w:numPr>
          <w:ilvl w:val="0"/>
          <w:numId w:val="1"/>
        </w:numPr>
        <w:rPr/>
      </w:pPr>
      <w:r>
        <w:rPr/>
        <w:t xml:space="preserve">• </w:t>
      </w:r>
      <w:r>
        <w:rPr/>
        <w:t>Expérience bilingue FR / EN avec contenus, messages et génération de quiz cohérents</w:t>
      </w:r>
    </w:p>
    <w:p>
      <w:pPr>
        <w:pStyle w:val="Heading2"/>
        <w:rPr/>
      </w:pPr>
      <w:bookmarkStart w:id="30" w:name="__RefHeading___Toc1193_3732404666"/>
      <w:bookmarkStart w:id="31" w:name="_Toc233628920"/>
      <w:bookmarkEnd w:id="30"/>
      <w:r>
        <w:rPr>
          <w:color w:val="1E1B4B"/>
        </w:rPr>
        <w:t>4.2. MVP must-have (Release 1) : rappel imposé</w:t>
      </w:r>
      <w:bookmarkEnd w:id="31"/>
    </w:p>
    <w:p>
      <w:pPr>
        <w:pStyle w:val="ListBullet"/>
        <w:numPr>
          <w:ilvl w:val="0"/>
          <w:numId w:val="1"/>
        </w:numPr>
        <w:rPr/>
      </w:pPr>
      <w:r>
        <w:rPr>
          <w:b/>
          <w:color w:val="1E1B4B"/>
        </w:rPr>
        <w:t xml:space="preserve">F1 : </w:t>
      </w:r>
      <w:r>
        <w:rPr/>
        <w:t>Inscription et connexion utilisateur (Django Auth standard)</w:t>
      </w:r>
    </w:p>
    <w:p>
      <w:pPr>
        <w:pStyle w:val="ListBullet"/>
        <w:numPr>
          <w:ilvl w:val="0"/>
          <w:numId w:val="1"/>
        </w:numPr>
        <w:rPr/>
      </w:pPr>
      <w:r>
        <w:rPr>
          <w:b/>
          <w:color w:val="1E1B4B"/>
        </w:rPr>
        <w:t xml:space="preserve">F2 : </w:t>
      </w:r>
      <w:r>
        <w:rPr/>
        <w:t>Saisie d'un cours : upload PDF ≤ 5 Mo ou texte ≥ 200 caractères</w:t>
      </w:r>
    </w:p>
    <w:p>
      <w:pPr>
        <w:pStyle w:val="ListBullet"/>
        <w:numPr>
          <w:ilvl w:val="0"/>
          <w:numId w:val="1"/>
        </w:numPr>
        <w:rPr/>
      </w:pPr>
      <w:r>
        <w:rPr>
          <w:b/>
          <w:color w:val="1E1B4B"/>
        </w:rPr>
        <w:t xml:space="preserve">F3 : </w:t>
      </w:r>
      <w:r>
        <w:rPr/>
        <w:t>Génération automatique d'un quiz de 10 QCM via LLM local</w:t>
      </w:r>
    </w:p>
    <w:p>
      <w:pPr>
        <w:pStyle w:val="ListBullet"/>
        <w:numPr>
          <w:ilvl w:val="0"/>
          <w:numId w:val="1"/>
        </w:numPr>
        <w:rPr/>
      </w:pPr>
      <w:r>
        <w:rPr>
          <w:b/>
          <w:color w:val="1E1B4B"/>
        </w:rPr>
        <w:t xml:space="preserve">F4 : </w:t>
      </w:r>
      <w:r>
        <w:rPr/>
        <w:t>Soumission et correction automatique (une bonne réponse par QCM)</w:t>
      </w:r>
    </w:p>
    <w:p>
      <w:pPr>
        <w:pStyle w:val="ListBullet"/>
        <w:numPr>
          <w:ilvl w:val="0"/>
          <w:numId w:val="1"/>
        </w:numPr>
        <w:rPr/>
      </w:pPr>
      <w:r>
        <w:rPr>
          <w:b/>
          <w:color w:val="1E1B4B"/>
        </w:rPr>
        <w:t xml:space="preserve">F5 : </w:t>
      </w:r>
      <w:r>
        <w:rPr/>
        <w:t>Affichage du score /10 + détail bonnes/mauvaises réponses</w:t>
      </w:r>
    </w:p>
    <w:p>
      <w:pPr>
        <w:pStyle w:val="ListBullet"/>
        <w:numPr>
          <w:ilvl w:val="0"/>
          <w:numId w:val="1"/>
        </w:numPr>
        <w:rPr/>
      </w:pPr>
      <w:r>
        <w:rPr>
          <w:b/>
          <w:color w:val="1E1B4B"/>
        </w:rPr>
        <w:t xml:space="preserve">F6 : </w:t>
      </w:r>
      <w:r>
        <w:rPr/>
        <w:t>Historique persisté des quizz par utilisateur (date, cours, score)</w:t>
      </w:r>
    </w:p>
    <w:p>
      <w:pPr>
        <w:pStyle w:val="Heading2"/>
        <w:rPr/>
      </w:pPr>
      <w:bookmarkStart w:id="32" w:name="__RefHeading___Toc1195_3732404666"/>
      <w:bookmarkStart w:id="33" w:name="_Toc233628921"/>
      <w:bookmarkEnd w:id="32"/>
      <w:r>
        <w:rPr>
          <w:color w:val="1E1B4B"/>
        </w:rPr>
        <w:t>4.3. Pistes Release 2 envisagées (2 à 3 à choisir)</w:t>
      </w:r>
      <w:bookmarkEnd w:id="33"/>
    </w:p>
    <w:p>
      <w:pPr>
        <w:pStyle w:val="Normal"/>
        <w:rPr/>
      </w:pPr>
      <w:r>
        <w:rPr/>
        <w:t>Parmi les 10 pistes Release 2 du brief, votre équipe sélectionne 2 à 3 candidates à proposer en revue de fin de semaine. Listez vos candidates ci-dessous, avec un mot de justification chacune.</w:t>
      </w:r>
    </w:p>
    <w:p>
      <w:pPr>
        <w:pStyle w:val="ListBullet"/>
        <w:numPr>
          <w:ilvl w:val="0"/>
          <w:numId w:val="1"/>
        </w:numPr>
        <w:rPr/>
      </w:pPr>
      <w:r>
        <w:rPr/>
        <w:t xml:space="preserve">• </w:t>
      </w:r>
      <w:r>
        <w:rPr/>
        <w:t>Candidate 1 : RGAA / accessibilité — navigation clavier, libellés sémantiques, contrastes et compatibilité lecteur d’écran</w:t>
      </w:r>
    </w:p>
    <w:p>
      <w:pPr>
        <w:pStyle w:val="ListBullet"/>
        <w:numPr>
          <w:ilvl w:val="0"/>
          <w:numId w:val="1"/>
        </w:numPr>
        <w:rPr/>
      </w:pPr>
      <w:r>
        <w:rPr/>
        <w:t xml:space="preserve">• </w:t>
      </w:r>
      <w:r>
        <w:rPr/>
        <w:t>Candidate 2 : Internationalisation (i18n) — interface FR / EN et génération de quiz dans la langue du cours</w:t>
      </w:r>
    </w:p>
    <w:p>
      <w:pPr>
        <w:pStyle w:val="ListBullet"/>
        <w:numPr>
          <w:ilvl w:val="0"/>
          <w:numId w:val="1"/>
        </w:numPr>
        <w:rPr/>
      </w:pPr>
      <w:r>
        <w:rPr/>
        <w:t xml:space="preserve">• </w:t>
      </w:r>
      <w:r>
        <w:rPr/>
        <w:t>Candidate 3 : Scalabilité — file d’attente, supervision et tests de charge pour un déploiement institutionnel</w:t>
      </w:r>
    </w:p>
    <w:p>
      <w:pPr>
        <w:pStyle w:val="Heading1"/>
        <w:rPr/>
      </w:pPr>
      <w:bookmarkStart w:id="34" w:name="__RefHeading___Toc1197_3732404666"/>
      <w:bookmarkStart w:id="35" w:name="_Toc233628922"/>
      <w:bookmarkEnd w:id="34"/>
      <w:r>
        <w:rPr>
          <w:color w:val="1E1B4B"/>
        </w:rPr>
        <w:t>5. Business Goals (objectifs de succès)</w:t>
      </w:r>
      <w:bookmarkEnd w:id="35"/>
    </w:p>
    <w:p>
      <w:pPr>
        <w:pStyle w:val="Normal"/>
        <w:spacing w:before="57" w:after="200"/>
        <w:ind w:left="227" w:right="227"/>
        <w:rPr/>
      </w:pPr>
      <w:r>
        <w:rPr>
          <w:b/>
          <w:color w:val="F59E0B"/>
          <w:sz w:val="18"/>
        </w:rPr>
        <w:t xml:space="preserve">💡 </w:t>
      </w:r>
      <w:r>
        <w:rPr>
          <w:b/>
          <w:color w:val="F59E0B"/>
          <w:sz w:val="18"/>
        </w:rPr>
        <w:t xml:space="preserve">Objectif. </w:t>
      </w:r>
      <w:r>
        <w:rPr>
          <w:i/>
          <w:color w:val="475569"/>
          <w:sz w:val="18"/>
        </w:rPr>
        <w:t>Définir les indicateurs qui permettront de dire, dans 6 ou 12 mois, si le produit est un succès. Sans goals, le produit dérive.</w:t>
      </w:r>
    </w:p>
    <w:p>
      <w:pPr>
        <w:pStyle w:val="Normal"/>
        <w:ind w:left="227" w:right="227"/>
        <w:rPr/>
      </w:pPr>
      <w:r>
        <w:rPr>
          <w:b/>
          <w:color w:val="F59E0B"/>
          <w:sz w:val="18"/>
        </w:rPr>
        <w:t xml:space="preserve">📐 </w:t>
      </w:r>
      <w:r>
        <w:rPr>
          <w:b/>
          <w:color w:val="F59E0B"/>
          <w:sz w:val="18"/>
        </w:rPr>
        <w:t xml:space="preserve">Format attendu. </w:t>
      </w:r>
      <w:r>
        <w:rPr>
          <w:i/>
          <w:color w:val="475569"/>
          <w:sz w:val="18"/>
        </w:rPr>
        <w:t>3 à 5 objectifs chiffrés, datés, mesurables. Préférer KPI utilisateur à KPI financier en début de produit.</w:t>
      </w:r>
    </w:p>
    <w:p>
      <w:pPr>
        <w:pStyle w:val="Normal"/>
        <w:ind w:left="227" w:right="227"/>
        <w:rPr/>
      </w:pPr>
      <w:r>
        <w:rPr>
          <w:b/>
          <w:color w:val="16A34A"/>
          <w:sz w:val="18"/>
        </w:rPr>
        <w:t xml:space="preserve">✅ </w:t>
      </w:r>
      <w:r>
        <w:rPr>
          <w:b/>
          <w:color w:val="16A34A"/>
          <w:sz w:val="18"/>
        </w:rPr>
        <w:t xml:space="preserve">Bon exemple. </w:t>
      </w:r>
      <w:r>
        <w:rPr>
          <w:i/>
          <w:color w:val="475569"/>
          <w:sz w:val="18"/>
        </w:rPr>
        <w:t>« 1 000 étudiants actifs hebdomadaires (WAU) d'ici T+6 mois, NPS &gt; 30 d'ici T+9 mois. »</w:t>
      </w:r>
    </w:p>
    <w:p>
      <w:pPr>
        <w:pStyle w:val="Normal"/>
        <w:ind w:left="227" w:right="227"/>
        <w:rPr/>
      </w:pPr>
      <w:r>
        <w:rPr>
          <w:b/>
          <w:color w:val="DC2626"/>
          <w:sz w:val="18"/>
        </w:rPr>
        <w:t xml:space="preserve">❌ </w:t>
      </w:r>
      <w:r>
        <w:rPr>
          <w:b/>
          <w:color w:val="DC2626"/>
          <w:sz w:val="18"/>
        </w:rPr>
        <w:t xml:space="preserve">À éviter. </w:t>
      </w:r>
      <w:r>
        <w:rPr>
          <w:i/>
          <w:color w:val="475569"/>
          <w:sz w:val="18"/>
        </w:rPr>
        <w:t>« Devenir leader du marché. » (intestable, jamais mesurable)</w:t>
      </w:r>
    </w:p>
    <w:p>
      <w:pPr>
        <w:pStyle w:val="Heading2"/>
        <w:rPr/>
      </w:pPr>
      <w:bookmarkStart w:id="36" w:name="__RefHeading___Toc1199_3732404666"/>
      <w:bookmarkStart w:id="37" w:name="_Toc233628923"/>
      <w:bookmarkEnd w:id="36"/>
      <w:r>
        <w:rPr>
          <w:color w:val="1E1B4B"/>
        </w:rPr>
        <w:t>5.1. Objectifs d'adoption</w:t>
      </w:r>
      <w:bookmarkEnd w:id="37"/>
    </w:p>
    <w:p>
      <w:pPr>
        <w:pStyle w:val="ListBullet"/>
        <w:numPr>
          <w:ilvl w:val="0"/>
          <w:numId w:val="1"/>
        </w:numPr>
        <w:rPr/>
      </w:pPr>
      <w:r>
        <w:rPr/>
        <w:t xml:space="preserve">• </w:t>
      </w:r>
      <w:r>
        <w:rPr/>
        <w:t>Pilote public : engager au moins 3 établissements publics dans une expérimentation d’ici T+6 mois</w:t>
      </w:r>
    </w:p>
    <w:p>
      <w:pPr>
        <w:pStyle w:val="ListBullet"/>
        <w:numPr>
          <w:ilvl w:val="0"/>
          <w:numId w:val="1"/>
        </w:numPr>
        <w:rPr/>
      </w:pPr>
      <w:r>
        <w:rPr/>
        <w:t xml:space="preserve">• </w:t>
      </w:r>
      <w:r>
        <w:rPr/>
        <w:t>Adoption internationale : proposer la version anglaise d’ici T+4 mois et atteindre 20 % de nouveaux comptes en anglais à T+12 mois</w:t>
      </w:r>
    </w:p>
    <w:p>
      <w:pPr>
        <w:pStyle w:val="ListBullet"/>
        <w:numPr>
          <w:ilvl w:val="0"/>
          <w:numId w:val="1"/>
        </w:numPr>
        <w:rPr/>
      </w:pPr>
      <w:r>
        <w:rPr/>
        <w:t xml:space="preserve">• </w:t>
      </w:r>
      <w:r>
        <w:rPr/>
        <w:t>Usage : atteindre 1 000 utilisateurs actifs hebdomadaires sur les versions FR et EN d’ici T+9 mois</w:t>
      </w:r>
    </w:p>
    <w:p>
      <w:pPr>
        <w:pStyle w:val="Heading2"/>
        <w:rPr/>
      </w:pPr>
      <w:bookmarkStart w:id="38" w:name="__RefHeading___Toc1201_3732404666"/>
      <w:bookmarkStart w:id="39" w:name="_Toc233628924"/>
      <w:bookmarkEnd w:id="38"/>
      <w:r>
        <w:rPr>
          <w:color w:val="1E1B4B"/>
        </w:rPr>
        <w:t>5.2. Objectifs de satisfaction</w:t>
      </w:r>
      <w:bookmarkEnd w:id="39"/>
    </w:p>
    <w:p>
      <w:pPr>
        <w:pStyle w:val="ListBullet"/>
        <w:numPr>
          <w:ilvl w:val="0"/>
          <w:numId w:val="1"/>
        </w:numPr>
        <w:rPr/>
      </w:pPr>
      <w:r>
        <w:rPr/>
        <w:t xml:space="preserve">• </w:t>
      </w:r>
      <w:r>
        <w:rPr/>
        <w:t>Satisfaction : atteindre un NPS supérieur à 35 d’ici T+9 mois sur les deux langues</w:t>
      </w:r>
    </w:p>
    <w:p>
      <w:pPr>
        <w:pStyle w:val="ListBullet"/>
        <w:numPr>
          <w:ilvl w:val="0"/>
          <w:numId w:val="1"/>
        </w:numPr>
        <w:rPr/>
      </w:pPr>
      <w:r>
        <w:rPr/>
        <w:t xml:space="preserve">• </w:t>
      </w:r>
      <w:r>
        <w:rPr/>
        <w:t>Accessibilité : rendre 100 % des parcours critiques utilisables au clavier avant le pilote public</w:t>
      </w:r>
    </w:p>
    <w:p>
      <w:pPr>
        <w:pStyle w:val="ListBullet"/>
        <w:numPr>
          <w:ilvl w:val="0"/>
          <w:numId w:val="1"/>
        </w:numPr>
        <w:rPr/>
      </w:pPr>
      <w:r>
        <w:rPr/>
        <w:t xml:space="preserve">• </w:t>
      </w:r>
      <w:r>
        <w:rPr/>
        <w:t>Performance : maintenir un p95 inférieur à 15 s pour la génération de quiz sur la charge de référence validée</w:t>
      </w:r>
    </w:p>
    <w:p>
      <w:pPr>
        <w:pStyle w:val="Heading2"/>
        <w:rPr/>
      </w:pPr>
      <w:bookmarkStart w:id="40" w:name="__RefHeading___Toc1203_3732404666"/>
      <w:bookmarkStart w:id="41" w:name="_Toc233628925"/>
      <w:bookmarkEnd w:id="40"/>
      <w:r>
        <w:rPr>
          <w:color w:val="1E1B4B"/>
        </w:rPr>
        <w:t>5.3. Objectifs business (long terme)</w:t>
      </w:r>
      <w:bookmarkEnd w:id="41"/>
    </w:p>
    <w:p>
      <w:pPr>
        <w:pStyle w:val="ListBullet"/>
        <w:numPr>
          <w:ilvl w:val="0"/>
          <w:numId w:val="1"/>
        </w:numPr>
        <w:rPr/>
      </w:pPr>
      <w:r>
        <w:rPr/>
        <w:t xml:space="preserve">• </w:t>
      </w:r>
      <w:r>
        <w:rPr/>
        <w:t>Adoption institutionnelle : obtenir au moins 5 contrats avec des établissements ou organismes publics dans les 12 mois</w:t>
      </w:r>
    </w:p>
    <w:p>
      <w:pPr>
        <w:pStyle w:val="ListBullet"/>
        <w:numPr>
          <w:ilvl w:val="0"/>
          <w:numId w:val="1"/>
        </w:numPr>
        <w:rPr/>
      </w:pPr>
      <w:r>
        <w:rPr/>
        <w:t xml:space="preserve">• </w:t>
      </w:r>
      <w:r>
        <w:rPr/>
        <w:t>Scalabilité économique : maintenir un coût d’infrastructure prévisible par utilisateur actif lors de la montée en charge</w:t>
      </w:r>
    </w:p>
    <w:p>
      <w:pPr>
        <w:pStyle w:val="ListBullet"/>
        <w:numPr>
          <w:ilvl w:val="0"/>
          <w:numId w:val="1"/>
        </w:numPr>
        <w:rPr/>
      </w:pPr>
      <w:r>
        <w:rPr/>
        <w:t xml:space="preserve">• </w:t>
      </w:r>
      <w:r>
        <w:rPr/>
        <w:t>Expansion : ouvrir un premier partenariat international anglophone dans les 12 mois</w:t>
      </w:r>
    </w:p>
    <w:p>
      <w:pPr>
        <w:pStyle w:val="Heading1"/>
        <w:rPr/>
      </w:pPr>
      <w:bookmarkStart w:id="42" w:name="__RefHeading___Toc1205_3732404666"/>
      <w:bookmarkStart w:id="43" w:name="_Toc233628926"/>
      <w:bookmarkEnd w:id="42"/>
      <w:r>
        <w:rPr>
          <w:color w:val="1E1B4B"/>
        </w:rPr>
        <w:t>6. Différenciateurs vs concurrents</w:t>
      </w:r>
      <w:bookmarkEnd w:id="43"/>
    </w:p>
    <w:p>
      <w:pPr>
        <w:pStyle w:val="Normal"/>
        <w:spacing w:before="57" w:after="200"/>
        <w:ind w:left="227" w:right="227"/>
        <w:rPr/>
      </w:pPr>
      <w:r>
        <w:rPr>
          <w:b/>
          <w:color w:val="F59E0B"/>
          <w:sz w:val="18"/>
        </w:rPr>
        <w:t xml:space="preserve">💡 </w:t>
      </w:r>
      <w:r>
        <w:rPr>
          <w:b/>
          <w:color w:val="F59E0B"/>
          <w:sz w:val="18"/>
        </w:rPr>
        <w:t xml:space="preserve">Objectif. </w:t>
      </w:r>
      <w:r>
        <w:rPr>
          <w:i/>
          <w:color w:val="475569"/>
          <w:sz w:val="18"/>
        </w:rPr>
        <w:t>Cartographier la concurrence et formuler ce qui distingue EduTutor IA. Indispensable pour la soutenance et toute conversation commerciale.</w:t>
      </w:r>
    </w:p>
    <w:p>
      <w:pPr>
        <w:pStyle w:val="Normal"/>
        <w:ind w:left="227" w:right="227"/>
        <w:rPr/>
      </w:pPr>
      <w:r>
        <w:rPr>
          <w:b/>
          <w:color w:val="F59E0B"/>
          <w:sz w:val="18"/>
        </w:rPr>
        <w:t xml:space="preserve">📐 </w:t>
      </w:r>
      <w:r>
        <w:rPr>
          <w:b/>
          <w:color w:val="F59E0B"/>
          <w:sz w:val="18"/>
        </w:rPr>
        <w:t xml:space="preserve">Format attendu. </w:t>
      </w:r>
      <w:r>
        <w:rPr>
          <w:i/>
          <w:color w:val="475569"/>
          <w:sz w:val="18"/>
        </w:rPr>
        <w:t>Table comparative des 4 concurrents principaux + bloc « 3 angles différenciateurs EduTutor » étayés.</w:t>
      </w:r>
    </w:p>
    <w:p>
      <w:pPr>
        <w:pStyle w:val="Normal"/>
        <w:ind w:left="227" w:right="227"/>
        <w:rPr/>
      </w:pPr>
      <w:r>
        <w:rPr>
          <w:b/>
          <w:color w:val="16A34A"/>
          <w:sz w:val="18"/>
        </w:rPr>
        <w:t xml:space="preserve">✅ </w:t>
      </w:r>
      <w:r>
        <w:rPr>
          <w:b/>
          <w:color w:val="16A34A"/>
          <w:sz w:val="18"/>
        </w:rPr>
        <w:t xml:space="preserve">Bon exemple. </w:t>
      </w:r>
      <w:r>
        <w:rPr>
          <w:i/>
          <w:color w:val="475569"/>
          <w:sz w:val="18"/>
        </w:rPr>
        <w:t>« RGPD (local-first), aucun concurrent identifié ne tourne en local, tous reposent sur OpenAI / Anthropic. »</w:t>
      </w:r>
    </w:p>
    <w:p>
      <w:pPr>
        <w:pStyle w:val="Normal"/>
        <w:ind w:left="227" w:right="227"/>
        <w:rPr/>
      </w:pPr>
      <w:r>
        <w:rPr>
          <w:b/>
          <w:color w:val="DC2626"/>
          <w:sz w:val="18"/>
        </w:rPr>
        <w:t xml:space="preserve">❌ </w:t>
      </w:r>
      <w:r>
        <w:rPr>
          <w:b/>
          <w:color w:val="DC2626"/>
          <w:sz w:val="18"/>
        </w:rPr>
        <w:t xml:space="preserve">À éviter. </w:t>
      </w:r>
      <w:r>
        <w:rPr>
          <w:i/>
          <w:color w:val="475569"/>
          <w:sz w:val="18"/>
        </w:rPr>
        <w:t>« Notre produit est mieux. » (intestable, non argumenté)</w:t>
      </w:r>
    </w:p>
    <w:p>
      <w:pPr>
        <w:pStyle w:val="Heading2"/>
        <w:rPr/>
      </w:pPr>
      <w:bookmarkStart w:id="44" w:name="__RefHeading___Toc1207_3732404666"/>
      <w:bookmarkStart w:id="45" w:name="_Toc233628927"/>
      <w:bookmarkEnd w:id="44"/>
      <w:r>
        <w:rPr>
          <w:color w:val="1E1B4B"/>
        </w:rPr>
        <w:t>6.1. Cartographie des concurrents</w:t>
      </w:r>
      <w:bookmarkEnd w:id="45"/>
    </w:p>
    <w:tbl>
      <w:tblPr>
        <w:tblStyle w:val="Grilleclaire-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cnfStyle w:val="100000000000" w:firstRow="1" w:lastRow="0" w:firstColumn="0" w:lastColumn="0" w:oddVBand="0" w:evenVBand="0" w:oddHBand="0" w:evenHBand="0"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bottom w:val="single" w:sz="18" w:space="0" w:color="4F81BD"/>
            </w:tcBorders>
            <w:shd w:color="auto" w:fill="1E1B4B"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color w:val="FFFFFF"/>
                <w:kern w:val="0"/>
                <w:sz w:val="22"/>
                <w:szCs w:val="22"/>
                <w:lang w:val="en-US" w:eastAsia="en-US" w:bidi="ar-SA"/>
              </w:rPr>
              <w:t>Concurrent</w:t>
            </w:r>
          </w:p>
        </w:tc>
        <w:tc>
          <w:tcPr>
            <w:tcW w:w="2880" w:type="dxa"/>
            <w:tcBorders>
              <w:bottom w:val="single" w:sz="18" w:space="0" w:color="4F81BD"/>
            </w:tcBorders>
            <w:shd w:color="auto" w:fill="1E1B4B" w:val="clear"/>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Calibri" w:hAnsi="Calibri"/>
                <w:b/>
                <w:bCs/>
                <w:color w:val="FFFFFF"/>
                <w:kern w:val="0"/>
                <w:sz w:val="22"/>
                <w:szCs w:val="22"/>
                <w:lang w:val="en-US" w:eastAsia="en-US" w:bidi="ar-SA"/>
              </w:rPr>
              <w:t>Positionnement</w:t>
            </w:r>
          </w:p>
        </w:tc>
        <w:tc>
          <w:tcPr>
            <w:tcW w:w="2880" w:type="dxa"/>
            <w:tcBorders>
              <w:bottom w:val="single" w:sz="18" w:space="0" w:color="4F81BD"/>
            </w:tcBorders>
            <w:shd w:color="auto" w:fill="1E1B4B" w:val="clear"/>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Calibri" w:hAnsi="Calibri"/>
                <w:b/>
                <w:bCs/>
                <w:color w:val="FFFFFF"/>
                <w:kern w:val="0"/>
                <w:sz w:val="22"/>
                <w:szCs w:val="22"/>
                <w:lang w:val="en-US" w:eastAsia="en-US" w:bidi="ar-SA"/>
              </w:rPr>
              <w:t>Limite identifiée</w:t>
            </w:r>
          </w:p>
        </w:tc>
      </w:tr>
      <w:tr>
        <w:trPr>
          <w:cnfStyle w:val="000000100000" w:firstRow="0" w:lastRow="0" w:firstColumn="0" w:lastColumn="0" w:oddVBand="0" w:evenVBand="0" w:oddHBand="1" w:evenHBand="0"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Wilgo.ai</w:t>
            </w:r>
          </w:p>
        </w:tc>
        <w:tc>
          <w:tcPr>
            <w:tcW w:w="288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Compagnon IA français pour étudiants</w:t>
            </w:r>
          </w:p>
        </w:tc>
        <w:tc>
          <w:tcPr>
            <w:tcW w:w="288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Cloud, dépendance OpenAI, données hors UE</w:t>
            </w:r>
          </w:p>
        </w:tc>
      </w:tr>
      <w:tr>
        <w:trPr>
          <w:cnfStyle w:val="000000010000" w:firstRow="0" w:lastRow="0" w:firstColumn="0" w:lastColumn="0" w:oddVBand="0" w:evenVBand="0" w:oddHBand="0" w:evenHBand="1"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Leo (iamleo.ai)</w:t>
            </w:r>
          </w:p>
        </w:tc>
        <w:tc>
          <w:tcPr>
            <w:tcW w:w="288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Tuteur IA Bac/sup ancré sur programmes français</w:t>
            </w:r>
          </w:p>
        </w:tc>
        <w:tc>
          <w:tcPr>
            <w:tcW w:w="288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Cible étudiants uniquement, pas d'angle enseignant</w:t>
            </w:r>
          </w:p>
        </w:tc>
      </w:tr>
      <w:tr>
        <w:trPr>
          <w:cnfStyle w:val="000000100000" w:firstRow="0" w:lastRow="0" w:firstColumn="0" w:lastColumn="0" w:oddVBand="0" w:evenVBand="0" w:oddHBand="1" w:evenHBand="0"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Quizlet AI</w:t>
            </w:r>
          </w:p>
        </w:tc>
        <w:tc>
          <w:tcPr>
            <w:tcW w:w="288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Cartes mémoire et quiz IA, pionnier US</w:t>
            </w:r>
          </w:p>
        </w:tc>
        <w:tc>
          <w:tcPr>
            <w:tcW w:w="288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Pas d'ancrage cours fourni, focus marché US</w:t>
            </w:r>
          </w:p>
        </w:tc>
      </w:tr>
      <w:tr>
        <w:trPr>
          <w:cnfStyle w:val="000000010000" w:firstRow="0" w:lastRow="0" w:firstColumn="0" w:lastColumn="0" w:oddVBand="0" w:evenVBand="0" w:oddHBand="0" w:evenHBand="1"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Khanmigo</w:t>
            </w:r>
          </w:p>
        </w:tc>
        <w:tc>
          <w:tcPr>
            <w:tcW w:w="288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Tuteur IA Khan Academy, lancé 2023</w:t>
            </w:r>
          </w:p>
        </w:tc>
        <w:tc>
          <w:tcPr>
            <w:tcW w:w="288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US-first, conformité RGPD UE floue</w:t>
            </w:r>
          </w:p>
        </w:tc>
      </w:tr>
    </w:tbl>
    <w:p>
      <w:pPr>
        <w:pStyle w:val="Heading2"/>
        <w:rPr/>
      </w:pPr>
      <w:r>
        <w:br w:type="page"/>
      </w:r>
      <w:bookmarkStart w:id="46" w:name="__RefHeading___Toc1209_3732404666"/>
      <w:bookmarkStart w:id="47" w:name="_Toc233628928"/>
      <w:bookmarkEnd w:id="46"/>
      <w:r>
        <w:rPr>
          <w:color w:val="1E1B4B"/>
        </w:rPr>
        <w:t>6.2. Nos 3 différenciateurs argumentés</w:t>
      </w:r>
      <w:bookmarkEnd w:id="47"/>
    </w:p>
    <w:p>
      <w:pPr>
        <w:pStyle w:val="ListNumber"/>
        <w:numPr>
          <w:ilvl w:val="0"/>
          <w:numId w:val="4"/>
        </w:numPr>
        <w:rPr/>
      </w:pPr>
      <w:r>
        <w:rPr>
          <w:b/>
        </w:rPr>
        <w:t>Pédagogie ancrée et enseignant-first : EduTutor transforme un cours fourni en supports de révision et d’évaluation vérifiables, au lieu de produire des résumés génériques. L’enseignant conserve la maîtrise du contenu et du niveau pédagogique.</w:t>
      </w:r>
    </w:p>
    <w:p>
      <w:pPr>
        <w:pStyle w:val="ListNumber"/>
        <w:numPr>
          <w:ilvl w:val="0"/>
          <w:numId w:val="4"/>
        </w:numPr>
        <w:rPr/>
      </w:pPr>
      <w:r>
        <w:rPr>
          <w:b/>
        </w:rPr>
        <w:t>Inclusion et internationalisation by design : les parcours essentiels sont pensés pour le clavier et les lecteurs d’écran, tandis que l’interface et la génération de quiz sont disponibles en français et en anglais. Cette combinaison prépare l’adoption publique et l’expansion internationale.</w:t>
      </w:r>
    </w:p>
    <w:p>
      <w:pPr>
        <w:pStyle w:val="ListNumber"/>
        <w:numPr>
          <w:ilvl w:val="0"/>
          <w:numId w:val="4"/>
        </w:numPr>
        <w:rPr/>
      </w:pPr>
      <w:r>
        <w:rPr>
          <w:b/>
        </w:rPr>
        <w:t>Souveraineté et passage à l’échelle : l’approche local-first limite l’exposition des données scolaires, et l’architecture supervisable permet d’absorber une utilisation multi-établissements avec des performances mesurées et des coûts maîtrisés.</w:t>
      </w:r>
    </w:p>
    <w:p>
      <w:pPr>
        <w:pStyle w:val="Normal"/>
        <w:rPr/>
      </w:pPr>
      <w:r>
        <w:rPr/>
      </w:r>
      <w:r>
        <w:br w:type="page"/>
      </w:r>
    </w:p>
    <w:p>
      <w:pPr>
        <w:pStyle w:val="Heading1"/>
        <w:spacing w:before="0" w:after="0"/>
        <w:rPr/>
      </w:pPr>
      <w:bookmarkStart w:id="48" w:name="__RefHeading___Toc1211_3732404666"/>
      <w:bookmarkStart w:id="49" w:name="_Toc233628929"/>
      <w:bookmarkEnd w:id="48"/>
      <w:r>
        <w:rPr>
          <w:color w:val="1E1B4B"/>
        </w:rPr>
        <w:t xml:space="preserve">✅ </w:t>
      </w:r>
      <w:r>
        <w:rPr>
          <w:color w:val="1E1B4B"/>
        </w:rPr>
        <w:t>Grille d'auto-évaluation</w:t>
      </w:r>
      <w:bookmarkEnd w:id="49"/>
    </w:p>
    <w:p>
      <w:pPr>
        <w:pStyle w:val="Normal"/>
        <w:rPr/>
      </w:pPr>
      <w:r>
        <w:rPr>
          <w:i/>
          <w:color w:val="475569"/>
          <w:sz w:val="20"/>
        </w:rPr>
        <w:t>À remplir par l'équipe avant de soumettre le livrable au Product Owner. Un livrable rempli avec « Partiel » sur plusieurs lignes signale un besoin de revue collective avant validation.</w:t>
      </w:r>
    </w:p>
    <w:tbl>
      <w:tblPr>
        <w:tblStyle w:val="Grilleclaire-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cnfStyle w:val="100000000000" w:firstRow="1" w:lastRow="0" w:firstColumn="0" w:lastColumn="0" w:oddVBand="0" w:evenVBand="0" w:oddHBand="0" w:evenHBand="0"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bottom w:val="single" w:sz="18" w:space="0" w:color="4F81BD"/>
            </w:tcBorders>
            <w:shd w:color="auto" w:fill="1E1B4B"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color w:val="FFFFFF"/>
                <w:kern w:val="0"/>
                <w:sz w:val="22"/>
                <w:szCs w:val="22"/>
                <w:lang w:val="en-US" w:eastAsia="en-US" w:bidi="ar-SA"/>
              </w:rPr>
              <w:t>Critère qualité</w:t>
            </w:r>
          </w:p>
        </w:tc>
        <w:tc>
          <w:tcPr>
            <w:tcW w:w="2880" w:type="dxa"/>
            <w:tcBorders>
              <w:bottom w:val="single" w:sz="18" w:space="0" w:color="4F81BD"/>
            </w:tcBorders>
            <w:shd w:color="auto" w:fill="1E1B4B" w:val="clear"/>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Calibri" w:hAnsi="Calibri"/>
                <w:b/>
                <w:bCs/>
                <w:color w:val="FFFFFF"/>
                <w:kern w:val="0"/>
                <w:sz w:val="22"/>
                <w:szCs w:val="22"/>
                <w:lang w:val="en-US" w:eastAsia="en-US" w:bidi="ar-SA"/>
              </w:rPr>
              <w:t>Auto-évaluation</w:t>
            </w:r>
          </w:p>
        </w:tc>
        <w:tc>
          <w:tcPr>
            <w:tcW w:w="2880" w:type="dxa"/>
            <w:tcBorders>
              <w:bottom w:val="single" w:sz="18" w:space="0" w:color="4F81BD"/>
            </w:tcBorders>
            <w:shd w:color="auto" w:fill="1E1B4B" w:val="clear"/>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Calibri" w:hAnsi="Calibri"/>
                <w:b/>
                <w:bCs/>
                <w:color w:val="FFFFFF"/>
                <w:kern w:val="0"/>
                <w:sz w:val="22"/>
                <w:szCs w:val="22"/>
                <w:lang w:val="en-US" w:eastAsia="en-US" w:bidi="ar-SA"/>
              </w:rPr>
              <w:t>Commentaire / preuve</w:t>
            </w:r>
          </w:p>
        </w:tc>
      </w:tr>
      <w:tr>
        <w:trPr>
          <w:cnfStyle w:val="000000100000" w:firstRow="0" w:lastRow="0" w:firstColumn="0" w:lastColumn="0" w:oddVBand="0" w:evenVBand="0" w:oddHBand="1" w:evenHBand="0"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La Vision tient en 1 phrase mémorable et survit aux releases</w:t>
            </w:r>
          </w:p>
        </w:tc>
        <w:tc>
          <w:tcPr>
            <w:tcW w:w="288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Oui   ☐ Partiel   ☐ Non</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Vision v2.0 : inclusion, bilinguisme, souveraineté et déploiement public à grande échelle.</w:t>
            </w:r>
          </w:p>
        </w:tc>
      </w:tr>
      <w:tr>
        <w:trPr>
          <w:cnfStyle w:val="000000010000" w:firstRow="0" w:lastRow="0" w:firstColumn="0" w:lastColumn="0" w:oddVBand="0" w:evenVBand="0" w:oddHBand="0" w:evenHBand="1"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Les 3 niveaux de cibles (primaire, secondaire, tertiaire) sont décrits avec profil + volume + pain point</w:t>
            </w:r>
          </w:p>
        </w:tc>
        <w:tc>
          <w:tcPr>
            <w:tcW w:w="288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Oui   ☐ Partiel   ☐ Non</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Cibles enrichies : étudiant, enseignant, institution publique, utilisateur international et utilisateur en situation de handicap.</w:t>
            </w:r>
          </w:p>
        </w:tc>
      </w:tr>
      <w:tr>
        <w:trPr>
          <w:cnfStyle w:val="000000100000" w:firstRow="0" w:lastRow="0" w:firstColumn="0" w:lastColumn="0" w:oddVBand="0" w:evenVBand="0" w:oddHBand="1" w:evenHBand="0"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Au moins 3 besoins par cible sont formulés en verbes d'action mesurables</w:t>
            </w:r>
          </w:p>
        </w:tc>
        <w:tc>
          <w:tcPr>
            <w:tcW w:w="288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Oui   ☐ Partiel   ☐ Non</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Besoins actionnables ajoutés pour le FR/EN, la navigation clavier, le lecteur d’écran et la stabilité sous charge.</w:t>
            </w:r>
          </w:p>
        </w:tc>
      </w:tr>
      <w:tr>
        <w:trPr>
          <w:cnfStyle w:val="000000010000" w:firstRow="0" w:lastRow="0" w:firstColumn="0" w:lastColumn="0" w:oddVBand="0" w:evenVBand="0" w:oddHBand="0" w:evenHBand="1"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Le produit est décrit en 3 à 5 caractéristiques signature (pas une liste de features techniques)</w:t>
            </w:r>
          </w:p>
        </w:tc>
        <w:tc>
          <w:tcPr>
            <w:tcW w:w="288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Oui   ☐ Partiel   ☐ Non</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Signature produit mise à jour autour du local-first, du RGAA, de l’i18n et de la scalabilité.</w:t>
            </w:r>
          </w:p>
        </w:tc>
      </w:tr>
      <w:tr>
        <w:trPr>
          <w:cnfStyle w:val="000000100000" w:firstRow="0" w:lastRow="0" w:firstColumn="0" w:lastColumn="0" w:oddVBand="0" w:evenVBand="0" w:oddHBand="1" w:evenHBand="0"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Les 6 features F1-F6 du MVP sont rappelées et 2-3 pistes Release 2 sont identifiées</w:t>
            </w:r>
          </w:p>
        </w:tc>
        <w:tc>
          <w:tcPr>
            <w:tcW w:w="288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Oui   ☐ Partiel   ☐ Non</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Les trois axes Release 2 sont RGAA, internationalisation et scalabilité.</w:t>
            </w:r>
          </w:p>
        </w:tc>
      </w:tr>
      <w:tr>
        <w:trPr>
          <w:cnfStyle w:val="000000010000" w:firstRow="0" w:lastRow="0" w:firstColumn="0" w:lastColumn="0" w:oddVBand="0" w:evenVBand="0" w:oddHBand="0" w:evenHBand="1"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Les Business Goals comportent au moins 3 KPI chiffrés et datés</w:t>
            </w:r>
          </w:p>
        </w:tc>
        <w:tc>
          <w:tcPr>
            <w:tcW w:w="288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Oui   ☐ Partiel   ☐ Non</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KPI datés ajoutés : pilote public, version anglaise, accessibilité clavier, performance et contrats institutionnels.</w:t>
            </w:r>
          </w:p>
        </w:tc>
      </w:tr>
      <w:tr>
        <w:trPr>
          <w:cnfStyle w:val="000000100000" w:firstRow="0" w:lastRow="0" w:firstColumn="0" w:lastColumn="0" w:oddVBand="0" w:evenVBand="0" w:oddHBand="1" w:evenHBand="0"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Les 4 concurrents sont cartographiés avec positionnement + limite identifiée</w:t>
            </w:r>
          </w:p>
        </w:tc>
        <w:tc>
          <w:tcPr>
            <w:tcW w:w="288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Oui   ☐ Partiel   ☐ Non</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La cartographie concurrentielle existante est conservée ; les nouvelles exigences renforcent le positionnement.</w:t>
            </w:r>
          </w:p>
        </w:tc>
      </w:tr>
      <w:tr>
        <w:trPr>
          <w:cnfStyle w:val="000000010000" w:firstRow="0" w:lastRow="0" w:firstColumn="0" w:lastColumn="0" w:oddVBand="0" w:evenVBand="0" w:oddHBand="0" w:evenHBand="1"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Les 3 différenciateurs EduTutor IA sont argumentés au-delà du slogan</w:t>
            </w:r>
          </w:p>
        </w:tc>
        <w:tc>
          <w:tcPr>
            <w:tcW w:w="288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Oui   ☐ Partiel   ☐ Non</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Les différenciateurs combinent pédagogie ancrée, inclusion / i18n et souveraineté scalable.</w:t>
            </w:r>
          </w:p>
        </w:tc>
      </w:tr>
      <w:tr>
        <w:trPr>
          <w:cnfStyle w:val="000000100000" w:firstRow="0" w:lastRow="0" w:firstColumn="0" w:lastColumn="0" w:oddVBand="0" w:evenVBand="0" w:oddHBand="1" w:evenHBand="0"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0"/>
                <w:szCs w:val="22"/>
                <w:lang w:val="en-US" w:eastAsia="en-US" w:bidi="ar-SA"/>
              </w:rPr>
              <w:t>Le document a été relu et validé par l'équipe complète (toutes les voix entendues)</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 xml:space="preserve">☐ </w:t>
            </w:r>
            <w:r>
              <w:rPr>
                <w:rFonts w:eastAsia="ＭＳ 明朝" w:cs=""/>
                <w:kern w:val="0"/>
                <w:sz w:val="22"/>
                <w:szCs w:val="22"/>
                <w:lang w:val="en-US" w:eastAsia="en-US" w:bidi="ar-SA"/>
              </w:rPr>
              <w:t>Oui   ☑ Partiel   ☐ Non</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Version v2.0 préparée par l’équipe ; validation écrite du PO encore à obtenir.</w:t>
            </w:r>
          </w:p>
        </w:tc>
      </w:tr>
    </w:tbl>
    <w:p>
      <w:pPr>
        <w:pStyle w:val="Normal"/>
        <w:rPr/>
      </w:pPr>
      <w:r>
        <w:rPr/>
      </w:r>
      <w:r>
        <w:br w:type="page"/>
      </w:r>
    </w:p>
    <w:p>
      <w:pPr>
        <w:pStyle w:val="Heading1"/>
        <w:spacing w:before="0" w:after="0"/>
        <w:rPr/>
      </w:pPr>
      <w:bookmarkStart w:id="50" w:name="__RefHeading___Toc1213_3732404666"/>
      <w:bookmarkStart w:id="51" w:name="_Toc233628930"/>
      <w:bookmarkEnd w:id="50"/>
      <w:r>
        <w:rPr>
          <w:color w:val="1E1B4B"/>
        </w:rPr>
        <w:t xml:space="preserve">📚 </w:t>
      </w:r>
      <w:r>
        <w:rPr>
          <w:color w:val="1E1B4B"/>
        </w:rPr>
        <w:t>Références et conventions</w:t>
      </w:r>
      <w:bookmarkEnd w:id="51"/>
    </w:p>
    <w:p>
      <w:pPr>
        <w:pStyle w:val="Heading2"/>
        <w:rPr/>
      </w:pPr>
      <w:bookmarkStart w:id="52" w:name="__RefHeading___Toc1215_3732404666"/>
      <w:bookmarkStart w:id="53" w:name="_Toc233628931"/>
      <w:bookmarkEnd w:id="52"/>
      <w:r>
        <w:rPr>
          <w:color w:val="1E1B4B"/>
        </w:rPr>
        <w:t>Références incontournables</w:t>
      </w:r>
      <w:bookmarkEnd w:id="53"/>
    </w:p>
    <w:p>
      <w:pPr>
        <w:pStyle w:val="Normal"/>
        <w:rPr/>
      </w:pPr>
      <w:r>
        <w:rPr>
          <w:b/>
        </w:rPr>
        <w:t xml:space="preserve">• </w:t>
      </w:r>
      <w:r>
        <w:rPr>
          <w:b/>
        </w:rPr>
        <w:t xml:space="preserve">Cours Agile/Scrum (Mohamed EL AFRIT) : </w:t>
      </w:r>
      <w:r>
        <w:rPr/>
        <w:t>mohamedelafrit.com/teaching/Master_Classe_Agile/cours.html</w:t>
      </w:r>
    </w:p>
    <w:p>
      <w:pPr>
        <w:pStyle w:val="Normal"/>
        <w:rPr/>
      </w:pPr>
      <w:r>
        <w:rPr>
          <w:b/>
        </w:rPr>
        <w:t xml:space="preserve">• </w:t>
      </w:r>
      <w:r>
        <w:rPr>
          <w:b/>
        </w:rPr>
        <w:t xml:space="preserve">Scrum Guide officiel FR : </w:t>
      </w:r>
      <w:r>
        <w:rPr/>
        <w:t>scrumguides.org/docs/scrumguide/v2020/2020-Scrum-Guide-French.pdf</w:t>
      </w:r>
    </w:p>
    <w:p>
      <w:pPr>
        <w:pStyle w:val="Normal"/>
        <w:rPr/>
      </w:pPr>
      <w:r>
        <w:rPr>
          <w:b/>
        </w:rPr>
        <w:t xml:space="preserve">• </w:t>
      </w:r>
      <w:r>
        <w:rPr>
          <w:b/>
        </w:rPr>
        <w:t xml:space="preserve">Site APOCAL'IPSSI : </w:t>
      </w:r>
      <w:r>
        <w:rPr/>
        <w:t>mohamedelafrit.com/teaching/APOCALIPSSI</w:t>
      </w:r>
    </w:p>
    <w:p>
      <w:pPr>
        <w:pStyle w:val="Heading2"/>
        <w:rPr/>
      </w:pPr>
      <w:bookmarkStart w:id="54" w:name="__RefHeading___Toc1217_3732404666"/>
      <w:bookmarkStart w:id="55" w:name="_Toc233628932"/>
      <w:bookmarkEnd w:id="54"/>
      <w:r>
        <w:rPr>
          <w:color w:val="1E1B4B"/>
        </w:rPr>
        <w:t>Références spécifiques à ce document</w:t>
      </w:r>
      <w:bookmarkEnd w:id="55"/>
    </w:p>
    <w:p>
      <w:pPr>
        <w:pStyle w:val="Normal"/>
        <w:rPr/>
      </w:pPr>
      <w:r>
        <w:rPr>
          <w:b/>
        </w:rPr>
        <w:t xml:space="preserve">• </w:t>
      </w:r>
      <w:r>
        <w:rPr>
          <w:b/>
        </w:rPr>
        <w:t xml:space="preserve">Roman Pichler, Product Vision Board (canvas original) : </w:t>
      </w:r>
      <w:r>
        <w:rPr/>
        <w:t>https://www.romanpichler.com/tools/product-vision-board/</w:t>
      </w:r>
    </w:p>
    <w:p>
      <w:pPr>
        <w:pStyle w:val="Normal"/>
        <w:rPr/>
      </w:pPr>
      <w:r>
        <w:rPr>
          <w:b/>
        </w:rPr>
        <w:t xml:space="preserve">• </w:t>
      </w:r>
      <w:r>
        <w:rPr>
          <w:b/>
        </w:rPr>
        <w:t xml:space="preserve">Wilgo.ai, concurrent français : </w:t>
      </w:r>
      <w:r>
        <w:rPr/>
        <w:t>https://wilgo.ai/</w:t>
      </w:r>
    </w:p>
    <w:p>
      <w:pPr>
        <w:pStyle w:val="Normal"/>
        <w:rPr/>
      </w:pPr>
      <w:r>
        <w:rPr>
          <w:b/>
        </w:rPr>
        <w:t xml:space="preserve">• </w:t>
      </w:r>
      <w:r>
        <w:rPr>
          <w:b/>
        </w:rPr>
        <w:t xml:space="preserve">Leo (iamleo.ai), concurrent français : </w:t>
      </w:r>
      <w:r>
        <w:rPr/>
        <w:t>https://iamleo.ai/fr</w:t>
      </w:r>
    </w:p>
    <w:p>
      <w:pPr>
        <w:pStyle w:val="Normal"/>
        <w:rPr/>
      </w:pPr>
      <w:r>
        <w:rPr>
          <w:b/>
        </w:rPr>
        <w:t xml:space="preserve">• </w:t>
      </w:r>
      <w:r>
        <w:rPr>
          <w:b/>
        </w:rPr>
        <w:t xml:space="preserve">Quizlet AI, concurrent US historique : </w:t>
      </w:r>
      <w:r>
        <w:rPr/>
        <w:t>https://quizlet.com/</w:t>
      </w:r>
    </w:p>
    <w:p>
      <w:pPr>
        <w:pStyle w:val="Normal"/>
        <w:rPr/>
      </w:pPr>
      <w:r>
        <w:rPr>
          <w:b/>
        </w:rPr>
        <w:t xml:space="preserve">• </w:t>
      </w:r>
      <w:r>
        <w:rPr>
          <w:b/>
        </w:rPr>
        <w:t xml:space="preserve">Khanmigo, concurrent Khan Academy : </w:t>
      </w:r>
      <w:r>
        <w:rPr/>
        <w:t>https://www.khanmigo.ai/</w:t>
      </w:r>
    </w:p>
    <w:p>
      <w:pPr>
        <w:pStyle w:val="Normal"/>
        <w:rPr/>
      </w:pPr>
      <w:r>
        <w:rPr>
          <w:b/>
        </w:rPr>
        <w:t xml:space="preserve">• </w:t>
      </w:r>
      <w:r>
        <w:rPr>
          <w:b/>
        </w:rPr>
        <w:t xml:space="preserve">Article GoStudent, comparatif outils IA pour révisions : </w:t>
      </w:r>
      <w:r>
        <w:rPr/>
        <w:t>https://www.gostudent.org/fr-fr/blog/outils-ia-pour-faire-des-fiches-de-revision</w:t>
      </w:r>
    </w:p>
    <w:p>
      <w:pPr>
        <w:pStyle w:val="Heading2"/>
        <w:rPr/>
      </w:pPr>
      <w:bookmarkStart w:id="56" w:name="__RefHeading___Toc1219_3732404666"/>
      <w:bookmarkStart w:id="57" w:name="_Toc233628933"/>
      <w:bookmarkEnd w:id="56"/>
      <w:r>
        <w:rPr>
          <w:color w:val="1E1B4B"/>
        </w:rPr>
        <w:t>Convention de versionnement</w:t>
      </w:r>
      <w:bookmarkEnd w:id="57"/>
    </w:p>
    <w:p>
      <w:pPr>
        <w:pStyle w:val="ListBullet"/>
        <w:numPr>
          <w:ilvl w:val="0"/>
          <w:numId w:val="1"/>
        </w:numPr>
        <w:rPr/>
      </w:pPr>
      <w:r>
        <w:rPr/>
        <w:t xml:space="preserve">• </w:t>
      </w:r>
      <w:r>
        <w:rPr/>
        <w:t>v1.0, version initiale produite lors du cadrage matinal</w:t>
      </w:r>
    </w:p>
    <w:p>
      <w:pPr>
        <w:pStyle w:val="ListBullet"/>
        <w:numPr>
          <w:ilvl w:val="0"/>
          <w:numId w:val="1"/>
        </w:numPr>
        <w:rPr/>
      </w:pPr>
      <w:r>
        <w:rPr/>
        <w:t xml:space="preserve">• </w:t>
      </w:r>
      <w:r>
        <w:rPr/>
        <w:t>v1.1, v1.2, révisions mineures (typo, ajout d'item) après revue PO</w:t>
      </w:r>
    </w:p>
    <w:p>
      <w:pPr>
        <w:pStyle w:val="ListBullet"/>
        <w:numPr>
          <w:ilvl w:val="0"/>
          <w:numId w:val="1"/>
        </w:numPr>
        <w:rPr/>
      </w:pPr>
      <w:r>
        <w:rPr/>
        <w:t xml:space="preserve">• </w:t>
      </w:r>
      <w:r>
        <w:rPr/>
        <w:t>v2.0, révision majeure après J4 : adoption publique, RGAA, internationalisation et scalabilité</w:t>
      </w:r>
    </w:p>
    <w:p>
      <w:pPr>
        <w:pStyle w:val="ListBullet"/>
        <w:numPr>
          <w:ilvl w:val="0"/>
          <w:numId w:val="1"/>
        </w:numPr>
        <w:rPr/>
      </w:pPr>
      <w:r>
        <w:rPr/>
        <w:t xml:space="preserve">• </w:t>
      </w:r>
      <w:r>
        <w:rPr/>
        <w:t>Chaque version est commitée séparément avec message Git explicite</w:t>
      </w:r>
    </w:p>
    <w:p>
      <w:pPr>
        <w:pStyle w:val="ListBullet"/>
        <w:numPr>
          <w:ilvl w:val="0"/>
          <w:numId w:val="1"/>
        </w:numPr>
        <w:spacing w:before="0" w:after="200"/>
        <w:contextualSpacing/>
        <w:rPr/>
      </w:pPr>
      <w:r>
        <w:rPr/>
        <w:t xml:space="preserve">• </w:t>
      </w:r>
      <w:r>
        <w:rPr/>
        <w:t>Le statut « Validé PO » nécessite une trace écrite (commentaire, mail, Teams)</w:t>
      </w:r>
    </w:p>
    <w:sectPr>
      <w:footerReference w:type="even" r:id="rId2"/>
      <w:footerReference w:type="default" r:id="rId3"/>
      <w:footerReference w:type="first" r:id="rId4"/>
      <w:type w:val="nextPage"/>
      <w:pgSz w:w="12240" w:h="15840"/>
      <w:pgMar w:left="1800" w:right="1800" w:gutter="0" w:header="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Calibri">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75569"/>
        <w:sz w:val="16"/>
      </w:rPr>
      <w:t>Mohamed Amine EL AFRIT · APOCAL'IPSSI 2026 · CC BY-NC-SA 4.0</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75569"/>
        <w:sz w:val="16"/>
      </w:rPr>
      <w:t>Mohamed Amine EL AFRIT · APOCAL'IPSSI 2026 · CC BY-NC-SA 4.0</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Titre1C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itre2C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itre3C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Titre4C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Titre5C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Titre6C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Titre7C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Titre8C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Titre9C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link w:val="Header"/>
    <w:uiPriority w:val="99"/>
    <w:qFormat/>
    <w:rsid w:val="00e618bf"/>
    <w:rPr/>
  </w:style>
  <w:style w:type="character" w:styleId="PieddepageCar" w:customStyle="1">
    <w:name w:val="Pied de page Car"/>
    <w:basedOn w:val="DefaultParagraphFont"/>
    <w:link w:val="Footer"/>
    <w:uiPriority w:val="99"/>
    <w:qFormat/>
    <w:rsid w:val="00e618bf"/>
    <w:rPr/>
  </w:style>
  <w:style w:type="character" w:styleId="Titre1Car" w:customStyle="1">
    <w:name w:val="Titre 1 C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Titre2Car" w:customStyle="1">
    <w:name w:val="Titre 2 C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Titre3Car" w:customStyle="1">
    <w:name w:val="Titre 3 C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reCar" w:customStyle="1">
    <w:name w:val="Titre C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ous-titreCar" w:customStyle="1">
    <w:name w:val="Sous-titre C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CorpsdetexteCar" w:customStyle="1">
    <w:name w:val="Corps de texte Car"/>
    <w:basedOn w:val="DefaultParagraphFont"/>
    <w:uiPriority w:val="99"/>
    <w:qFormat/>
    <w:rsid w:val="00aa1d8d"/>
    <w:rPr/>
  </w:style>
  <w:style w:type="character" w:styleId="Corpsdetexte2Car" w:customStyle="1">
    <w:name w:val="Corps de texte 2 Car"/>
    <w:basedOn w:val="DefaultParagraphFont"/>
    <w:link w:val="BodyText2"/>
    <w:uiPriority w:val="99"/>
    <w:qFormat/>
    <w:rsid w:val="00aa1d8d"/>
    <w:rPr/>
  </w:style>
  <w:style w:type="character" w:styleId="Corpsdetexte3Car" w:customStyle="1">
    <w:name w:val="Corps de texte 3 Car"/>
    <w:basedOn w:val="DefaultParagraphFont"/>
    <w:link w:val="BodyText3"/>
    <w:uiPriority w:val="99"/>
    <w:qFormat/>
    <w:rsid w:val="00aa1d8d"/>
    <w:rPr>
      <w:sz w:val="16"/>
      <w:szCs w:val="16"/>
    </w:rPr>
  </w:style>
  <w:style w:type="character" w:styleId="TextedemacroCar" w:customStyle="1">
    <w:name w:val="Texte de macro Car"/>
    <w:basedOn w:val="DefaultParagraphFont"/>
    <w:link w:val="MacroText"/>
    <w:uiPriority w:val="99"/>
    <w:qFormat/>
    <w:rsid w:val="0029639d"/>
    <w:rPr>
      <w:rFonts w:ascii="Courier" w:hAnsi="Courier"/>
      <w:sz w:val="20"/>
      <w:szCs w:val="20"/>
    </w:rPr>
  </w:style>
  <w:style w:type="character" w:styleId="CitationCar" w:customStyle="1">
    <w:name w:val="Citation Car"/>
    <w:basedOn w:val="DefaultParagraphFont"/>
    <w:link w:val="Quote"/>
    <w:uiPriority w:val="29"/>
    <w:qFormat/>
    <w:rsid w:val="00fc693f"/>
    <w:rPr>
      <w:i/>
      <w:iCs/>
      <w:color w:themeColor="text1" w:val="000000"/>
    </w:rPr>
  </w:style>
  <w:style w:type="character" w:styleId="Titre4Car" w:customStyle="1">
    <w:name w:val="Titre 4 C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Titre5Car" w:customStyle="1">
    <w:name w:val="Titre 5 C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Titre6Car" w:customStyle="1">
    <w:name w:val="Titre 6 C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Titre7Car" w:customStyle="1">
    <w:name w:val="Titre 7 C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Titre8Car" w:customStyle="1">
    <w:name w:val="Titre 8 C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Titre9Car" w:customStyle="1">
    <w:name w:val="Titre 9 C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tionintenseCar" w:customStyle="1">
    <w:name w:val="Citation intense C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7e48e4"/>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CorpsdetexteC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En-tte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depage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reC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ous-titreC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Corpsdetexte2Car"/>
    <w:uiPriority w:val="99"/>
    <w:unhideWhenUsed/>
    <w:qFormat/>
    <w:rsid w:val="00aa1d8d"/>
    <w:pPr>
      <w:spacing w:lineRule="auto" w:line="480" w:before="0" w:after="120"/>
    </w:pPr>
    <w:rPr/>
  </w:style>
  <w:style w:type="paragraph" w:styleId="BodyText3">
    <w:name w:val="Body Text 3"/>
    <w:basedOn w:val="Normal"/>
    <w:link w:val="Corpsdetexte3C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TextedemacroC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tionCar"/>
    <w:uiPriority w:val="29"/>
    <w:qFormat/>
    <w:rsid w:val="00fc693f"/>
    <w:pPr/>
    <w:rPr>
      <w:i/>
      <w:iCs/>
      <w:color w:themeColor="text1" w:val="000000"/>
    </w:rPr>
  </w:style>
  <w:style w:type="paragraph" w:styleId="IntenseQuot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Normal"/>
    <w:next w:val="Normal"/>
    <w:autoRedefine/>
    <w:uiPriority w:val="39"/>
    <w:unhideWhenUsed/>
    <w:rsid w:val="007e48e4"/>
    <w:pPr>
      <w:spacing w:before="0" w:after="100"/>
    </w:pPr>
    <w:rPr/>
  </w:style>
  <w:style w:type="paragraph" w:styleId="TOC2">
    <w:name w:val="toc 2"/>
    <w:basedOn w:val="Normal"/>
    <w:next w:val="Normal"/>
    <w:autoRedefine/>
    <w:uiPriority w:val="39"/>
    <w:unhideWhenUsed/>
    <w:rsid w:val="007e48e4"/>
    <w:pPr>
      <w:spacing w:before="0" w:after="100"/>
      <w:ind w:left="220"/>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Ombrageclair">
    <w:name w:val="Light Shading"/>
    <w:basedOn w:val="Tableau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Listemoyenne1">
    <w:name w:val="Medium List 1"/>
    <w:basedOn w:val="Tableau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Tramecouleur-Accent1">
    <w:name w:val="Colorful Shading Accent 1"/>
    <w:basedOn w:val="Tableau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Tramecouleur-Accent2">
    <w:name w:val="Colorful Shading Accent 2"/>
    <w:basedOn w:val="Tableau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Tramecouleur-Accent3">
    <w:name w:val="Colorful Shading Accent 3"/>
    <w:basedOn w:val="Tableau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Tramecouleur-Accent5">
    <w:name w:val="Colorful Shading Accent 5"/>
    <w:basedOn w:val="Tableau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Tramecouleur-Accent6">
    <w:name w:val="Colorful Shading Accent 6"/>
    <w:basedOn w:val="Tableau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Listecouleur">
    <w:name w:val="Colorful List"/>
    <w:basedOn w:val="Tableau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LibreOffice/25.2.3.2$Linux_X86_64 LibreOffice_project/520$Build-2</Application>
  <AppVersion>15.0000</AppVersion>
  <Pages>14</Pages>
  <Words>2873</Words>
  <Characters>16084</Characters>
  <CharactersWithSpaces>18683</CharactersWithSpaces>
  <Paragraphs>264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EduTutor IA Product Vision Board RGAA i18n scalabilité APOCAL IPSSI</cp:keywords>
  <dc:language>en-US</dc:language>
  <cp:lastModifiedBy/>
  <dcterms:modified xsi:type="dcterms:W3CDTF">2026-07-02T11:19:05Z</dcterms:modified>
  <cp:revision>3</cp:revision>
  <dc:subject>Mise à jour J4 : adoption par l’État, internationalisation, accessibilité et scalabilité</dc:subject>
  <dc:title>Product Vision Board v2.0 - Équipe 17 - EduTutor IA</dc:title>
</cp:coreProperties>
</file>

<file path=docProps/custom.xml><?xml version="1.0" encoding="utf-8"?>
<Properties xmlns="http://schemas.openxmlformats.org/officeDocument/2006/custom-properties" xmlns:vt="http://schemas.openxmlformats.org/officeDocument/2006/docPropsVTypes"/>
</file>