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Learning Bite: The Ralph Loop</w:t>
      </w:r>
    </w:p>
    <w:p>
      <w:r>
        <w:t xml:space="preserve">Course: Mastering Agentic Engineering</w:t>
      </w:r>
    </w:p>
    <w:p>
      <w:r>
        <w:t xml:space="preserve">Instructor: Addy Osmani</w:t>
      </w:r>
    </w:p>
    <w:p>
      <w:r>
        <w:t xml:space="preserve">Duration: 30–60 seconds</w:t>
      </w:r>
    </w:p>
    <w:p>
      <w:r>
        <w:t xml:space="preserve">Platform: LinkedIn Learning Showcase Page</w:t>
      </w:r>
    </w:p>
    <w:p>
      <w:r>
        <w:t xml:space="preserve"/>
      </w:r>
    </w:p>
    <w:p>
      <w:pPr>
        <w:pStyle w:val="Heading2"/>
      </w:pPr>
      <w:r>
        <w:t xml:space="preserve">Learning Objective</w:t>
      </w:r>
    </w:p>
    <w:p>
      <w:r>
        <w:t xml:space="preserve">After watching this clip, the viewer will understand how AI agents can iterate autonomously using the Ralph Loop pattern—and why it changes the developer workflow.</w:t>
      </w:r>
    </w:p>
    <w:p>
      <w:r>
        <w:t xml:space="preserve"/>
      </w:r>
    </w:p>
    <w:p>
      <w:pPr>
        <w:pStyle w:val="Heading2"/>
      </w:pPr>
      <w:r>
        <w:t xml:space="preserve">Voiceover Script</w:t>
      </w:r>
    </w:p>
    <w:p>
      <w:r>
        <w:t xml:space="preserve"/>
      </w:r>
    </w:p>
    <w:p>
      <w:r>
        <w:t xml:space="preserve">[TALKING HEAD — DIRECT TO CAMERA]</w:t>
      </w:r>
    </w:p>
    <w:p>
      <w:r>
        <w:t xml:space="preserve"/>
      </w:r>
    </w:p>
    <w:p>
      <w:r>
        <w:t xml:space="preserve">What if you could tell an AI agent what to build, define how to test it—and then walk away?</w:t>
      </w:r>
    </w:p>
    <w:p>
      <w:r>
        <w:t xml:space="preserve"/>
      </w:r>
    </w:p>
    <w:p>
      <w:r>
        <w:t xml:space="preserve">That’s the Ralph Loop. You give the agent a goal with clear acceptance criteria and a test suite. It writes code, runs the tests, sees what fails, fixes it, and loops—autonomously—until everything passes.</w:t>
      </w:r>
    </w:p>
    <w:p>
      <w:r>
        <w:t xml:space="preserve"/>
      </w:r>
    </w:p>
    <w:p>
      <w:r>
        <w:t xml:space="preserve">It’s like the code-review cycle you already do, except the agent handles both sides. You define the “what” and the “how do we know it works.” The agent handles the “how.”</w:t>
      </w:r>
    </w:p>
    <w:p>
      <w:r>
        <w:t xml:space="preserve"/>
      </w:r>
    </w:p>
    <w:p>
      <w:r>
        <w:t xml:space="preserve">The key is guardrails: strong tests, scoped tasks, and knowing when to step back in. Get those right, and you’ve got an autonomous teammate that iterates while you focus on the hard problems.</w:t>
      </w:r>
    </w:p>
    <w:p>
      <w:r>
        <w:t xml:space="preserve"/>
      </w:r>
    </w:p>
    <w:p>
      <w:r>
        <w:t xml:space="preserve"/>
      </w:r>
    </w:p>
    <w:p>
      <w:r>
        <w:t xml:space="preserve">----------------------------------------------------------</w:t>
      </w:r>
    </w:p>
    <w:p>
      <w:pPr>
        <w:pStyle w:val="Heading2"/>
      </w:pPr>
      <w:r>
        <w:t xml:space="preserve">Production Notes</w:t>
      </w:r>
    </w:p>
    <w:p>
      <w:r>
        <w:t xml:space="preserve"/>
      </w:r>
    </w:p>
    <w:p>
      <w:r>
        <w:rPr>
          <w:b/>
          <w:bCs/>
        </w:rPr>
        <w:t xml:space="preserve">Tone: </w:t>
      </w:r>
      <w:r>
        <w:t xml:space="preserve">Energetic, slightly provocative opening question, then grounded and practical</w:t>
      </w:r>
    </w:p>
    <w:p>
      <w:r>
        <w:rPr>
          <w:b/>
          <w:bCs/>
        </w:rPr>
        <w:t xml:space="preserve">Pacing: </w:t>
      </w:r>
      <w:r>
        <w:t xml:space="preserve">Start punchy with the hook, settle into a clear explanatory rhythm</w:t>
      </w:r>
    </w:p>
    <w:p>
      <w:r>
        <w:rPr>
          <w:b/>
          <w:bCs/>
        </w:rPr>
        <w:t xml:space="preserve">Visuals: </w:t>
      </w:r>
      <w:r>
        <w:t xml:space="preserve">Talking head, direct to camera. Consider a brief terminal screen overlay or split-screen showing a test suite going from red to green.</w:t>
      </w:r>
    </w:p>
    <w:p>
      <w:r>
        <w:rPr>
          <w:b/>
          <w:bCs/>
        </w:rPr>
        <w:t xml:space="preserve">CTA: </w:t>
      </w:r>
      <w:r>
        <w:t xml:space="preserve">End card linking to the full course on LinkedIn Learning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2026-03-06T18:51:06.331Z</dcterms:created>
  <dcterms:modified xsi:type="dcterms:W3CDTF">2026-03-06T18:51:06.331Z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