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Carlito" w:cs="Carlito" w:ascii="Carlito" w:hAnsi="Carlito"/>
          <w:b/>
          <w:i/>
        </w:rPr>
        <w:t>NoIze</w:t>
      </w:r>
      <w:r>
        <w:rPr>
          <w:rFonts w:eastAsia="Carlito" w:cs="Carlito" w:ascii="Carlito" w:hAnsi="Carlito"/>
          <w:i/>
        </w:rPr>
        <w:t>-framework</w:t>
      </w:r>
      <w:r>
        <w:rPr/>
        <w:t xml:space="preserve"> uses third-party libraries or other resources that may be distributed under licenses different than the</w:t>
      </w:r>
      <w:r>
        <w:rPr>
          <w:highlight w:val="yellow"/>
        </w:rPr>
        <w:t xml:space="preserve"> </w:t>
      </w:r>
      <w:r>
        <w:rPr>
          <w:rFonts w:eastAsia="Carlito" w:cs="Carlito" w:ascii="Carlito" w:hAnsi="Carlito"/>
        </w:rPr>
        <w:t xml:space="preserve"> </w:t>
      </w:r>
      <w:r>
        <w:rPr>
          <w:rFonts w:eastAsia="Carlito" w:cs="Carlito" w:ascii="Carlito" w:hAnsi="Carlito"/>
          <w:b/>
        </w:rPr>
        <w:t>NoIze</w:t>
      </w:r>
      <w:r>
        <w:rPr>
          <w:rFonts w:eastAsia="Carlito" w:cs="Carlito" w:ascii="Carlito" w:hAnsi="Carlito"/>
          <w:i/>
        </w:rPr>
        <w:t xml:space="preserve"> </w:t>
      </w:r>
      <w:bookmarkStart w:id="0" w:name="_GoBack"/>
      <w:bookmarkEnd w:id="0"/>
      <w:r>
        <w:rPr>
          <w:rFonts w:eastAsia="Carlito" w:cs="Carlito" w:ascii="Carlito" w:hAnsi="Carlito"/>
          <w:i/>
        </w:rPr>
        <w:t>-framework</w:t>
      </w:r>
      <w:r>
        <w:rPr>
          <w:highlight w:val="yellow"/>
        </w:rPr>
        <w:t>.</w:t>
      </w:r>
    </w:p>
    <w:p>
      <w:pPr>
        <w:pStyle w:val="Normal"/>
        <w:rPr/>
      </w:pPr>
      <w:r>
        <w:rPr/>
        <w:t>------------------------------------------</w:t>
      </w:r>
    </w:p>
    <w:p>
      <w:pPr>
        <w:pStyle w:val="Normal"/>
        <w:rPr>
          <w:color w:val="000000" w:themeColor="text1"/>
        </w:rPr>
      </w:pPr>
      <w:r>
        <w:rPr>
          <w:b/>
          <w:bCs/>
          <w:color w:val="000000" w:themeColor="text1"/>
        </w:rPr>
        <w:t xml:space="preserve">NumPy </w:t>
      </w:r>
      <w:r>
        <w:rPr>
          <w:b/>
          <w:bCs/>
          <w:color w:val="000000" w:themeColor="text1"/>
        </w:rPr>
        <w:t>1.16.4</w:t>
      </w:r>
    </w:p>
    <w:p>
      <w:pPr>
        <w:pStyle w:val="Normal"/>
        <w:rPr/>
      </w:pPr>
      <w:r>
        <w:rPr>
          <w:color w:val="000000" w:themeColor="text1"/>
        </w:rPr>
        <w:t>Copyright © 2005-2019, NumPy Developers.</w:t>
      </w:r>
    </w:p>
    <w:p>
      <w:pPr>
        <w:pStyle w:val="Normal"/>
        <w:rPr/>
      </w:pPr>
      <w:r>
        <w:rPr>
          <w:color w:val="000000" w:themeColor="text1"/>
        </w:rPr>
        <w:t>All rights reserved.</w:t>
      </w:r>
    </w:p>
    <w:p>
      <w:pPr>
        <w:pStyle w:val="Normal"/>
        <w:rPr/>
      </w:pPr>
      <w:r>
        <w:rPr>
          <w:color w:val="000000" w:themeColor="text1"/>
        </w:rPr>
        <w:t>Redistribution and use in source and binary forms, with or without modification, are permitted provided that the following conditions are met:</w:t>
      </w:r>
    </w:p>
    <w:p>
      <w:pPr>
        <w:pStyle w:val="Normal"/>
        <w:rPr/>
      </w:pPr>
      <w:r>
        <w:rPr>
          <w:color w:val="000000" w:themeColor="text1"/>
        </w:rPr>
        <w:t>Redistributions of source code must retain the above copyright notice, this list of conditions and the following disclaimer.</w:t>
      </w:r>
    </w:p>
    <w:p>
      <w:pPr>
        <w:pStyle w:val="Normal"/>
        <w:rPr/>
      </w:pPr>
      <w:r>
        <w:rPr>
          <w:color w:val="000000" w:themeColor="text1"/>
        </w:rPr>
        <w:t>Redistributions in binary form must reproduce the above copyright notice, this list of conditions and the following disclaimer in the documentation and/or other materials provided with the distribution.</w:t>
      </w:r>
    </w:p>
    <w:p>
      <w:pPr>
        <w:pStyle w:val="Normal"/>
        <w:rPr/>
      </w:pPr>
      <w:r>
        <w:rPr>
          <w:color w:val="000000" w:themeColor="text1"/>
        </w:rPr>
        <w:t>Neither the name of the NumPy Developers nor the names of any contributors may be used to endorse or promote products derived from this software without specific prior written permission.</w:t>
      </w:r>
    </w:p>
    <w:p>
      <w:pPr>
        <w:pStyle w:val="Normal"/>
        <w:rPr/>
      </w:pPr>
      <w:r>
        <w:rPr>
          <w:color w:val="000000" w:themeColor="text1"/>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pPr>
      <w:r>
        <w:rPr>
          <w:color w:val="000000" w:themeColor="text1"/>
        </w:rPr>
        <w:t>---------------------------------------------------------------------------</w:t>
      </w:r>
    </w:p>
    <w:p>
      <w:pPr>
        <w:pStyle w:val="Normal"/>
        <w:rPr/>
      </w:pPr>
      <w:r>
        <w:rPr/>
      </w:r>
    </w:p>
    <w:p>
      <w:pPr>
        <w:pStyle w:val="Normal"/>
        <w:rPr>
          <w:b/>
          <w:b/>
          <w:bCs/>
        </w:rPr>
      </w:pPr>
      <w:r>
        <w:rPr>
          <w:b/>
          <w:bCs/>
        </w:rPr>
        <w:t>python-speech-features 0.6</w:t>
      </w:r>
    </w:p>
    <w:p>
      <w:pPr>
        <w:pStyle w:val="Normal"/>
        <w:rPr/>
      </w:pPr>
      <w:r>
        <w:rPr/>
        <w:br/>
        <w:t>The MIT License (MIT)</w:t>
      </w:r>
    </w:p>
    <w:p>
      <w:pPr>
        <w:pStyle w:val="Normal"/>
        <w:rPr/>
      </w:pPr>
      <w:r>
        <w:rPr/>
        <w:t>Copyright (c) 2013 James Lyons</w:t>
      </w:r>
    </w:p>
    <w:p>
      <w:pPr>
        <w:pStyle w:val="Normal"/>
        <w:rPr/>
      </w:pPr>
      <w:r>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br/>
        <w:t xml:space="preserve">The above copyright notice and this permission notice shall be included in all copies or substantial portions of the Software. </w:t>
      </w:r>
    </w:p>
    <w:p>
      <w:pPr>
        <w:pStyle w:val="Normal"/>
        <w:rPr/>
      </w:pPr>
      <w:r>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Normal"/>
        <w:rPr/>
      </w:pPr>
      <w:r>
        <w:rPr>
          <w:color w:val="000000" w:themeColor="text1"/>
        </w:rPr>
        <w:t>---------------------------------------------------------------------------</w:t>
      </w:r>
    </w:p>
    <w:p>
      <w:pPr>
        <w:pStyle w:val="Normal"/>
        <w:rPr>
          <w:b/>
          <w:b/>
          <w:bCs/>
        </w:rPr>
      </w:pPr>
      <w:r>
        <w:rPr>
          <w:b/>
          <w:bCs/>
          <w:color w:val="000000" w:themeColor="text1"/>
        </w:rPr>
        <w:t>scipy 1.3.0</w:t>
      </w:r>
    </w:p>
    <w:p>
      <w:pPr>
        <w:pStyle w:val="Normal"/>
        <w:rPr>
          <w:color w:val="000000" w:themeColor="text1"/>
        </w:rPr>
      </w:pPr>
      <w:r>
        <w:rPr>
          <w:color w:val="000000" w:themeColor="text1"/>
        </w:rPr>
        <w:t>BSD License (BSD)</w:t>
      </w:r>
    </w:p>
    <w:p>
      <w:pPr>
        <w:pStyle w:val="Normal"/>
        <w:rPr/>
      </w:pPr>
      <w:r>
        <w:rPr>
          <w:color w:val="000000" w:themeColor="text1"/>
        </w:rPr>
        <w:t>Copyright (c) scipy developers</w:t>
      </w:r>
    </w:p>
    <w:p>
      <w:pPr>
        <w:pStyle w:val="Textkrper"/>
        <w:rPr/>
      </w:pPr>
      <w:r>
        <w:rPr/>
        <w:t xml:space="preserve">The Regents of the University of California. All rights reserved. </w:t>
      </w:r>
    </w:p>
    <w:p>
      <w:pPr>
        <w:pStyle w:val="Textkrper"/>
        <w:rPr/>
      </w:pPr>
      <w:r>
        <w:rPr/>
        <w:t xml:space="preserve">Redistribution and use in source and binary forms, with or without modification, are permitted provided that the following conditions are met: </w:t>
      </w:r>
    </w:p>
    <w:p>
      <w:pPr>
        <w:pStyle w:val="Textkrper"/>
        <w:numPr>
          <w:ilvl w:val="0"/>
          <w:numId w:val="1"/>
        </w:numPr>
        <w:tabs>
          <w:tab w:val="left" w:pos="0" w:leader="none"/>
        </w:tabs>
        <w:spacing w:before="0" w:after="0"/>
        <w:ind w:left="707" w:hanging="283"/>
        <w:rPr/>
      </w:pPr>
      <w:r>
        <w:rPr/>
        <w:t xml:space="preserve">Redistributions of source code must retain the above copyright notice, this list of conditions and the following disclaimer. </w:t>
      </w:r>
    </w:p>
    <w:p>
      <w:pPr>
        <w:pStyle w:val="Textkrper"/>
        <w:numPr>
          <w:ilvl w:val="0"/>
          <w:numId w:val="1"/>
        </w:numPr>
        <w:tabs>
          <w:tab w:val="left" w:pos="0" w:leader="none"/>
        </w:tabs>
        <w:spacing w:before="0" w:after="0"/>
        <w:ind w:left="707" w:hanging="283"/>
        <w:rPr/>
      </w:pPr>
      <w:r>
        <w:rPr/>
        <w:t xml:space="preserve">Redistributions in binary form must reproduce the above copyright notice, this list of conditions and the following disclaimer in the documentation and/or other materials provided with the distribution. </w:t>
      </w:r>
    </w:p>
    <w:p>
      <w:pPr>
        <w:pStyle w:val="Textkrper"/>
        <w:numPr>
          <w:ilvl w:val="0"/>
          <w:numId w:val="1"/>
        </w:numPr>
        <w:tabs>
          <w:tab w:val="left" w:pos="0" w:leader="none"/>
        </w:tabs>
        <w:spacing w:before="0" w:after="0"/>
        <w:ind w:left="707" w:hanging="283"/>
        <w:rPr/>
      </w:pPr>
      <w:r>
        <w:rPr/>
        <w:t xml:space="preserve">All advertising materials mentioning features or use of this software must display the following acknowledgement: “This product includes software developed by the University of California, Berkeley and its contributors.” </w:t>
      </w:r>
    </w:p>
    <w:p>
      <w:pPr>
        <w:pStyle w:val="Textkrper"/>
        <w:numPr>
          <w:ilvl w:val="0"/>
          <w:numId w:val="1"/>
        </w:numPr>
        <w:tabs>
          <w:tab w:val="left" w:pos="0" w:leader="none"/>
        </w:tabs>
        <w:ind w:left="707" w:hanging="283"/>
        <w:rPr/>
      </w:pPr>
      <w:r>
        <w:rPr/>
        <w:t>Neither the name of the University nor the names of its contributors may be used to endorse or promote products derived from this software without specific prior written permission.</w:t>
      </w:r>
    </w:p>
    <w:p>
      <w:pPr>
        <w:pStyle w:val="Textkrper"/>
        <w:rPr/>
      </w:pPr>
      <w:r>
        <w:rPr/>
        <w:t xml:space="preserve">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pPr>
        <w:pStyle w:val="Textkrper"/>
        <w:rPr/>
      </w:pPr>
      <w:r>
        <w:rPr/>
        <w:t>----------------------------------------------------------------------------</w:t>
      </w:r>
    </w:p>
    <w:p>
      <w:pPr>
        <w:pStyle w:val="Normal"/>
        <w:rPr/>
      </w:pPr>
      <w:r>
        <w:rPr>
          <w:b/>
          <w:bCs/>
        </w:rPr>
        <w:t>Keras 1.3.0</w:t>
      </w:r>
      <w:r>
        <w:rPr/>
        <w:br/>
      </w:r>
    </w:p>
    <w:p>
      <w:pPr>
        <w:pStyle w:val="Normal"/>
        <w:rPr/>
      </w:pPr>
      <w:r>
        <w:rPr/>
        <w:t>COPYRIGHT</w:t>
      </w:r>
    </w:p>
    <w:p>
      <w:pPr>
        <w:pStyle w:val="Normal"/>
        <w:rPr/>
      </w:pPr>
      <w:r>
        <w:rPr/>
      </w:r>
    </w:p>
    <w:p>
      <w:pPr>
        <w:pStyle w:val="Normal"/>
        <w:rPr/>
      </w:pPr>
      <w:r>
        <w:rPr/>
        <w:t>All contributions by François Chollet:</w:t>
      </w:r>
    </w:p>
    <w:p>
      <w:pPr>
        <w:pStyle w:val="Normal"/>
        <w:rPr/>
      </w:pPr>
      <w:r>
        <w:rPr/>
        <w:t>Copyright (c) 2015 - 2019, François Chollet.</w:t>
      </w:r>
    </w:p>
    <w:p>
      <w:pPr>
        <w:pStyle w:val="Normal"/>
        <w:rPr/>
      </w:pPr>
      <w:r>
        <w:rPr/>
        <w:t>All rights reserved.</w:t>
      </w:r>
    </w:p>
    <w:p>
      <w:pPr>
        <w:pStyle w:val="Normal"/>
        <w:rPr/>
      </w:pPr>
      <w:r>
        <w:rPr/>
      </w:r>
    </w:p>
    <w:p>
      <w:pPr>
        <w:pStyle w:val="Normal"/>
        <w:rPr/>
      </w:pPr>
      <w:r>
        <w:rPr/>
        <w:t>All contributions by Google:</w:t>
      </w:r>
    </w:p>
    <w:p>
      <w:pPr>
        <w:pStyle w:val="Normal"/>
        <w:rPr/>
      </w:pPr>
      <w:r>
        <w:rPr/>
        <w:t>Copyright (c) 2015 - 2019, Google, Inc.</w:t>
      </w:r>
    </w:p>
    <w:p>
      <w:pPr>
        <w:pStyle w:val="Normal"/>
        <w:rPr/>
      </w:pPr>
      <w:r>
        <w:rPr/>
        <w:t>All rights reserved.</w:t>
      </w:r>
    </w:p>
    <w:p>
      <w:pPr>
        <w:pStyle w:val="Normal"/>
        <w:rPr/>
      </w:pPr>
      <w:r>
        <w:rPr/>
      </w:r>
    </w:p>
    <w:p>
      <w:pPr>
        <w:pStyle w:val="Normal"/>
        <w:rPr/>
      </w:pPr>
      <w:r>
        <w:rPr/>
        <w:t>All contributions by Microsoft:</w:t>
      </w:r>
    </w:p>
    <w:p>
      <w:pPr>
        <w:pStyle w:val="Normal"/>
        <w:rPr/>
      </w:pPr>
      <w:r>
        <w:rPr/>
        <w:t>Copyright (c) 2017 - 2019, Microsoft, Inc.</w:t>
      </w:r>
    </w:p>
    <w:p>
      <w:pPr>
        <w:pStyle w:val="Normal"/>
        <w:rPr/>
      </w:pPr>
      <w:r>
        <w:rPr/>
        <w:t>All rights reserved.</w:t>
      </w:r>
    </w:p>
    <w:p>
      <w:pPr>
        <w:pStyle w:val="Normal"/>
        <w:rPr/>
      </w:pPr>
      <w:r>
        <w:rPr/>
      </w:r>
    </w:p>
    <w:p>
      <w:pPr>
        <w:pStyle w:val="Normal"/>
        <w:rPr/>
      </w:pPr>
      <w:r>
        <w:rPr/>
        <w:t>All other contributions:</w:t>
      </w:r>
    </w:p>
    <w:p>
      <w:pPr>
        <w:pStyle w:val="Normal"/>
        <w:rPr/>
      </w:pPr>
      <w:r>
        <w:rPr/>
        <w:t>Copyright (c) 2015 - 2019, the respective contributors.</w:t>
      </w:r>
    </w:p>
    <w:p>
      <w:pPr>
        <w:pStyle w:val="Normal"/>
        <w:rPr/>
      </w:pPr>
      <w:r>
        <w:rPr/>
        <w:t>All rights reserved.</w:t>
      </w:r>
    </w:p>
    <w:p>
      <w:pPr>
        <w:pStyle w:val="Normal"/>
        <w:rPr/>
      </w:pPr>
      <w:r>
        <w:rPr/>
      </w:r>
    </w:p>
    <w:p>
      <w:pPr>
        <w:pStyle w:val="Normal"/>
        <w:rPr/>
      </w:pPr>
      <w:r>
        <w:rPr/>
        <w:t>Each contributor holds copyright over their respective contributions.</w:t>
      </w:r>
    </w:p>
    <w:p>
      <w:pPr>
        <w:pStyle w:val="Normal"/>
        <w:rPr/>
      </w:pPr>
      <w:r>
        <w:rPr/>
        <w:t>The project versioning (Git) records all such contribution source information.</w:t>
      </w:r>
    </w:p>
    <w:p>
      <w:pPr>
        <w:pStyle w:val="Normal"/>
        <w:rPr/>
      </w:pPr>
      <w:r>
        <w:rPr/>
      </w:r>
    </w:p>
    <w:p>
      <w:pPr>
        <w:pStyle w:val="Normal"/>
        <w:rPr/>
      </w:pPr>
      <w:r>
        <w:rPr/>
        <w:t>LICENSE</w:t>
      </w:r>
    </w:p>
    <w:p>
      <w:pPr>
        <w:pStyle w:val="Normal"/>
        <w:rPr/>
      </w:pPr>
      <w:r>
        <w:rPr/>
      </w:r>
    </w:p>
    <w:p>
      <w:pPr>
        <w:pStyle w:val="Normal"/>
        <w:rPr/>
      </w:pPr>
      <w:r>
        <w:rPr/>
        <w:t>The MIT License (MIT)</w:t>
      </w:r>
    </w:p>
    <w:p>
      <w:pPr>
        <w:pStyle w:val="Normal"/>
        <w:rPr/>
      </w:pPr>
      <w:r>
        <w:rPr/>
      </w:r>
    </w:p>
    <w:p>
      <w:pPr>
        <w:pStyle w:val="Normal"/>
        <w:rPr/>
      </w:pPr>
      <w:r>
        <w:rPr/>
        <w:t>Permission is hereby granted, free of charge, to any person obtaining a copy</w:t>
      </w:r>
    </w:p>
    <w:p>
      <w:pPr>
        <w:pStyle w:val="Normal"/>
        <w:rPr/>
      </w:pPr>
      <w:r>
        <w:rPr/>
        <w:t>of this software and associated documentation files (the "Software"), to deal</w:t>
      </w:r>
    </w:p>
    <w:p>
      <w:pPr>
        <w:pStyle w:val="Normal"/>
        <w:rPr/>
      </w:pPr>
      <w:r>
        <w:rPr/>
        <w:t>in the Software without restriction, including without limitation the rights</w:t>
      </w:r>
    </w:p>
    <w:p>
      <w:pPr>
        <w:pStyle w:val="Normal"/>
        <w:rPr/>
      </w:pPr>
      <w:r>
        <w:rPr/>
        <w:t>to use, copy, modify, merge, publish, distribute, sublicense, and/or sell</w:t>
      </w:r>
    </w:p>
    <w:p>
      <w:pPr>
        <w:pStyle w:val="Normal"/>
        <w:rPr/>
      </w:pPr>
      <w:r>
        <w:rPr/>
        <w:t>copies of the Software, and to permit persons to whom the Software is</w:t>
      </w:r>
    </w:p>
    <w:p>
      <w:pPr>
        <w:pStyle w:val="Normal"/>
        <w:rPr/>
      </w:pPr>
      <w:r>
        <w:rPr/>
        <w:t>furnished to do so, subject to the following conditions:</w:t>
      </w:r>
    </w:p>
    <w:p>
      <w:pPr>
        <w:pStyle w:val="Normal"/>
        <w:rPr/>
      </w:pPr>
      <w:r>
        <w:rPr/>
      </w:r>
    </w:p>
    <w:p>
      <w:pPr>
        <w:pStyle w:val="Normal"/>
        <w:rPr/>
      </w:pPr>
      <w:r>
        <w:rPr/>
        <w:t>The above copyright notice and this permission notice shall be included in all</w:t>
      </w:r>
    </w:p>
    <w:p>
      <w:pPr>
        <w:pStyle w:val="Normal"/>
        <w:rPr/>
      </w:pPr>
      <w:r>
        <w:rPr/>
        <w:t>copies or substantial portions of the Software.</w:t>
      </w:r>
    </w:p>
    <w:p>
      <w:pPr>
        <w:pStyle w:val="Normal"/>
        <w:rPr/>
      </w:pPr>
      <w:r>
        <w:rPr/>
      </w:r>
    </w:p>
    <w:p>
      <w:pPr>
        <w:pStyle w:val="Normal"/>
        <w:rPr/>
      </w:pPr>
      <w:r>
        <w:rPr/>
        <w:t>THE SOFTWARE IS PROVIDED "AS IS", WITHOUT WARRANTY OF ANY KIND, EXPRESS OR</w:t>
      </w:r>
    </w:p>
    <w:p>
      <w:pPr>
        <w:pStyle w:val="Normal"/>
        <w:rPr/>
      </w:pPr>
      <w:r>
        <w:rPr/>
        <w:t>IMPLIED, INCLUDING BUT NOT LIMITED TO THE WARRANTIES OF MERCHANTABILITY,</w:t>
      </w:r>
    </w:p>
    <w:p>
      <w:pPr>
        <w:pStyle w:val="Normal"/>
        <w:rPr/>
      </w:pPr>
      <w:r>
        <w:rPr/>
        <w:t>FITNESS FOR A PARTICULAR PURPOSE AND NONINFRINGEMENT. IN NO EVENT SHALL THE</w:t>
      </w:r>
    </w:p>
    <w:p>
      <w:pPr>
        <w:pStyle w:val="Normal"/>
        <w:rPr/>
      </w:pPr>
      <w:r>
        <w:rPr/>
        <w:t>AUTHORS OR COPYRIGHT HOLDERS BE LIABLE FOR ANY CLAIM, DAMAGES OR OTHER</w:t>
      </w:r>
    </w:p>
    <w:p>
      <w:pPr>
        <w:pStyle w:val="Normal"/>
        <w:rPr/>
      </w:pPr>
      <w:r>
        <w:rPr/>
        <w:t>LIABILITY, WHETHER IN AN ACTION OF CONTRACT, TORT OR OTHERWISE, ARISING FROM,</w:t>
      </w:r>
    </w:p>
    <w:p>
      <w:pPr>
        <w:pStyle w:val="Normal"/>
        <w:rPr/>
      </w:pPr>
      <w:r>
        <w:rPr/>
        <w:t>OUT OF OR IN CONNECTION WITH THE SOFTWARE OR THE USE OR OTHER DEALINGS IN THE</w:t>
      </w:r>
    </w:p>
    <w:p>
      <w:pPr>
        <w:pStyle w:val="Normal"/>
        <w:rPr/>
      </w:pPr>
      <w:r>
        <w:rPr/>
        <w:t>SOFTWARE.</w:t>
      </w:r>
    </w:p>
    <w:p>
      <w:pPr>
        <w:pStyle w:val="Normal"/>
        <w:rPr/>
      </w:pPr>
      <w:r>
        <w:rPr/>
      </w:r>
    </w:p>
    <w:p>
      <w:pPr>
        <w:pStyle w:val="Normal"/>
        <w:rPr/>
      </w:pPr>
      <w:r>
        <w:rPr/>
        <w:t>----------------------------------------------------------------------------</w:t>
      </w:r>
    </w:p>
    <w:p>
      <w:pPr>
        <w:pStyle w:val="Normal"/>
        <w:rPr/>
      </w:pPr>
      <w:r>
        <w:rPr>
          <w:b/>
          <w:bCs/>
        </w:rPr>
        <w:t>tensorflow 1.14.0</w:t>
      </w:r>
      <w:r>
        <w:rPr/>
        <w:br/>
        <w:t xml:space="preserve">Attribution 4.0 International (CC BY 4.0) </w:t>
      </w:r>
    </w:p>
    <w:p>
      <w:pPr>
        <w:pStyle w:val="Normal"/>
        <w:rPr/>
      </w:pPr>
      <w:r>
        <w:rPr/>
        <w:t>You are free to:</w:t>
      </w:r>
    </w:p>
    <w:p>
      <w:pPr>
        <w:pStyle w:val="Normal"/>
        <w:rPr/>
      </w:pPr>
      <w:r>
        <w:rPr/>
        <w:t xml:space="preserve">    </w:t>
      </w:r>
      <w:r>
        <w:rPr/>
        <w:t>Share — copy and redistribute the material in any medium or format</w:t>
      </w:r>
    </w:p>
    <w:p>
      <w:pPr>
        <w:pStyle w:val="Normal"/>
        <w:rPr/>
      </w:pPr>
      <w:r>
        <w:rPr/>
        <w:t xml:space="preserve">    </w:t>
      </w:r>
      <w:r>
        <w:rPr/>
        <w:t>Adapt — remix, transform, and build upon the material</w:t>
      </w:r>
    </w:p>
    <w:p>
      <w:pPr>
        <w:pStyle w:val="Normal"/>
        <w:rPr/>
      </w:pPr>
      <w:r>
        <w:rPr/>
        <w:t xml:space="preserve">    </w:t>
      </w:r>
      <w:r>
        <w:rPr/>
        <w:t>for any purpose, even commercially.</w:t>
      </w:r>
    </w:p>
    <w:p>
      <w:pPr>
        <w:pStyle w:val="Normal"/>
        <w:rPr/>
      </w:pPr>
      <w:r>
        <w:rPr/>
        <w:t>This license is acceptable for Free Cultural Works.</w:t>
      </w:r>
    </w:p>
    <w:p>
      <w:pPr>
        <w:pStyle w:val="Normal"/>
        <w:rPr/>
      </w:pPr>
      <w:r>
        <w:rPr/>
        <w:t xml:space="preserve">    </w:t>
      </w:r>
      <w:r>
        <w:rPr/>
        <w:t>The licensor cannot revoke these freedoms as long as you follow the license terms.</w:t>
      </w:r>
    </w:p>
    <w:p>
      <w:pPr>
        <w:pStyle w:val="Normal"/>
        <w:rPr/>
      </w:pPr>
      <w:r>
        <w:rPr/>
        <w:t>Under the following terms:</w:t>
      </w:r>
    </w:p>
    <w:p>
      <w:pPr>
        <w:pStyle w:val="Normal"/>
        <w:rPr/>
      </w:pPr>
      <w:r>
        <w:rPr/>
        <w:t xml:space="preserve">    </w:t>
      </w:r>
      <w:r>
        <w:rPr/>
        <w:t>Attribution — You must give appropriate credit, provide a link to the license, and indicate if changes were made. You may do so in any reasonable manner, but not in any way that suggests the licensor endorses you or your use.</w:t>
      </w:r>
    </w:p>
    <w:p>
      <w:pPr>
        <w:pStyle w:val="Normal"/>
        <w:rPr/>
      </w:pPr>
      <w:r>
        <w:rPr/>
        <w:t xml:space="preserve">    </w:t>
      </w:r>
      <w:r>
        <w:rPr/>
        <w:t>No additional restrictions — You may not apply legal terms or technological measures that legally restrict others from doing anything the license permits.</w:t>
      </w:r>
    </w:p>
    <w:p>
      <w:pPr>
        <w:pStyle w:val="Normal"/>
        <w:rPr/>
      </w:pPr>
      <w:r>
        <w:rPr/>
        <w:t>Notices:</w:t>
      </w:r>
    </w:p>
    <w:p>
      <w:pPr>
        <w:pStyle w:val="Normal"/>
        <w:rPr/>
      </w:pPr>
      <w:r>
        <w:rPr/>
        <w:t>You do not have to comply with the license for elements of the material in the public domain or where your use is permitted by an applicable exception or limitation.</w:t>
      </w:r>
    </w:p>
    <w:p>
      <w:pPr>
        <w:pStyle w:val="Normal"/>
        <w:rPr/>
      </w:pPr>
      <w:r>
        <w:rPr/>
        <w:t xml:space="preserve">    </w:t>
      </w:r>
      <w:r>
        <w:rPr/>
        <w:t>No warranties are given. The license may not give you all of the permissions necessary for your intended use. For example, other rights such as publicity, privacy, or moral rights may limit how you use the material.</w:t>
      </w:r>
    </w:p>
    <w:p>
      <w:pPr>
        <w:pStyle w:val="Normal"/>
        <w:rPr/>
      </w:pPr>
      <w:r>
        <w:rPr/>
        <w:t>–</w:t>
      </w:r>
      <w:r>
        <w:rPr/>
        <w:t>--------------------------------------------------------------------------</w:t>
        <w:br/>
        <w:br/>
      </w:r>
      <w:r>
        <w:rPr>
          <w:b/>
          <w:bCs/>
        </w:rPr>
        <w:t>sphinx 2.1.2</w:t>
        <w:br/>
      </w:r>
      <w:r>
        <w:rPr/>
        <w:br/>
        <w:t>License: BSD License (BSD)</w:t>
        <w:br/>
        <w:t>Author: Georg Brandl</w:t>
        <w:br/>
      </w:r>
    </w:p>
    <w:p>
      <w:pPr>
        <w:pStyle w:val="Normal"/>
        <w:rPr/>
      </w:pPr>
      <w:r>
        <w:rPr/>
        <w:t>----------------------------------------------------------------------------</w:t>
      </w:r>
    </w:p>
    <w:p>
      <w:pPr>
        <w:pStyle w:val="Normal"/>
        <w:rPr>
          <w:b/>
          <w:b/>
          <w:bCs/>
        </w:rPr>
      </w:pPr>
      <w:r>
        <w:rPr>
          <w:b/>
          <w:bCs/>
        </w:rPr>
        <w:t xml:space="preserve">Python </w:t>
      </w:r>
      <w:r>
        <w:rPr>
          <w:b/>
          <w:bCs/>
        </w:rPr>
        <w:t>3.6.8</w:t>
      </w:r>
    </w:p>
    <w:p>
      <w:pPr>
        <w:pStyle w:val="Normal"/>
        <w:rPr/>
      </w:pPr>
      <w:r>
        <w:rPr/>
        <w:t>License: PSF LICENSE AGREEMENT FOR PYTHON 3.</w:t>
      </w:r>
      <w:r>
        <w:rPr/>
        <w:t>6</w:t>
      </w:r>
      <w:r>
        <w:rPr/>
        <w:t>.</w:t>
      </w:r>
      <w:r>
        <w:rPr/>
        <w:t>8</w:t>
      </w:r>
    </w:p>
    <w:p>
      <w:pPr>
        <w:pStyle w:val="VorformatierterText"/>
        <w:rPr/>
      </w:pPr>
      <w:r>
        <w:rPr/>
        <w:t>A. HISTORY OF THE SOFTWARE</w:t>
      </w:r>
    </w:p>
    <w:p>
      <w:pPr>
        <w:pStyle w:val="VorformatierterText"/>
        <w:rPr/>
      </w:pPr>
      <w:r>
        <w:rPr/>
        <w:t>==========================</w:t>
      </w:r>
    </w:p>
    <w:p>
      <w:pPr>
        <w:pStyle w:val="VorformatierterText"/>
        <w:rPr/>
      </w:pPr>
      <w:r>
        <w:rPr/>
      </w:r>
    </w:p>
    <w:p>
      <w:pPr>
        <w:pStyle w:val="VorformatierterText"/>
        <w:rPr/>
      </w:pPr>
      <w:r>
        <w:rPr/>
        <w:t xml:space="preserve">Python was created in the early 1990s by Guido van Rossum at Stichting Mathematisch Centrum (CWI, see http://www.cwi.nl) in the Netherlands as a successor of a language called ABC.  Guido remains Python's principal author, although it includes many contributions from others. </w:t>
      </w:r>
    </w:p>
    <w:p>
      <w:pPr>
        <w:pStyle w:val="VorformatierterText"/>
        <w:rPr/>
      </w:pPr>
      <w:r>
        <w:rPr/>
        <w:t xml:space="preserve">In 1995, Guido continued his work on Python at the Corporation for National Research Initiatives (CNRI, see </w:t>
      </w:r>
      <w:hyperlink r:id="rId2">
        <w:r>
          <w:rPr>
            <w:rStyle w:val="Internetlink"/>
          </w:rPr>
          <w:t>http://www.cnri.reston.va.us</w:t>
        </w:r>
      </w:hyperlink>
      <w:r>
        <w:rPr/>
        <w:t>) in Reston, Virginia where he released several versions of the software.</w:t>
      </w:r>
    </w:p>
    <w:p>
      <w:pPr>
        <w:pStyle w:val="VorformatierterText"/>
        <w:rPr/>
      </w:pPr>
      <w:r>
        <w:rPr/>
      </w:r>
    </w:p>
    <w:p>
      <w:pPr>
        <w:pStyle w:val="VorformatierterText"/>
        <w:rPr/>
      </w:pPr>
      <w:r>
        <w:rPr/>
        <w:t xml:space="preserve">In May 2000, Guido and the Python core development team moved to BeOpen.com to form the BeOpen PythonLabs team.  In October of the same year, the PythonLabs team moved to Digital Creations (now Zope Corporation, see http://www.zope.com).  In 2001, the Python Software Foundation (PSF, see http://www.python.org/psf/) was formed, a non-profit organization created specifically to own Python-related Intellectual Property.  Zope Corporation is a sponsoring member of the PSF. </w:t>
      </w:r>
    </w:p>
    <w:p>
      <w:pPr>
        <w:pStyle w:val="VorformatierterText"/>
        <w:rPr/>
      </w:pPr>
      <w:r>
        <w:rPr/>
        <w:t>All Python releases are Open Source (see http://www.opensource.org for the Open Source Definition).  Historically, most, but not all, Python releases have also been GPL-compatible; the table below summarizes the various releases.</w:t>
      </w:r>
    </w:p>
    <w:p>
      <w:pPr>
        <w:pStyle w:val="VorformatierterText"/>
        <w:rPr/>
      </w:pPr>
      <w:r>
        <w:rPr/>
      </w:r>
    </w:p>
    <w:p>
      <w:pPr>
        <w:pStyle w:val="VorformatierterText"/>
        <w:rPr/>
      </w:pPr>
      <w:r>
        <w:rPr/>
        <w:t xml:space="preserve">    </w:t>
      </w:r>
      <w:r>
        <w:rPr/>
        <w:t>Release         Derived     Year        Owner       GPL-</w:t>
      </w:r>
    </w:p>
    <w:p>
      <w:pPr>
        <w:pStyle w:val="VorformatierterText"/>
        <w:rPr/>
      </w:pPr>
      <w:r>
        <w:rPr/>
        <w:t xml:space="preserve">                    </w:t>
      </w:r>
      <w:r>
        <w:rPr/>
        <w:t>from                                compatible? (1)</w:t>
      </w:r>
    </w:p>
    <w:p>
      <w:pPr>
        <w:pStyle w:val="VorformatierterText"/>
        <w:rPr/>
      </w:pPr>
      <w:r>
        <w:rPr/>
      </w:r>
    </w:p>
    <w:p>
      <w:pPr>
        <w:pStyle w:val="VorformatierterText"/>
        <w:rPr/>
      </w:pPr>
      <w:r>
        <w:rPr/>
        <w:t xml:space="preserve">    </w:t>
      </w:r>
      <w:r>
        <w:rPr/>
        <w:t>0.9.0 thru 1.2              1991-1995   CWI         yes</w:t>
      </w:r>
    </w:p>
    <w:p>
      <w:pPr>
        <w:pStyle w:val="VorformatierterText"/>
        <w:rPr/>
      </w:pPr>
      <w:r>
        <w:rPr/>
        <w:t xml:space="preserve">    </w:t>
      </w:r>
      <w:r>
        <w:rPr/>
        <w:t>1.3 thru 1.5.2  1.2         1995-1999   CNRI        yes</w:t>
      </w:r>
    </w:p>
    <w:p>
      <w:pPr>
        <w:pStyle w:val="VorformatierterText"/>
        <w:rPr/>
      </w:pPr>
      <w:r>
        <w:rPr/>
        <w:t xml:space="preserve">    </w:t>
      </w:r>
      <w:r>
        <w:rPr/>
        <w:t>1.6             1.5.2       2000        CNRI        no</w:t>
      </w:r>
    </w:p>
    <w:p>
      <w:pPr>
        <w:pStyle w:val="VorformatierterText"/>
        <w:rPr/>
      </w:pPr>
      <w:r>
        <w:rPr/>
        <w:t xml:space="preserve">    </w:t>
      </w:r>
      <w:r>
        <w:rPr/>
        <w:t>2.0             1.6         2000        BeOpen.com  no</w:t>
      </w:r>
    </w:p>
    <w:p>
      <w:pPr>
        <w:pStyle w:val="VorformatierterText"/>
        <w:rPr/>
      </w:pPr>
      <w:r>
        <w:rPr/>
        <w:t xml:space="preserve">    </w:t>
      </w:r>
      <w:r>
        <w:rPr/>
        <w:t>1.6.1           1.6         2001        CNRI        yes (2)</w:t>
      </w:r>
    </w:p>
    <w:p>
      <w:pPr>
        <w:pStyle w:val="VorformatierterText"/>
        <w:rPr/>
      </w:pPr>
      <w:r>
        <w:rPr/>
        <w:t xml:space="preserve">    </w:t>
      </w:r>
      <w:r>
        <w:rPr/>
        <w:t>2.1             2.0+1.6.1   2001        PSF         no</w:t>
      </w:r>
    </w:p>
    <w:p>
      <w:pPr>
        <w:pStyle w:val="VorformatierterText"/>
        <w:rPr/>
      </w:pPr>
      <w:r>
        <w:rPr/>
        <w:t xml:space="preserve">    </w:t>
      </w:r>
      <w:r>
        <w:rPr/>
        <w:t>2.0.1           2.0+1.6.1   2001        PSF         yes</w:t>
      </w:r>
    </w:p>
    <w:p>
      <w:pPr>
        <w:pStyle w:val="VorformatierterText"/>
        <w:rPr/>
      </w:pPr>
      <w:r>
        <w:rPr/>
        <w:t xml:space="preserve">    </w:t>
      </w:r>
      <w:r>
        <w:rPr/>
        <w:t>2.1.1           2.1+2.0.1   2001        PSF         yes</w:t>
      </w:r>
    </w:p>
    <w:p>
      <w:pPr>
        <w:pStyle w:val="VorformatierterText"/>
        <w:rPr/>
      </w:pPr>
      <w:r>
        <w:rPr/>
        <w:t xml:space="preserve">    </w:t>
      </w:r>
      <w:r>
        <w:rPr/>
        <w:t>2.2             2.1.1       2001        PSF         yes</w:t>
      </w:r>
    </w:p>
    <w:p>
      <w:pPr>
        <w:pStyle w:val="VorformatierterText"/>
        <w:rPr/>
      </w:pPr>
      <w:r>
        <w:rPr/>
        <w:t xml:space="preserve">    </w:t>
      </w:r>
      <w:r>
        <w:rPr/>
        <w:t>2.1.2           2.1.1       2002        PSF         yes</w:t>
      </w:r>
    </w:p>
    <w:p>
      <w:pPr>
        <w:pStyle w:val="VorformatierterText"/>
        <w:rPr/>
      </w:pPr>
      <w:r>
        <w:rPr/>
        <w:t xml:space="preserve">    </w:t>
      </w:r>
      <w:r>
        <w:rPr/>
        <w:t>2.1.3           2.1.2       2002        PSF         yes</w:t>
      </w:r>
    </w:p>
    <w:p>
      <w:pPr>
        <w:pStyle w:val="VorformatierterText"/>
        <w:rPr/>
      </w:pPr>
      <w:r>
        <w:rPr/>
        <w:t xml:space="preserve">    </w:t>
      </w:r>
      <w:r>
        <w:rPr/>
        <w:t>2.2.1           2.2         2002        PSF         yes</w:t>
      </w:r>
    </w:p>
    <w:p>
      <w:pPr>
        <w:pStyle w:val="VorformatierterText"/>
        <w:rPr/>
      </w:pPr>
      <w:r>
        <w:rPr/>
        <w:t xml:space="preserve">    </w:t>
      </w:r>
      <w:r>
        <w:rPr/>
        <w:t>2.2.2           2.2.1       2002        PSF         yes</w:t>
      </w:r>
    </w:p>
    <w:p>
      <w:pPr>
        <w:pStyle w:val="VorformatierterText"/>
        <w:rPr/>
      </w:pPr>
      <w:r>
        <w:rPr/>
        <w:t xml:space="preserve">    </w:t>
      </w:r>
      <w:r>
        <w:rPr/>
        <w:t>2.2.3           2.2.2       2003        PSF         yes</w:t>
      </w:r>
    </w:p>
    <w:p>
      <w:pPr>
        <w:pStyle w:val="VorformatierterText"/>
        <w:rPr/>
      </w:pPr>
      <w:r>
        <w:rPr/>
        <w:t xml:space="preserve">    </w:t>
      </w:r>
      <w:r>
        <w:rPr/>
        <w:t>2.3             2.2.2       2002-2003   PSF         yes</w:t>
      </w:r>
    </w:p>
    <w:p>
      <w:pPr>
        <w:pStyle w:val="VorformatierterText"/>
        <w:rPr/>
      </w:pPr>
      <w:r>
        <w:rPr/>
        <w:t xml:space="preserve">    </w:t>
      </w:r>
      <w:r>
        <w:rPr/>
        <w:t>2.3.1           2.3         2002-2003   PSF         yes</w:t>
      </w:r>
    </w:p>
    <w:p>
      <w:pPr>
        <w:pStyle w:val="VorformatierterText"/>
        <w:rPr/>
      </w:pPr>
      <w:r>
        <w:rPr/>
        <w:t xml:space="preserve">    </w:t>
      </w:r>
      <w:r>
        <w:rPr/>
        <w:t>2.3.2           2.3.1       2002-2003   PSF         yes</w:t>
      </w:r>
    </w:p>
    <w:p>
      <w:pPr>
        <w:pStyle w:val="VorformatierterText"/>
        <w:rPr/>
      </w:pPr>
      <w:r>
        <w:rPr/>
        <w:t xml:space="preserve">    </w:t>
      </w:r>
      <w:r>
        <w:rPr/>
        <w:t>2.3.3           2.3.2       2002-2003   PSF         yes</w:t>
      </w:r>
    </w:p>
    <w:p>
      <w:pPr>
        <w:pStyle w:val="VorformatierterText"/>
        <w:rPr/>
      </w:pPr>
      <w:r>
        <w:rPr/>
        <w:t xml:space="preserve">    </w:t>
      </w:r>
      <w:r>
        <w:rPr/>
        <w:t>2.3.4           2.3.3       2004        PSF         yes</w:t>
      </w:r>
    </w:p>
    <w:p>
      <w:pPr>
        <w:pStyle w:val="VorformatierterText"/>
        <w:rPr/>
      </w:pPr>
      <w:r>
        <w:rPr/>
        <w:t xml:space="preserve">    </w:t>
      </w:r>
      <w:r>
        <w:rPr/>
        <w:t>2.3.5           2.3.4       2005        PSF         yes</w:t>
      </w:r>
    </w:p>
    <w:p>
      <w:pPr>
        <w:pStyle w:val="VorformatierterText"/>
        <w:rPr/>
      </w:pPr>
      <w:r>
        <w:rPr/>
        <w:t xml:space="preserve">    </w:t>
      </w:r>
      <w:r>
        <w:rPr/>
        <w:t>2.4             2.3         2004        PSF         yes</w:t>
      </w:r>
    </w:p>
    <w:p>
      <w:pPr>
        <w:pStyle w:val="VorformatierterText"/>
        <w:rPr/>
      </w:pPr>
      <w:r>
        <w:rPr/>
        <w:t xml:space="preserve">    </w:t>
      </w:r>
      <w:r>
        <w:rPr/>
        <w:t>2.4.1           2.4         2005        PSF         yes</w:t>
      </w:r>
    </w:p>
    <w:p>
      <w:pPr>
        <w:pStyle w:val="VorformatierterText"/>
        <w:rPr/>
      </w:pPr>
      <w:r>
        <w:rPr/>
        <w:t xml:space="preserve">    </w:t>
      </w:r>
      <w:r>
        <w:rPr/>
        <w:t>2.4.2           2.4.1       2005        PSF         yes</w:t>
      </w:r>
    </w:p>
    <w:p>
      <w:pPr>
        <w:pStyle w:val="VorformatierterText"/>
        <w:rPr/>
      </w:pPr>
      <w:r>
        <w:rPr/>
        <w:t xml:space="preserve">    </w:t>
      </w:r>
      <w:r>
        <w:rPr/>
        <w:t>2.4.3           2.4.2       2006        PSF         yes</w:t>
      </w:r>
    </w:p>
    <w:p>
      <w:pPr>
        <w:pStyle w:val="VorformatierterText"/>
        <w:rPr/>
      </w:pPr>
      <w:r>
        <w:rPr/>
        <w:t xml:space="preserve">    </w:t>
      </w:r>
      <w:r>
        <w:rPr/>
        <w:t>2.4.4           2.4.3       2006        PSF         yes</w:t>
      </w:r>
    </w:p>
    <w:p>
      <w:pPr>
        <w:pStyle w:val="VorformatierterText"/>
        <w:rPr/>
      </w:pPr>
      <w:r>
        <w:rPr/>
        <w:t xml:space="preserve">    </w:t>
      </w:r>
      <w:r>
        <w:rPr/>
        <w:t>2.5             2.4         2006        PSF         yes</w:t>
      </w:r>
    </w:p>
    <w:p>
      <w:pPr>
        <w:pStyle w:val="VorformatierterText"/>
        <w:rPr/>
      </w:pPr>
      <w:r>
        <w:rPr/>
        <w:t xml:space="preserve">    </w:t>
      </w:r>
      <w:r>
        <w:rPr/>
        <w:t>2.5.1           2.5         2007        PSF         yes</w:t>
      </w:r>
    </w:p>
    <w:p>
      <w:pPr>
        <w:pStyle w:val="VorformatierterText"/>
        <w:rPr/>
      </w:pPr>
      <w:r>
        <w:rPr/>
        <w:t xml:space="preserve">    </w:t>
      </w:r>
      <w:r>
        <w:rPr/>
        <w:t>2.5.2           2.5.1       2008        PSF         yes</w:t>
      </w:r>
    </w:p>
    <w:p>
      <w:pPr>
        <w:pStyle w:val="VorformatierterText"/>
        <w:rPr/>
      </w:pPr>
      <w:r>
        <w:rPr/>
        <w:t xml:space="preserve">    </w:t>
      </w:r>
      <w:r>
        <w:rPr/>
        <w:t>2.5.3           2.5.2       2008        PSF         yes</w:t>
      </w:r>
    </w:p>
    <w:p>
      <w:pPr>
        <w:pStyle w:val="VorformatierterText"/>
        <w:rPr/>
      </w:pPr>
      <w:r>
        <w:rPr/>
        <w:t xml:space="preserve">    </w:t>
      </w:r>
      <w:r>
        <w:rPr/>
        <w:t>2.6             2.5         2008        PSF         yes</w:t>
      </w:r>
    </w:p>
    <w:p>
      <w:pPr>
        <w:pStyle w:val="VorformatierterText"/>
        <w:rPr/>
      </w:pPr>
      <w:r>
        <w:rPr/>
        <w:t xml:space="preserve">    </w:t>
      </w:r>
      <w:r>
        <w:rPr/>
        <w:t>2.6.1           2.6         2008        PSF         yes</w:t>
      </w:r>
    </w:p>
    <w:p>
      <w:pPr>
        <w:pStyle w:val="VorformatierterText"/>
        <w:rPr/>
      </w:pPr>
      <w:r>
        <w:rPr/>
        <w:t xml:space="preserve">    </w:t>
      </w:r>
      <w:r>
        <w:rPr/>
        <w:t>2.6.2           2.6.1       2009        PSF         yes</w:t>
      </w:r>
    </w:p>
    <w:p>
      <w:pPr>
        <w:pStyle w:val="VorformatierterText"/>
        <w:rPr/>
      </w:pPr>
      <w:r>
        <w:rPr/>
        <w:t xml:space="preserve">    </w:t>
      </w:r>
      <w:r>
        <w:rPr/>
        <w:t>2.6.3           2.6.2       2009        PSF         yes</w:t>
      </w:r>
    </w:p>
    <w:p>
      <w:pPr>
        <w:pStyle w:val="VorformatierterText"/>
        <w:rPr/>
      </w:pPr>
      <w:r>
        <w:rPr/>
        <w:t xml:space="preserve">    </w:t>
      </w:r>
      <w:r>
        <w:rPr/>
        <w:t>2.6.4           2.6.3       2009        PSF         yes</w:t>
      </w:r>
    </w:p>
    <w:p>
      <w:pPr>
        <w:pStyle w:val="VorformatierterText"/>
        <w:rPr/>
      </w:pPr>
      <w:r>
        <w:rPr/>
        <w:t xml:space="preserve">    </w:t>
      </w:r>
      <w:r>
        <w:rPr/>
        <w:t>2.6.5           2.6.4       2010        PSF         yes</w:t>
      </w:r>
    </w:p>
    <w:p>
      <w:pPr>
        <w:pStyle w:val="VorformatierterText"/>
        <w:rPr/>
      </w:pPr>
      <w:r>
        <w:rPr/>
        <w:t xml:space="preserve">    </w:t>
      </w:r>
      <w:r>
        <w:rPr/>
        <w:t>3.0             2.6         2008        PSF         yes</w:t>
      </w:r>
    </w:p>
    <w:p>
      <w:pPr>
        <w:pStyle w:val="VorformatierterText"/>
        <w:rPr/>
      </w:pPr>
      <w:r>
        <w:rPr/>
        <w:t xml:space="preserve">    </w:t>
      </w:r>
      <w:r>
        <w:rPr/>
        <w:t>3.0.1           3.0         2009        PSF         yes</w:t>
      </w:r>
    </w:p>
    <w:p>
      <w:pPr>
        <w:pStyle w:val="VorformatierterText"/>
        <w:rPr/>
      </w:pPr>
      <w:r>
        <w:rPr/>
        <w:t xml:space="preserve">    </w:t>
      </w:r>
      <w:r>
        <w:rPr/>
        <w:t>3.1             3.0.1       2009        PSF         yes</w:t>
      </w:r>
    </w:p>
    <w:p>
      <w:pPr>
        <w:pStyle w:val="VorformatierterText"/>
        <w:rPr/>
      </w:pPr>
      <w:r>
        <w:rPr/>
        <w:t xml:space="preserve">    </w:t>
      </w:r>
      <w:r>
        <w:rPr/>
        <w:t>3.1.1           3.1         2009        PSF         yes</w:t>
      </w:r>
    </w:p>
    <w:p>
      <w:pPr>
        <w:pStyle w:val="VorformatierterText"/>
        <w:rPr/>
      </w:pPr>
      <w:r>
        <w:rPr/>
        <w:t xml:space="preserve">    </w:t>
      </w:r>
      <w:r>
        <w:rPr/>
        <w:t>3.1.2           3.1.1       2010        PSF         yes</w:t>
      </w:r>
    </w:p>
    <w:p>
      <w:pPr>
        <w:pStyle w:val="VorformatierterText"/>
        <w:rPr/>
      </w:pPr>
      <w:r>
        <w:rPr/>
        <w:t xml:space="preserve">    </w:t>
      </w:r>
      <w:r>
        <w:rPr/>
        <w:t>3.1.3           3.1.2       2010        PSF         yes</w:t>
      </w:r>
    </w:p>
    <w:p>
      <w:pPr>
        <w:pStyle w:val="VorformatierterText"/>
        <w:rPr/>
      </w:pPr>
      <w:r>
        <w:rPr/>
        <w:t xml:space="preserve">    </w:t>
      </w:r>
      <w:r>
        <w:rPr/>
        <w:t>3.1.4           3.1.3       2011        PSF         yes</w:t>
      </w:r>
    </w:p>
    <w:p>
      <w:pPr>
        <w:pStyle w:val="VorformatierterText"/>
        <w:rPr/>
      </w:pPr>
      <w:r>
        <w:rPr/>
        <w:t xml:space="preserve">    </w:t>
      </w:r>
      <w:r>
        <w:rPr/>
        <w:t>3.1.5           3.1.4       2012        PSF         yes</w:t>
      </w:r>
    </w:p>
    <w:p>
      <w:pPr>
        <w:pStyle w:val="VorformatierterText"/>
        <w:rPr/>
      </w:pPr>
      <w:r>
        <w:rPr/>
        <w:t xml:space="preserve">    </w:t>
      </w:r>
      <w:r>
        <w:rPr/>
        <w:t>3.2             3.1         2011        PSF         yes</w:t>
      </w:r>
    </w:p>
    <w:p>
      <w:pPr>
        <w:pStyle w:val="VorformatierterText"/>
        <w:rPr/>
      </w:pPr>
      <w:r>
        <w:rPr/>
        <w:t xml:space="preserve">    </w:t>
      </w:r>
      <w:r>
        <w:rPr/>
        <w:t>3.2.1           3.2         2011        PSF         yes</w:t>
      </w:r>
    </w:p>
    <w:p>
      <w:pPr>
        <w:pStyle w:val="VorformatierterText"/>
        <w:rPr/>
      </w:pPr>
      <w:r>
        <w:rPr/>
        <w:t xml:space="preserve">    </w:t>
      </w:r>
      <w:r>
        <w:rPr/>
        <w:t>3.2.2           3.2.1       2011        PSF         yes</w:t>
      </w:r>
    </w:p>
    <w:p>
      <w:pPr>
        <w:pStyle w:val="VorformatierterText"/>
        <w:rPr/>
      </w:pPr>
      <w:r>
        <w:rPr/>
        <w:t xml:space="preserve">    </w:t>
      </w:r>
      <w:r>
        <w:rPr/>
        <w:t>3.2.3           3.2.2       2012        PSF         yes</w:t>
      </w:r>
    </w:p>
    <w:p>
      <w:pPr>
        <w:pStyle w:val="VorformatierterText"/>
        <w:rPr/>
      </w:pPr>
      <w:r>
        <w:rPr/>
        <w:t xml:space="preserve">    </w:t>
      </w:r>
      <w:r>
        <w:rPr/>
        <w:t>3.3.0           3.2         2012        PSF         yes</w:t>
      </w:r>
    </w:p>
    <w:p>
      <w:pPr>
        <w:pStyle w:val="VorformatierterText"/>
        <w:rPr/>
      </w:pPr>
      <w:r>
        <w:rPr/>
        <w:t xml:space="preserve">    </w:t>
      </w:r>
      <w:r>
        <w:rPr/>
        <w:t>3.3.1           3.3.0       2013        PSF         yes</w:t>
      </w:r>
    </w:p>
    <w:p>
      <w:pPr>
        <w:pStyle w:val="VorformatierterText"/>
        <w:rPr/>
      </w:pPr>
      <w:r>
        <w:rPr/>
        <w:t xml:space="preserve">    </w:t>
      </w:r>
      <w:r>
        <w:rPr/>
        <w:t>3.3.2           3.3.1       2013        PSF         yes</w:t>
      </w:r>
    </w:p>
    <w:p>
      <w:pPr>
        <w:pStyle w:val="VorformatierterText"/>
        <w:rPr/>
      </w:pPr>
      <w:r>
        <w:rPr/>
        <w:t xml:space="preserve">    </w:t>
      </w:r>
      <w:r>
        <w:rPr/>
        <w:t>3.4.0           3.3         2013        PSF         yes</w:t>
      </w:r>
    </w:p>
    <w:p>
      <w:pPr>
        <w:pStyle w:val="VorformatierterText"/>
        <w:rPr/>
      </w:pPr>
      <w:r>
        <w:rPr/>
      </w:r>
    </w:p>
    <w:p>
      <w:pPr>
        <w:pStyle w:val="VorformatierterText"/>
        <w:rPr/>
      </w:pPr>
      <w:r>
        <w:rPr/>
        <w:t>Footnotes:</w:t>
      </w:r>
    </w:p>
    <w:p>
      <w:pPr>
        <w:pStyle w:val="VorformatierterText"/>
        <w:rPr/>
      </w:pPr>
      <w:r>
        <w:rPr/>
      </w:r>
    </w:p>
    <w:p>
      <w:pPr>
        <w:pStyle w:val="VorformatierterText"/>
        <w:rPr/>
      </w:pPr>
      <w:r>
        <w:rPr/>
        <w:t>(1) GPL-compatible doesn't mean that we're distributing Python under     the GPL.  All Python licenses, unlike the GPL, let you distribute a modified version without making your changes open source.  The GPL-compatible licenses make it possible to combine Python with other software that is released under the GPL; the others don't.</w:t>
      </w:r>
    </w:p>
    <w:p>
      <w:pPr>
        <w:pStyle w:val="VorformatierterText"/>
        <w:rPr/>
      </w:pPr>
      <w:r>
        <w:rPr/>
        <w:t>(2) According to Richard Stallman, 1.6.1 is not GPL-compatible,  because its license has a choice of law clause.  According to CNRI, however, Stallman's lawyer has told CNRI's lawyer that 1.6.1 is "not incompatible" with the GPL.</w:t>
      </w:r>
    </w:p>
    <w:p>
      <w:pPr>
        <w:pStyle w:val="VorformatierterText"/>
        <w:rPr/>
      </w:pPr>
      <w:r>
        <w:rPr/>
        <w:t>T</w:t>
      </w:r>
      <w:r>
        <w:rPr/>
        <w:t>hanks to the many outside volunteers who have worked under Guido's direction to make these releases possible.</w:t>
      </w:r>
    </w:p>
    <w:p>
      <w:pPr>
        <w:pStyle w:val="VorformatierterText"/>
        <w:rPr/>
      </w:pPr>
      <w:r>
        <w:rPr/>
        <w:t>B. TERMS AND CONDITIONS FOR ACCESSING OR OTHERWISE USING PYTHON</w:t>
      </w:r>
    </w:p>
    <w:p>
      <w:pPr>
        <w:pStyle w:val="VorformatierterText"/>
        <w:rPr/>
      </w:pPr>
      <w:r>
        <w:rPr/>
        <w:t>===============================================================</w:t>
      </w:r>
    </w:p>
    <w:p>
      <w:pPr>
        <w:pStyle w:val="VorformatierterText"/>
        <w:rPr/>
      </w:pPr>
      <w:r>
        <w:rPr/>
      </w:r>
    </w:p>
    <w:p>
      <w:pPr>
        <w:pStyle w:val="VorformatierterText"/>
        <w:rPr/>
      </w:pPr>
      <w:r>
        <w:rPr/>
        <w:t>PYTHON SOFTWARE FOUNDATION LICENSE VERSION 2</w:t>
      </w:r>
    </w:p>
    <w:p>
      <w:pPr>
        <w:pStyle w:val="VorformatierterText"/>
        <w:rPr/>
      </w:pPr>
      <w:r>
        <w:rPr/>
        <w:t>--------------------------------------------</w:t>
      </w:r>
    </w:p>
    <w:p>
      <w:pPr>
        <w:pStyle w:val="VorformatierterText"/>
        <w:rPr/>
      </w:pPr>
      <w:r>
        <w:rPr/>
      </w:r>
    </w:p>
    <w:p>
      <w:pPr>
        <w:pStyle w:val="VorformatierterText"/>
        <w:rPr/>
      </w:pPr>
      <w:r>
        <w:rPr/>
        <w:t>1. This LICENSE AGREEMENT is between the Python Software Foundation ("PSF"), and the Individual or Organization ("Licensee") accessing and otherwise using this software ("Python") in source or binary form and its associated documentation.</w:t>
      </w:r>
    </w:p>
    <w:p>
      <w:pPr>
        <w:pStyle w:val="VorformatierterText"/>
        <w:rPr/>
      </w:pPr>
      <w:r>
        <w:rPr/>
        <w:t>2. 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i.e., "Copyright (c) 2001, 2002, 2003, 2004, 2005, 2006, 2007, 2008, 2009, 2010, 2011, 2012 Python Software Foundation; All Rights Reserved" are retained in Python alone or in any derivative version prepared by Licensee.</w:t>
      </w:r>
    </w:p>
    <w:p>
      <w:pPr>
        <w:pStyle w:val="VorformatierterText"/>
        <w:rPr/>
      </w:pPr>
      <w:r>
        <w:rPr/>
        <w:t>3. 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w:t>
      </w:r>
    </w:p>
    <w:p>
      <w:pPr>
        <w:pStyle w:val="VorformatierterText"/>
        <w:rPr/>
      </w:pPr>
      <w:r>
        <w:rPr/>
      </w:r>
    </w:p>
    <w:p>
      <w:pPr>
        <w:pStyle w:val="VorformatierterText"/>
        <w:rPr/>
      </w:pPr>
      <w:r>
        <w:rPr/>
        <w:t>4. PSF is making Python available to Licensee on an "AS IS" basis.  PSF MAKES NO REPRESENTATIONS OR WARRANTIES, EXPRESS OR IMPLIED.  BY WAY OF EXAMPLE, BUT NOT LIMITATION, PSF MAKES NO AND</w:t>
      </w:r>
    </w:p>
    <w:p>
      <w:pPr>
        <w:pStyle w:val="VorformatierterText"/>
        <w:rPr/>
      </w:pPr>
      <w:r>
        <w:rPr/>
        <w:t>DISCLAIMS ANY REPRESENTATION OR WARRANTY OF MERCHANTABILITY OR FITNESS FOR ANY PARTICULAR PURPOSE OR THAT THE USE OF PYTHON WILL NOT INFRINGE ANY THIRD PARTY RIGHTS.</w:t>
      </w:r>
    </w:p>
    <w:p>
      <w:pPr>
        <w:pStyle w:val="VorformatierterText"/>
        <w:rPr/>
      </w:pPr>
      <w:r>
        <w:rPr/>
        <w:t>5. PSF SHALL NOT BE LIABLE TO LICENSEE OR ANY OTHER USERS OF PYTHON FOR ANY INCIDENTAL, SPECIAL, OR CONSEQUENTIAL DAMAGES OR LOSS AS A RESULT OF MODIFYING, DISTRIBUTING, OR OTHERWISE USING PYTHON, OR ANY DERIVATIVE THEREOF, EVEN IF ADVISED OF THE POSSIBILITY THEREOF.</w:t>
      </w:r>
    </w:p>
    <w:p>
      <w:pPr>
        <w:pStyle w:val="VorformatierterText"/>
        <w:rPr/>
      </w:pPr>
      <w:r>
        <w:rPr/>
        <w:t xml:space="preserve">6. This License Agreement will automatically terminate upon a material breach of its terms and conditions. </w:t>
      </w:r>
    </w:p>
    <w:p>
      <w:pPr>
        <w:pStyle w:val="VorformatierterText"/>
        <w:rPr/>
      </w:pPr>
      <w:r>
        <w:rPr/>
        <w:t>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pPr>
        <w:pStyle w:val="VorformatierterText"/>
        <w:rPr/>
      </w:pPr>
      <w:r>
        <w:rPr/>
        <w:t>8. By copying, installing or otherwise using Python, Licensee agrees to be bound by the terms and conditions of this License Agreement.</w:t>
      </w:r>
    </w:p>
    <w:p>
      <w:pPr>
        <w:pStyle w:val="VorformatierterText"/>
        <w:rPr/>
      </w:pPr>
      <w:r>
        <w:rPr/>
      </w:r>
    </w:p>
    <w:p>
      <w:pPr>
        <w:pStyle w:val="VorformatierterText"/>
        <w:rPr/>
      </w:pPr>
      <w:r>
        <w:rPr/>
        <w:t>BEOPEN.COM LICENSE AGREEMENT FOR PYTHON 2.0</w:t>
      </w:r>
    </w:p>
    <w:p>
      <w:pPr>
        <w:pStyle w:val="VorformatierterText"/>
        <w:rPr/>
      </w:pPr>
      <w:r>
        <w:rPr/>
        <w:t>-------------------------------------------</w:t>
      </w:r>
    </w:p>
    <w:p>
      <w:pPr>
        <w:pStyle w:val="VorformatierterText"/>
        <w:rPr/>
      </w:pPr>
      <w:r>
        <w:rPr/>
      </w:r>
    </w:p>
    <w:p>
      <w:pPr>
        <w:pStyle w:val="VorformatierterText"/>
        <w:rPr/>
      </w:pPr>
      <w:r>
        <w:rPr/>
        <w:t>BEOPEN PYTHON OPEN SOURCE LICENSE AGREEMENT VERSION 1</w:t>
      </w:r>
    </w:p>
    <w:p>
      <w:pPr>
        <w:pStyle w:val="VorformatierterText"/>
        <w:rPr/>
      </w:pPr>
      <w:r>
        <w:rPr/>
      </w:r>
    </w:p>
    <w:p>
      <w:pPr>
        <w:pStyle w:val="VorformatierterText"/>
        <w:rPr/>
      </w:pPr>
      <w:r>
        <w:rPr/>
        <w:t>1. This LICENSE AGREEMENT is between BeOpen.com ("BeOpen"), having an office at 160 Saratoga Avenue, Santa Clara, CA 95051, and the Individual or Organization ("Licensee") accessing and otherwise using this software in source or binary form and its associated documentation ("the Software").</w:t>
      </w:r>
    </w:p>
    <w:p>
      <w:pPr>
        <w:pStyle w:val="VorformatierterText"/>
        <w:rPr/>
      </w:pPr>
      <w:r>
        <w:rPr/>
        <w:t>2. Subject to the terms and conditions of this BeOpen Python License Agreement, BeOpen hereby grants Licensee a non-exclusive, royalty-free, world-wide license to reproduce, analyze, test, perform and/or display publicly, prepare derivative works, distribute, and otherwise use the Software alone or in any derivative version,</w:t>
      </w:r>
    </w:p>
    <w:p>
      <w:pPr>
        <w:pStyle w:val="VorformatierterText"/>
        <w:rPr/>
      </w:pPr>
      <w:r>
        <w:rPr/>
        <w:t>provided, however, that the BeOpen Python License is retained in the Software, alone or in any derivative version prepared by Licensee.</w:t>
      </w:r>
    </w:p>
    <w:p>
      <w:pPr>
        <w:pStyle w:val="VorformatierterText"/>
        <w:rPr/>
      </w:pPr>
      <w:r>
        <w:rPr/>
      </w:r>
    </w:p>
    <w:p>
      <w:pPr>
        <w:pStyle w:val="VorformatierterText"/>
        <w:rPr/>
      </w:pPr>
      <w:r>
        <w:rPr/>
        <w:t>3. BeOpen is making the Software available to Licensee on an "AS IS" basis.  BEOPEN MAKES NO REPRESENTATIONS OR WARRANTIES, EXPRESS OR IMPLIED.  BY WAY OF EXAMPLE, BUT NOT LIMITATION, BEOPEN MAKES NO AND DISCLAIMS ANY REPRESENTATION OR WARRANTY OF MERCHANTABILITY OR FITNESS FOR ANY PARTICULAR PURPOSE OR THAT THE USE OF THE SOFTWARE WILL NOT INFRINGE ANY THIRD PARTY RIGHTS.</w:t>
      </w:r>
    </w:p>
    <w:p>
      <w:pPr>
        <w:pStyle w:val="VorformatierterText"/>
        <w:rPr/>
      </w:pPr>
      <w:r>
        <w:rPr/>
        <w:t>4. BEOPEN SHALL NOT BE LIABLE TO LICENSEE OR ANY OTHER USERS OF THE SOFTWARE FOR ANY INCIDENTAL, SPECIAL, OR CONSEQUENTIAL DAMAGES OR LOSS AS A RESULT OF USING, MODIFYING OR DISTRIBUTING THE SOFTWARE, OR ANY DERIVATIVE THEREOF, EVEN IF ADVISED OF THE POSSIBILITY THEREOF.</w:t>
      </w:r>
    </w:p>
    <w:p>
      <w:pPr>
        <w:pStyle w:val="VorformatierterText"/>
        <w:rPr/>
      </w:pPr>
      <w:r>
        <w:rPr/>
        <w:t>5. This License Agreement will automatically terminate upon a material breach of its terms and conditions.</w:t>
      </w:r>
    </w:p>
    <w:p>
      <w:pPr>
        <w:pStyle w:val="VorformatierterText"/>
        <w:rPr/>
      </w:pPr>
      <w:r>
        <w:rPr/>
        <w:t>6. This License Agreement shall be governed by and interpreted in all respects by the law of the State of California, excluding conflict of law provisions.  Nothing in this License Agreement shall be deemed to create any relationship of agency, partnership, or joint venture between BeOpen and Licensee.  This License Agreement does not grant permission to use BeOpen trademarks or trade names in a trademark sense to endorse or promote products or services of Licensee, or any third party.  As an exception, the "BeOpen Python" logos available at http://www.pythonlabs.com/logos.html may be used according to the permissions granted on that web page.</w:t>
      </w:r>
    </w:p>
    <w:p>
      <w:pPr>
        <w:pStyle w:val="VorformatierterText"/>
        <w:rPr/>
      </w:pPr>
      <w:r>
        <w:rPr/>
        <w:t>7. By copying, installing or otherwise using the software, Licensee agrees to be bound by the terms and conditions of this License Agreement.</w:t>
      </w:r>
    </w:p>
    <w:p>
      <w:pPr>
        <w:pStyle w:val="VorformatierterText"/>
        <w:rPr/>
      </w:pPr>
      <w:r>
        <w:rPr/>
      </w:r>
    </w:p>
    <w:p>
      <w:pPr>
        <w:pStyle w:val="VorformatierterText"/>
        <w:rPr/>
      </w:pPr>
      <w:r>
        <w:rPr/>
        <w:t>CNRI LICENSE AGREEMENT FOR PYTHON 1.6.1</w:t>
      </w:r>
    </w:p>
    <w:p>
      <w:pPr>
        <w:pStyle w:val="VorformatierterText"/>
        <w:rPr/>
      </w:pPr>
      <w:r>
        <w:rPr/>
        <w:t>---------------------------------------</w:t>
      </w:r>
    </w:p>
    <w:p>
      <w:pPr>
        <w:pStyle w:val="VorformatierterText"/>
        <w:rPr/>
      </w:pPr>
      <w:r>
        <w:rPr/>
        <w:t>1. This LICENSE AGREEMENT is between the Corporation for National Research Initiatives, having an office at 1895 Preston White Drive, Reston, VA 20191 ("CNRI"), and the Individual or Organization ("Licensee") accessing and otherwise using Python 1.6.1 software in source or binary form and its associated documentation.</w:t>
      </w:r>
    </w:p>
    <w:p>
      <w:pPr>
        <w:pStyle w:val="VorformatierterText"/>
        <w:rPr/>
      </w:pPr>
      <w:r>
        <w:rPr/>
      </w:r>
    </w:p>
    <w:p>
      <w:pPr>
        <w:pStyle w:val="VorformatierterText"/>
        <w:rPr/>
      </w:pPr>
      <w:r>
        <w:rPr/>
        <w:t>2. Subject to the terms and conditions of this License Agreement, CNRI</w:t>
      </w:r>
    </w:p>
    <w:p>
      <w:pPr>
        <w:pStyle w:val="VorformatierterText"/>
        <w:rPr/>
      </w:pPr>
      <w:r>
        <w:rPr/>
        <w:t>hereby grants Licensee a nonexclusive, royalty-free, world-wide</w:t>
      </w:r>
    </w:p>
    <w:p>
      <w:pPr>
        <w:pStyle w:val="VorformatierterText"/>
        <w:rPr/>
      </w:pPr>
      <w:r>
        <w:rPr/>
        <w:t>license to reproduce, analyze, test, perform and/or display publicly,</w:t>
      </w:r>
    </w:p>
    <w:p>
      <w:pPr>
        <w:pStyle w:val="VorformatierterText"/>
        <w:rPr/>
      </w:pPr>
      <w:r>
        <w:rPr/>
        <w:t>prepare derivative works, distribute, and otherwise use Python 1.6.1</w:t>
      </w:r>
    </w:p>
    <w:p>
      <w:pPr>
        <w:pStyle w:val="VorformatierterText"/>
        <w:rPr/>
      </w:pPr>
      <w:r>
        <w:rPr/>
        <w:t>alone or in any derivative version, provided, however, that CNRI's</w:t>
      </w:r>
    </w:p>
    <w:p>
      <w:pPr>
        <w:pStyle w:val="VorformatierterText"/>
        <w:rPr/>
      </w:pPr>
      <w:r>
        <w:rPr/>
        <w:t>License Agreement and CNRI's notice of copyright, i.e., "Copyright (c)</w:t>
      </w:r>
    </w:p>
    <w:p>
      <w:pPr>
        <w:pStyle w:val="VorformatierterText"/>
        <w:rPr/>
      </w:pPr>
      <w:r>
        <w:rPr/>
        <w:t>1995-2001 Corporation for National Research Initiatives; All Rights</w:t>
      </w:r>
    </w:p>
    <w:p>
      <w:pPr>
        <w:pStyle w:val="VorformatierterText"/>
        <w:rPr/>
      </w:pPr>
      <w:r>
        <w:rPr/>
        <w:t>Reserved" are retained in Python 1.6.1 alone or in any derivative</w:t>
      </w:r>
    </w:p>
    <w:p>
      <w:pPr>
        <w:pStyle w:val="VorformatierterText"/>
        <w:rPr/>
      </w:pPr>
      <w:r>
        <w:rPr/>
        <w:t>version prepared by Licensee.  Alternately, in lieu of CNRI's License</w:t>
      </w:r>
    </w:p>
    <w:p>
      <w:pPr>
        <w:pStyle w:val="VorformatierterText"/>
        <w:rPr/>
      </w:pPr>
      <w:r>
        <w:rPr/>
        <w:t>Agreement, Licensee may substitute the following text (omitting the</w:t>
      </w:r>
    </w:p>
    <w:p>
      <w:pPr>
        <w:pStyle w:val="VorformatierterText"/>
        <w:rPr/>
      </w:pPr>
      <w:r>
        <w:rPr/>
        <w:t>quotes): "Python 1.6.1 is made available subject to the terms and</w:t>
      </w:r>
    </w:p>
    <w:p>
      <w:pPr>
        <w:pStyle w:val="VorformatierterText"/>
        <w:rPr/>
      </w:pPr>
      <w:r>
        <w:rPr/>
        <w:t>conditions in CNRI's License Agreement.  This Agreement together with</w:t>
      </w:r>
    </w:p>
    <w:p>
      <w:pPr>
        <w:pStyle w:val="VorformatierterText"/>
        <w:rPr/>
      </w:pPr>
      <w:r>
        <w:rPr/>
        <w:t>Python 1.6.1 may be located on the Internet using the following</w:t>
      </w:r>
    </w:p>
    <w:p>
      <w:pPr>
        <w:pStyle w:val="VorformatierterText"/>
        <w:rPr/>
      </w:pPr>
      <w:r>
        <w:rPr/>
        <w:t>unique, persistent identifier (known as a handle): 1895.22/1013.  This</w:t>
      </w:r>
    </w:p>
    <w:p>
      <w:pPr>
        <w:pStyle w:val="VorformatierterText"/>
        <w:rPr/>
      </w:pPr>
      <w:r>
        <w:rPr/>
        <w:t>Agreement may also be obtained from a proxy server on the Internet</w:t>
      </w:r>
    </w:p>
    <w:p>
      <w:pPr>
        <w:pStyle w:val="VorformatierterText"/>
        <w:rPr/>
      </w:pPr>
      <w:r>
        <w:rPr/>
        <w:t>using the following URL: http://hdl.handle.net/1895.22/1013".</w:t>
      </w:r>
    </w:p>
    <w:p>
      <w:pPr>
        <w:pStyle w:val="VorformatierterText"/>
        <w:rPr/>
      </w:pPr>
      <w:r>
        <w:rPr/>
      </w:r>
    </w:p>
    <w:p>
      <w:pPr>
        <w:pStyle w:val="VorformatierterText"/>
        <w:rPr/>
      </w:pPr>
      <w:r>
        <w:rPr/>
        <w:t>3. In the event Licensee prepares a derivative work that is based on</w:t>
      </w:r>
    </w:p>
    <w:p>
      <w:pPr>
        <w:pStyle w:val="VorformatierterText"/>
        <w:rPr/>
      </w:pPr>
      <w:r>
        <w:rPr/>
        <w:t>or incorporates Python 1.6.1 or any part thereof, and wants to make</w:t>
      </w:r>
    </w:p>
    <w:p>
      <w:pPr>
        <w:pStyle w:val="VorformatierterText"/>
        <w:rPr/>
      </w:pPr>
      <w:r>
        <w:rPr/>
        <w:t>the derivative work available to others as provided herein, then</w:t>
      </w:r>
    </w:p>
    <w:p>
      <w:pPr>
        <w:pStyle w:val="VorformatierterText"/>
        <w:rPr/>
      </w:pPr>
      <w:r>
        <w:rPr/>
        <w:t>Licensee hereby agrees to include in any such work a brief summary of</w:t>
      </w:r>
    </w:p>
    <w:p>
      <w:pPr>
        <w:pStyle w:val="VorformatierterText"/>
        <w:rPr/>
      </w:pPr>
      <w:r>
        <w:rPr/>
        <w:t>the changes made to Python 1.6.1.</w:t>
      </w:r>
    </w:p>
    <w:p>
      <w:pPr>
        <w:pStyle w:val="VorformatierterText"/>
        <w:rPr/>
      </w:pPr>
      <w:r>
        <w:rPr/>
      </w:r>
    </w:p>
    <w:p>
      <w:pPr>
        <w:pStyle w:val="VorformatierterText"/>
        <w:rPr/>
      </w:pPr>
      <w:r>
        <w:rPr/>
        <w:t>4. CNRI is making Python 1.6.1 available to Licensee on an "AS IS"</w:t>
      </w:r>
    </w:p>
    <w:p>
      <w:pPr>
        <w:pStyle w:val="VorformatierterText"/>
        <w:rPr/>
      </w:pPr>
      <w:r>
        <w:rPr/>
        <w:t>basis.  CNRI MAKES NO REPRESENTATIONS OR WARRANTIES, EXPRESS OR</w:t>
      </w:r>
    </w:p>
    <w:p>
      <w:pPr>
        <w:pStyle w:val="VorformatierterText"/>
        <w:rPr/>
      </w:pPr>
      <w:r>
        <w:rPr/>
        <w:t>IMPLIED.  BY WAY OF EXAMPLE, BUT NOT LIMITATION, CNRI MAKES NO AND</w:t>
      </w:r>
    </w:p>
    <w:p>
      <w:pPr>
        <w:pStyle w:val="VorformatierterText"/>
        <w:rPr/>
      </w:pPr>
      <w:r>
        <w:rPr/>
        <w:t>DISCLAIMS ANY REPRESENTATION OR WARRANTY OF MERCHANTABILITY OR FITNESS</w:t>
      </w:r>
    </w:p>
    <w:p>
      <w:pPr>
        <w:pStyle w:val="VorformatierterText"/>
        <w:rPr/>
      </w:pPr>
      <w:r>
        <w:rPr/>
        <w:t>FOR ANY PARTICULAR PURPOSE OR THAT THE USE OF PYTHON 1.6.1 WILL NOT</w:t>
      </w:r>
    </w:p>
    <w:p>
      <w:pPr>
        <w:pStyle w:val="VorformatierterText"/>
        <w:rPr/>
      </w:pPr>
      <w:r>
        <w:rPr/>
        <w:t>INFRINGE ANY THIRD PARTY RIGHTS.</w:t>
      </w:r>
    </w:p>
    <w:p>
      <w:pPr>
        <w:pStyle w:val="VorformatierterText"/>
        <w:rPr/>
      </w:pPr>
      <w:r>
        <w:rPr/>
      </w:r>
    </w:p>
    <w:p>
      <w:pPr>
        <w:pStyle w:val="VorformatierterText"/>
        <w:rPr/>
      </w:pPr>
      <w:r>
        <w:rPr/>
        <w:t>5. CNRI SHALL NOT BE LIABLE TO LICENSEE OR ANY OTHER USERS OF PYTHON</w:t>
      </w:r>
    </w:p>
    <w:p>
      <w:pPr>
        <w:pStyle w:val="VorformatierterText"/>
        <w:rPr/>
      </w:pPr>
      <w:r>
        <w:rPr/>
        <w:t>1.6.1 FOR ANY INCIDENTAL, SPECIAL, OR CONSEQUENTIAL DAMAGES OR LOSS AS</w:t>
      </w:r>
    </w:p>
    <w:p>
      <w:pPr>
        <w:pStyle w:val="VorformatierterText"/>
        <w:rPr/>
      </w:pPr>
      <w:r>
        <w:rPr/>
        <w:t>A RESULT OF MODIFYING, DISTRIBUTING, OR OTHERWISE USING PYTHON 1.6.1,</w:t>
      </w:r>
    </w:p>
    <w:p>
      <w:pPr>
        <w:pStyle w:val="VorformatierterText"/>
        <w:rPr/>
      </w:pPr>
      <w:r>
        <w:rPr/>
        <w:t>OR ANY DERIVATIVE THEREOF, EVEN IF ADVISED OF THE POSSIBILITY THEREOF.</w:t>
      </w:r>
    </w:p>
    <w:p>
      <w:pPr>
        <w:pStyle w:val="VorformatierterText"/>
        <w:rPr/>
      </w:pPr>
      <w:r>
        <w:rPr/>
      </w:r>
    </w:p>
    <w:p>
      <w:pPr>
        <w:pStyle w:val="VorformatierterText"/>
        <w:rPr/>
      </w:pPr>
      <w:r>
        <w:rPr/>
        <w:t>6. This License Agreement will automatically terminate upon a material</w:t>
      </w:r>
    </w:p>
    <w:p>
      <w:pPr>
        <w:pStyle w:val="VorformatierterText"/>
        <w:rPr/>
      </w:pPr>
      <w:r>
        <w:rPr/>
        <w:t>breach of its terms and conditions.</w:t>
      </w:r>
    </w:p>
    <w:p>
      <w:pPr>
        <w:pStyle w:val="VorformatierterText"/>
        <w:rPr/>
      </w:pPr>
      <w:r>
        <w:rPr/>
      </w:r>
    </w:p>
    <w:p>
      <w:pPr>
        <w:pStyle w:val="VorformatierterText"/>
        <w:rPr/>
      </w:pPr>
      <w:r>
        <w:rPr/>
        <w:t>7. This License Agreement shall be governed by the federal</w:t>
      </w:r>
    </w:p>
    <w:p>
      <w:pPr>
        <w:pStyle w:val="VorformatierterText"/>
        <w:rPr/>
      </w:pPr>
      <w:r>
        <w:rPr/>
        <w:t>intellectual property law of the United States, including without</w:t>
      </w:r>
    </w:p>
    <w:p>
      <w:pPr>
        <w:pStyle w:val="VorformatierterText"/>
        <w:rPr/>
      </w:pPr>
      <w:r>
        <w:rPr/>
        <w:t>limitation the federal copyright law, and, to the extent such</w:t>
      </w:r>
    </w:p>
    <w:p>
      <w:pPr>
        <w:pStyle w:val="VorformatierterText"/>
        <w:rPr/>
      </w:pPr>
      <w:r>
        <w:rPr/>
        <w:t>U.S. federal law does not apply, by the law of the Commonwealth of</w:t>
      </w:r>
    </w:p>
    <w:p>
      <w:pPr>
        <w:pStyle w:val="VorformatierterText"/>
        <w:rPr/>
      </w:pPr>
      <w:r>
        <w:rPr/>
        <w:t>Virginia, excluding Virginia's conflict of law provisions.</w:t>
      </w:r>
    </w:p>
    <w:p>
      <w:pPr>
        <w:pStyle w:val="VorformatierterText"/>
        <w:rPr/>
      </w:pPr>
      <w:r>
        <w:rPr/>
        <w:t>Notwithstanding the foregoing, with regard to derivative works based</w:t>
      </w:r>
    </w:p>
    <w:p>
      <w:pPr>
        <w:pStyle w:val="VorformatierterText"/>
        <w:rPr/>
      </w:pPr>
      <w:r>
        <w:rPr/>
        <w:t>on Python 1.6.1 that incorporate non-separable material that was</w:t>
      </w:r>
    </w:p>
    <w:p>
      <w:pPr>
        <w:pStyle w:val="VorformatierterText"/>
        <w:rPr/>
      </w:pPr>
      <w:r>
        <w:rPr/>
        <w:t>previously distributed under the GNU General Public License (GPL), the</w:t>
      </w:r>
    </w:p>
    <w:p>
      <w:pPr>
        <w:pStyle w:val="VorformatierterText"/>
        <w:rPr/>
      </w:pPr>
      <w:r>
        <w:rPr/>
        <w:t>law of the Commonwealth of Virginia shall govern this License</w:t>
      </w:r>
    </w:p>
    <w:p>
      <w:pPr>
        <w:pStyle w:val="VorformatierterText"/>
        <w:rPr/>
      </w:pPr>
      <w:r>
        <w:rPr/>
        <w:t>Agreement only as to issues arising under or with respect to</w:t>
      </w:r>
    </w:p>
    <w:p>
      <w:pPr>
        <w:pStyle w:val="VorformatierterText"/>
        <w:rPr/>
      </w:pPr>
      <w:r>
        <w:rPr/>
        <w:t>Paragraphs 4, 5, and 7 of this License Agreement.  Nothing in this</w:t>
      </w:r>
    </w:p>
    <w:p>
      <w:pPr>
        <w:pStyle w:val="VorformatierterText"/>
        <w:rPr/>
      </w:pPr>
      <w:r>
        <w:rPr/>
        <w:t>License Agreement shall be deemed to create any relationship of</w:t>
      </w:r>
    </w:p>
    <w:p>
      <w:pPr>
        <w:pStyle w:val="VorformatierterText"/>
        <w:rPr/>
      </w:pPr>
      <w:r>
        <w:rPr/>
        <w:t>agency, partnership, or joint venture between CNRI and Licensee.  This</w:t>
      </w:r>
    </w:p>
    <w:p>
      <w:pPr>
        <w:pStyle w:val="VorformatierterText"/>
        <w:rPr/>
      </w:pPr>
      <w:r>
        <w:rPr/>
        <w:t>License Agreement does not grant permission to use CNRI trademarks or</w:t>
      </w:r>
    </w:p>
    <w:p>
      <w:pPr>
        <w:pStyle w:val="VorformatierterText"/>
        <w:rPr/>
      </w:pPr>
      <w:r>
        <w:rPr/>
        <w:t>trade name in a trademark sense to endorse or promote products or</w:t>
      </w:r>
    </w:p>
    <w:p>
      <w:pPr>
        <w:pStyle w:val="VorformatierterText"/>
        <w:rPr/>
      </w:pPr>
      <w:r>
        <w:rPr/>
        <w:t>services of Licensee, or any third party.</w:t>
      </w:r>
    </w:p>
    <w:p>
      <w:pPr>
        <w:pStyle w:val="VorformatierterText"/>
        <w:rPr/>
      </w:pPr>
      <w:r>
        <w:rPr/>
      </w:r>
    </w:p>
    <w:p>
      <w:pPr>
        <w:pStyle w:val="VorformatierterText"/>
        <w:rPr/>
      </w:pPr>
      <w:r>
        <w:rPr/>
        <w:t>8. By clicking on the "ACCEPT" button where indicated, or by copying,</w:t>
      </w:r>
    </w:p>
    <w:p>
      <w:pPr>
        <w:pStyle w:val="VorformatierterText"/>
        <w:rPr/>
      </w:pPr>
      <w:r>
        <w:rPr/>
        <w:t>installing or otherwise using Python 1.6.1, Licensee agrees to be</w:t>
      </w:r>
    </w:p>
    <w:p>
      <w:pPr>
        <w:pStyle w:val="VorformatierterText"/>
        <w:rPr/>
      </w:pPr>
      <w:r>
        <w:rPr/>
        <w:t>bound by the terms and conditions of this License Agreement.</w:t>
      </w:r>
    </w:p>
    <w:p>
      <w:pPr>
        <w:pStyle w:val="VorformatierterText"/>
        <w:rPr/>
      </w:pPr>
      <w:r>
        <w:rPr/>
      </w:r>
    </w:p>
    <w:p>
      <w:pPr>
        <w:pStyle w:val="VorformatierterText"/>
        <w:rPr/>
      </w:pPr>
      <w:r>
        <w:rPr/>
        <w:t xml:space="preserve">        </w:t>
      </w:r>
      <w:r>
        <w:rPr/>
        <w:t>ACCEPT</w:t>
      </w:r>
    </w:p>
    <w:p>
      <w:pPr>
        <w:pStyle w:val="VorformatierterText"/>
        <w:rPr/>
      </w:pPr>
      <w:r>
        <w:rPr/>
      </w:r>
    </w:p>
    <w:p>
      <w:pPr>
        <w:pStyle w:val="VorformatierterText"/>
        <w:rPr/>
      </w:pPr>
      <w:r>
        <w:rPr/>
      </w:r>
    </w:p>
    <w:p>
      <w:pPr>
        <w:pStyle w:val="VorformatierterText"/>
        <w:rPr/>
      </w:pPr>
      <w:r>
        <w:rPr/>
        <w:t>CWI LICENSE AGREEMENT FOR PYTHON 0.9.0 THROUGH 1.2</w:t>
      </w:r>
    </w:p>
    <w:p>
      <w:pPr>
        <w:pStyle w:val="VorformatierterText"/>
        <w:rPr/>
      </w:pPr>
      <w:r>
        <w:rPr/>
        <w:t>--------------------------------------------------</w:t>
      </w:r>
    </w:p>
    <w:p>
      <w:pPr>
        <w:pStyle w:val="VorformatierterText"/>
        <w:rPr/>
      </w:pPr>
      <w:r>
        <w:rPr/>
      </w:r>
    </w:p>
    <w:p>
      <w:pPr>
        <w:pStyle w:val="VorformatierterText"/>
        <w:rPr/>
      </w:pPr>
      <w:r>
        <w:rPr/>
        <w:t>Copyright (c) 1991 - 1995, Stichting Mathematisch Centrum Amsterdam,</w:t>
      </w:r>
    </w:p>
    <w:p>
      <w:pPr>
        <w:pStyle w:val="VorformatierterText"/>
        <w:rPr/>
      </w:pPr>
      <w:r>
        <w:rPr/>
        <w:t>The Netherlands.  All rights reserved.</w:t>
      </w:r>
    </w:p>
    <w:p>
      <w:pPr>
        <w:pStyle w:val="VorformatierterText"/>
        <w:rPr/>
      </w:pPr>
      <w:r>
        <w:rPr/>
      </w:r>
    </w:p>
    <w:p>
      <w:pPr>
        <w:pStyle w:val="VorformatierterText"/>
        <w:rPr/>
      </w:pPr>
      <w:r>
        <w:rPr/>
        <w:t>Permission to use, copy, modify, and distribute this software and its</w:t>
      </w:r>
    </w:p>
    <w:p>
      <w:pPr>
        <w:pStyle w:val="VorformatierterText"/>
        <w:rPr/>
      </w:pPr>
      <w:r>
        <w:rPr/>
        <w:t>documentation for any purpose and without fee is hereby granted,</w:t>
      </w:r>
    </w:p>
    <w:p>
      <w:pPr>
        <w:pStyle w:val="VorformatierterText"/>
        <w:rPr/>
      </w:pPr>
      <w:r>
        <w:rPr/>
        <w:t>provided that the above copyright notice appear in all copies and that</w:t>
      </w:r>
    </w:p>
    <w:p>
      <w:pPr>
        <w:pStyle w:val="VorformatierterText"/>
        <w:rPr/>
      </w:pPr>
      <w:r>
        <w:rPr/>
        <w:t>both that copyright notice and this permission notice appear in</w:t>
      </w:r>
    </w:p>
    <w:p>
      <w:pPr>
        <w:pStyle w:val="VorformatierterText"/>
        <w:rPr/>
      </w:pPr>
      <w:r>
        <w:rPr/>
        <w:t>supporting documentation, and that the name of Stichting Mathematisch</w:t>
      </w:r>
    </w:p>
    <w:p>
      <w:pPr>
        <w:pStyle w:val="VorformatierterText"/>
        <w:rPr/>
      </w:pPr>
      <w:r>
        <w:rPr/>
        <w:t>Centrum or CWI not be used in advertising or publicity pertaining to</w:t>
      </w:r>
    </w:p>
    <w:p>
      <w:pPr>
        <w:pStyle w:val="VorformatierterText"/>
        <w:rPr/>
      </w:pPr>
      <w:r>
        <w:rPr/>
        <w:t>distribution of the software without specific, written prior</w:t>
      </w:r>
    </w:p>
    <w:p>
      <w:pPr>
        <w:pStyle w:val="VorformatierterText"/>
        <w:rPr/>
      </w:pPr>
      <w:r>
        <w:rPr/>
        <w:t>permission.</w:t>
      </w:r>
    </w:p>
    <w:p>
      <w:pPr>
        <w:pStyle w:val="VorformatierterText"/>
        <w:rPr/>
      </w:pPr>
      <w:r>
        <w:rPr/>
      </w:r>
    </w:p>
    <w:p>
      <w:pPr>
        <w:pStyle w:val="VorformatierterText"/>
        <w:rPr/>
      </w:pPr>
      <w:r>
        <w:rPr/>
        <w:t>STICHTING MATHEMATISCH CENTRUM DISCLAIMS ALL WARRANTIES WITH REGARD TO</w:t>
      </w:r>
    </w:p>
    <w:p>
      <w:pPr>
        <w:pStyle w:val="VorformatierterText"/>
        <w:rPr/>
      </w:pPr>
      <w:r>
        <w:rPr/>
        <w:t>THIS SOFTWARE, INCLUDING ALL IMPLIED WARRANTIES OF MERCHANTABILITY AND</w:t>
      </w:r>
    </w:p>
    <w:p>
      <w:pPr>
        <w:pStyle w:val="VorformatierterText"/>
        <w:rPr/>
      </w:pPr>
      <w:r>
        <w:rPr/>
        <w:t>FITNESS, IN NO EVENT SHALL STICHTING MATHEMATISCH CENTRUM BE LIABLE</w:t>
      </w:r>
    </w:p>
    <w:p>
      <w:pPr>
        <w:pStyle w:val="VorformatierterText"/>
        <w:rPr/>
      </w:pPr>
      <w:r>
        <w:rPr/>
        <w:t>FOR ANY SPECIAL, INDIRECT OR CONSEQUENTIAL DAMAGES OR ANY DAMAGES</w:t>
      </w:r>
    </w:p>
    <w:p>
      <w:pPr>
        <w:pStyle w:val="VorformatierterText"/>
        <w:rPr/>
      </w:pPr>
      <w:r>
        <w:rPr/>
        <w:t>WHATSOEVER RESULTING FROM LOSS OF USE, DATA OR PROFITS, WHETHER IN AN</w:t>
      </w:r>
    </w:p>
    <w:p>
      <w:pPr>
        <w:pStyle w:val="VorformatierterText"/>
        <w:rPr/>
      </w:pPr>
      <w:r>
        <w:rPr/>
        <w:t>ACTION OF CONTRACT, NEGLIGENCE OR OTHER TORTIOUS ACTION, ARISING OUT</w:t>
      </w:r>
    </w:p>
    <w:p>
      <w:pPr>
        <w:pStyle w:val="VorformatierterText"/>
        <w:rPr/>
      </w:pPr>
      <w:r>
        <w:rPr/>
        <w:t>OF OR IN CONNECTION WITH THE USE OR PERFORMANCE OF THIS SOFTWARE.</w:t>
      </w:r>
    </w:p>
    <w:p>
      <w:pPr>
        <w:pStyle w:val="Normal"/>
        <w:widowControl/>
        <w:pBdr/>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rlito">
    <w:altName w:val="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bidi w:val="0"/>
      <w:spacing w:lineRule="auto" w:line="259" w:before="0" w:after="160"/>
      <w:jc w:val="left"/>
    </w:pPr>
    <w:rPr>
      <w:rFonts w:ascii="Calibri" w:hAnsi="Calibri" w:eastAsia="Calibri" w:cs="Calibri"/>
      <w:color w:val="auto"/>
      <w:sz w:val="22"/>
      <w:szCs w:val="22"/>
      <w:lang w:val="en-US" w:eastAsia="en-US" w:bidi="ar-SA"/>
    </w:rPr>
  </w:style>
  <w:style w:type="paragraph" w:styleId="Berschrift1">
    <w:name w:val="Heading 1"/>
    <w:basedOn w:val="Normal"/>
    <w:next w:val="Normal"/>
    <w:uiPriority w:val="9"/>
    <w:qFormat/>
    <w:pPr>
      <w:keepNext/>
      <w:keepLines/>
      <w:spacing w:before="480" w:after="0"/>
      <w:outlineLvl w:val="0"/>
    </w:pPr>
    <w:rPr>
      <w:rFonts w:ascii="Arial" w:hAnsi="Arial" w:eastAsia="Arial" w:cs="Arial"/>
      <w:b/>
      <w:bCs/>
      <w:color w:val="000000" w:themeColor="text1"/>
      <w:sz w:val="48"/>
      <w:szCs w:val="48"/>
    </w:rPr>
  </w:style>
  <w:style w:type="paragraph" w:styleId="Berschrift2">
    <w:name w:val="Heading 2"/>
    <w:basedOn w:val="Normal"/>
    <w:next w:val="Normal"/>
    <w:uiPriority w:val="9"/>
    <w:unhideWhenUsed/>
    <w:qFormat/>
    <w:pPr>
      <w:keepNext/>
      <w:keepLines/>
      <w:spacing w:before="200" w:after="0"/>
      <w:outlineLvl w:val="1"/>
    </w:pPr>
    <w:rPr>
      <w:rFonts w:ascii="Arial" w:hAnsi="Arial" w:eastAsia="Arial" w:cs="Arial"/>
      <w:b/>
      <w:bCs/>
      <w:color w:val="000000" w:themeColor="text1"/>
      <w:sz w:val="40"/>
    </w:rPr>
  </w:style>
  <w:style w:type="paragraph" w:styleId="Berschrift3">
    <w:name w:val="Heading 3"/>
    <w:basedOn w:val="Normal"/>
    <w:next w:val="Normal"/>
    <w:uiPriority w:val="9"/>
    <w:unhideWhenUsed/>
    <w:qFormat/>
    <w:pPr>
      <w:keepNext/>
      <w:keepLines/>
      <w:spacing w:before="200" w:after="0"/>
      <w:outlineLvl w:val="2"/>
    </w:pPr>
    <w:rPr>
      <w:rFonts w:ascii="Arial" w:hAnsi="Arial" w:eastAsia="Arial" w:cs="Arial"/>
      <w:b/>
      <w:bCs/>
      <w:i/>
      <w:iCs/>
      <w:color w:val="000000" w:themeColor="text1"/>
      <w:sz w:val="36"/>
      <w:szCs w:val="36"/>
    </w:rPr>
  </w:style>
  <w:style w:type="paragraph" w:styleId="Berschrift4">
    <w:name w:val="Heading 4"/>
    <w:basedOn w:val="Normal"/>
    <w:next w:val="Normal"/>
    <w:uiPriority w:val="9"/>
    <w:unhideWhenUsed/>
    <w:qFormat/>
    <w:pPr>
      <w:keepNext/>
      <w:keepLines/>
      <w:spacing w:before="200" w:after="0"/>
      <w:outlineLvl w:val="3"/>
    </w:pPr>
    <w:rPr>
      <w:rFonts w:ascii="Arial" w:hAnsi="Arial" w:eastAsia="Arial" w:cs="Arial"/>
      <w:color w:val="232323"/>
      <w:sz w:val="32"/>
      <w:szCs w:val="32"/>
    </w:rPr>
  </w:style>
  <w:style w:type="paragraph" w:styleId="Berschrift5">
    <w:name w:val="Heading 5"/>
    <w:basedOn w:val="Normal"/>
    <w:next w:val="Normal"/>
    <w:uiPriority w:val="9"/>
    <w:unhideWhenUsed/>
    <w:qFormat/>
    <w:pPr>
      <w:keepNext/>
      <w:keepLines/>
      <w:spacing w:before="200" w:after="0"/>
      <w:outlineLvl w:val="4"/>
    </w:pPr>
    <w:rPr>
      <w:rFonts w:ascii="Arial" w:hAnsi="Arial" w:eastAsia="Arial" w:cs="Arial"/>
      <w:b/>
      <w:bCs/>
      <w:color w:val="444444"/>
      <w:sz w:val="28"/>
      <w:szCs w:val="28"/>
    </w:rPr>
  </w:style>
  <w:style w:type="paragraph" w:styleId="Berschrift6">
    <w:name w:val="Heading 6"/>
    <w:basedOn w:val="Normal"/>
    <w:next w:val="Normal"/>
    <w:uiPriority w:val="9"/>
    <w:unhideWhenUsed/>
    <w:qFormat/>
    <w:pPr>
      <w:keepNext/>
      <w:keepLines/>
      <w:spacing w:before="200" w:after="0"/>
      <w:outlineLvl w:val="5"/>
    </w:pPr>
    <w:rPr>
      <w:rFonts w:ascii="Arial" w:hAnsi="Arial" w:eastAsia="Arial" w:cs="Arial"/>
      <w:i/>
      <w:iCs/>
      <w:color w:val="232323"/>
      <w:sz w:val="28"/>
      <w:szCs w:val="28"/>
    </w:rPr>
  </w:style>
  <w:style w:type="paragraph" w:styleId="Berschrift7">
    <w:name w:val="Heading 7"/>
    <w:basedOn w:val="Normal"/>
    <w:next w:val="Normal"/>
    <w:uiPriority w:val="9"/>
    <w:unhideWhenUsed/>
    <w:qFormat/>
    <w:pPr>
      <w:keepNext/>
      <w:keepLines/>
      <w:spacing w:before="200" w:after="0"/>
      <w:outlineLvl w:val="6"/>
    </w:pPr>
    <w:rPr>
      <w:rFonts w:ascii="Arial" w:hAnsi="Arial" w:eastAsia="Arial" w:cs="Arial"/>
      <w:b/>
      <w:bCs/>
      <w:color w:val="606060"/>
      <w:sz w:val="24"/>
      <w:szCs w:val="24"/>
    </w:rPr>
  </w:style>
  <w:style w:type="paragraph" w:styleId="Berschrift8">
    <w:name w:val="Heading 8"/>
    <w:basedOn w:val="Normal"/>
    <w:next w:val="Normal"/>
    <w:uiPriority w:val="9"/>
    <w:unhideWhenUsed/>
    <w:qFormat/>
    <w:pPr>
      <w:keepNext/>
      <w:keepLines/>
      <w:spacing w:before="200" w:after="0"/>
      <w:outlineLvl w:val="7"/>
    </w:pPr>
    <w:rPr>
      <w:rFonts w:ascii="Arial" w:hAnsi="Arial" w:eastAsia="Arial" w:cs="Arial"/>
      <w:color w:val="444444"/>
      <w:sz w:val="24"/>
      <w:szCs w:val="24"/>
    </w:rPr>
  </w:style>
  <w:style w:type="paragraph" w:styleId="Berschrift9">
    <w:name w:val="Heading 9"/>
    <w:basedOn w:val="Normal"/>
    <w:next w:val="Normal"/>
    <w:uiPriority w:val="9"/>
    <w:unhideWhenUsed/>
    <w:qFormat/>
    <w:pPr>
      <w:keepNext/>
      <w:keepLines/>
      <w:spacing w:before="200" w:after="0"/>
      <w:outlineLvl w:val="8"/>
    </w:pPr>
    <w:rPr>
      <w:rFonts w:ascii="Arial" w:hAnsi="Arial" w:eastAsia="Arial" w:cs="Arial"/>
      <w:i/>
      <w:iCs/>
      <w:color w:val="444444"/>
      <w:sz w:val="23"/>
      <w:szCs w:val="23"/>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sz w:val="48"/>
      <w:szCs w:val="48"/>
    </w:rPr>
  </w:style>
  <w:style w:type="character" w:styleId="SubtitleChar" w:customStyle="1">
    <w:name w:val="Subtitle Char"/>
    <w:basedOn w:val="DefaultParagraphFont"/>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uiPriority w:val="9"/>
    <w:qFormat/>
    <w:rPr>
      <w:rFonts w:ascii="Arial" w:hAnsi="Arial" w:eastAsia="Arial" w:cs="Arial"/>
      <w:b/>
      <w:bCs/>
      <w:color w:val="000000" w:themeColor="text1"/>
      <w:sz w:val="48"/>
      <w:szCs w:val="48"/>
    </w:rPr>
  </w:style>
  <w:style w:type="character" w:styleId="Heading2Char" w:customStyle="1">
    <w:name w:val="Heading 2 Char"/>
    <w:basedOn w:val="DefaultParagraphFont"/>
    <w:uiPriority w:val="9"/>
    <w:qFormat/>
    <w:rPr>
      <w:rFonts w:ascii="Arial" w:hAnsi="Arial" w:eastAsia="Arial" w:cs="Arial"/>
      <w:b/>
      <w:bCs/>
      <w:color w:val="000000" w:themeColor="text1"/>
      <w:sz w:val="40"/>
      <w:szCs w:val="40"/>
    </w:rPr>
  </w:style>
  <w:style w:type="character" w:styleId="Heading3Char" w:customStyle="1">
    <w:name w:val="Heading 3 Char"/>
    <w:basedOn w:val="DefaultParagraphFont"/>
    <w:uiPriority w:val="9"/>
    <w:qFormat/>
    <w:rPr>
      <w:rFonts w:ascii="Arial" w:hAnsi="Arial" w:eastAsia="Arial" w:cs="Arial"/>
      <w:b/>
      <w:bCs/>
      <w:i/>
      <w:iCs/>
      <w:color w:val="000000" w:themeColor="text1"/>
      <w:sz w:val="40"/>
      <w:szCs w:val="40"/>
    </w:rPr>
  </w:style>
  <w:style w:type="character" w:styleId="Heading4Char" w:customStyle="1">
    <w:name w:val="Heading 4 Char"/>
    <w:basedOn w:val="DefaultParagraphFont"/>
    <w:uiPriority w:val="9"/>
    <w:qFormat/>
    <w:rPr>
      <w:rFonts w:ascii="Arial" w:hAnsi="Arial" w:eastAsia="Arial" w:cs="Arial"/>
      <w:color w:val="232323"/>
      <w:sz w:val="32"/>
      <w:szCs w:val="32"/>
    </w:rPr>
  </w:style>
  <w:style w:type="character" w:styleId="Heading5Char" w:customStyle="1">
    <w:name w:val="Heading 5 Char"/>
    <w:basedOn w:val="DefaultParagraphFont"/>
    <w:uiPriority w:val="9"/>
    <w:qFormat/>
    <w:rPr>
      <w:rFonts w:ascii="Arial" w:hAnsi="Arial" w:eastAsia="Arial" w:cs="Arial"/>
      <w:b/>
      <w:bCs/>
      <w:color w:val="444444"/>
      <w:sz w:val="28"/>
      <w:szCs w:val="28"/>
    </w:rPr>
  </w:style>
  <w:style w:type="character" w:styleId="Heading6Char" w:customStyle="1">
    <w:name w:val="Heading 6 Char"/>
    <w:basedOn w:val="DefaultParagraphFont"/>
    <w:uiPriority w:val="9"/>
    <w:qFormat/>
    <w:rPr>
      <w:rFonts w:ascii="Arial" w:hAnsi="Arial" w:eastAsia="Arial" w:cs="Arial"/>
      <w:i/>
      <w:iCs/>
      <w:color w:val="232323"/>
      <w:sz w:val="28"/>
      <w:szCs w:val="28"/>
    </w:rPr>
  </w:style>
  <w:style w:type="character" w:styleId="Heading7Char" w:customStyle="1">
    <w:name w:val="Heading 7 Char"/>
    <w:basedOn w:val="DefaultParagraphFont"/>
    <w:uiPriority w:val="9"/>
    <w:qFormat/>
    <w:rPr>
      <w:rFonts w:ascii="Arial" w:hAnsi="Arial" w:eastAsia="Arial" w:cs="Arial"/>
      <w:b/>
      <w:bCs/>
      <w:color w:val="606060"/>
      <w:sz w:val="28"/>
      <w:szCs w:val="28"/>
    </w:rPr>
  </w:style>
  <w:style w:type="character" w:styleId="Heading8Char" w:customStyle="1">
    <w:name w:val="Heading 8 Char"/>
    <w:basedOn w:val="DefaultParagraphFont"/>
    <w:uiPriority w:val="9"/>
    <w:qFormat/>
    <w:rPr>
      <w:rFonts w:ascii="Arial" w:hAnsi="Arial" w:eastAsia="Arial" w:cs="Arial"/>
      <w:color w:val="444444"/>
      <w:sz w:val="24"/>
      <w:szCs w:val="24"/>
    </w:rPr>
  </w:style>
  <w:style w:type="character" w:styleId="Heading9Char" w:customStyle="1">
    <w:name w:val="Heading 9 Char"/>
    <w:basedOn w:val="DefaultParagraphFont"/>
    <w:uiPriority w:val="9"/>
    <w:qFormat/>
    <w:rPr>
      <w:rFonts w:ascii="Arial" w:hAnsi="Arial" w:eastAsia="Arial" w:cs="Arial"/>
      <w:i/>
      <w:iCs/>
      <w:color w:val="444444"/>
      <w:sz w:val="23"/>
      <w:szCs w:val="23"/>
    </w:rPr>
  </w:style>
  <w:style w:type="character" w:styleId="Internetlink">
    <w:name w:val="Internetlink"/>
    <w:uiPriority w:val="99"/>
    <w:unhideWhenUsed/>
    <w:rPr>
      <w:color w:val="0563C1" w:themeColor="hyperlink"/>
      <w:u w:val="single"/>
    </w:rPr>
  </w:style>
  <w:style w:type="character" w:styleId="FootnoteTextChar" w:customStyle="1">
    <w:name w:val="Footnote Text Char"/>
    <w:basedOn w:val="DefaultParagraphFont"/>
    <w:uiPriority w:val="99"/>
    <w:semiHidden/>
    <w:qFormat/>
    <w:rPr>
      <w:sz w:val="20"/>
    </w:rPr>
  </w:style>
  <w:style w:type="character" w:styleId="Footnotereference">
    <w:name w:val="footnote reference"/>
    <w:basedOn w:val="DefaultParagraphFont"/>
    <w:uiPriority w:val="99"/>
    <w:semiHidden/>
    <w:unhideWhenUsed/>
    <w:qFormat/>
    <w:rPr>
      <w:vertAlign w:val="superscript"/>
    </w:rPr>
  </w:style>
  <w:style w:type="character" w:styleId="Annotationreference">
    <w:name w:val="annotation reference"/>
    <w:basedOn w:val="DefaultParagraphFont"/>
    <w:uiPriority w:val="99"/>
    <w:semiHidden/>
    <w:unhideWhenUsed/>
    <w:qFormat/>
    <w:rsid w:val="000775ea"/>
    <w:rPr>
      <w:sz w:val="16"/>
      <w:szCs w:val="16"/>
    </w:rPr>
  </w:style>
  <w:style w:type="character" w:styleId="CommentTextChar" w:customStyle="1">
    <w:name w:val="Comment Text Char"/>
    <w:basedOn w:val="DefaultParagraphFont"/>
    <w:link w:val="CommentText"/>
    <w:uiPriority w:val="99"/>
    <w:semiHidden/>
    <w:qFormat/>
    <w:rsid w:val="000775ea"/>
    <w:rPr>
      <w:sz w:val="20"/>
      <w:szCs w:val="20"/>
    </w:rPr>
  </w:style>
  <w:style w:type="character" w:styleId="CommentSubjectChar" w:customStyle="1">
    <w:name w:val="Comment Subject Char"/>
    <w:basedOn w:val="CommentTextChar"/>
    <w:link w:val="CommentSubject"/>
    <w:uiPriority w:val="99"/>
    <w:semiHidden/>
    <w:qFormat/>
    <w:rsid w:val="000775ea"/>
    <w:rPr>
      <w:b/>
      <w:bCs/>
      <w:sz w:val="20"/>
      <w:szCs w:val="20"/>
    </w:rPr>
  </w:style>
  <w:style w:type="character" w:styleId="BalloonTextChar" w:customStyle="1">
    <w:name w:val="Balloon Text Char"/>
    <w:basedOn w:val="DefaultParagraphFont"/>
    <w:link w:val="BalloonText"/>
    <w:uiPriority w:val="99"/>
    <w:semiHidden/>
    <w:qFormat/>
    <w:rsid w:val="000775ea"/>
    <w:rPr>
      <w:rFonts w:ascii="Tahoma" w:hAnsi="Tahoma" w:cs="Tahoma"/>
      <w:sz w:val="16"/>
      <w:szCs w:val="16"/>
    </w:rPr>
  </w:style>
  <w:style w:type="character" w:styleId="Nummerierungszeichen">
    <w:name w:val="Nummerierungszeichen"/>
    <w:qFormat/>
    <w:rPr/>
  </w:style>
  <w:style w:type="paragraph" w:styleId="Berschrift">
    <w:name w:val="Überschrift"/>
    <w:basedOn w:val="Normal"/>
    <w:next w:val="Textkrper"/>
    <w:qFormat/>
    <w:pPr>
      <w:keepNext/>
      <w:spacing w:before="240" w:after="120"/>
    </w:pPr>
    <w:rPr>
      <w:rFonts w:ascii="Liberation Sans" w:hAnsi="Liberation Sans" w:eastAsia="WenQuanYi Micro Hei" w:cs="Lohit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basedOn w:val="Normal"/>
    <w:uiPriority w:val="1"/>
    <w:qFormat/>
    <w:pPr>
      <w:spacing w:lineRule="auto" w:line="240" w:before="0" w:after="0"/>
    </w:pPr>
    <w:rPr>
      <w:color w:val="000000"/>
    </w:rPr>
  </w:style>
  <w:style w:type="paragraph" w:styleId="Titel">
    <w:name w:val="Title"/>
    <w:basedOn w:val="Normal"/>
    <w:next w:val="Normal"/>
    <w:link w:val="TitleChar"/>
    <w:uiPriority w:val="10"/>
    <w:qFormat/>
    <w:pPr>
      <w:pBdr>
        <w:bottom w:val="single" w:sz="24" w:space="0" w:color="000001"/>
      </w:pBdr>
      <w:spacing w:lineRule="auto" w:line="240" w:before="300" w:after="80"/>
      <w:outlineLvl w:val="0"/>
    </w:pPr>
    <w:rPr>
      <w:b/>
      <w:color w:val="000000"/>
      <w:sz w:val="72"/>
    </w:rPr>
  </w:style>
  <w:style w:type="paragraph" w:styleId="Untertitel">
    <w:name w:val="Subtitle"/>
    <w:basedOn w:val="Normal"/>
    <w:next w:val="Normal"/>
    <w:link w:val="SubtitleChar"/>
    <w:uiPriority w:val="11"/>
    <w:qFormat/>
    <w:pPr>
      <w:spacing w:lineRule="auto" w:line="240"/>
      <w:outlineLvl w:val="0"/>
    </w:pPr>
    <w:rPr>
      <w:i/>
      <w:color w:val="444444"/>
      <w:sz w:val="52"/>
    </w:rPr>
  </w:style>
  <w:style w:type="paragraph" w:styleId="Quote">
    <w:name w:val="Quote"/>
    <w:basedOn w:val="Normal"/>
    <w:next w:val="Normal"/>
    <w:link w:val="QuoteChar"/>
    <w:uiPriority w:val="29"/>
    <w:qFormat/>
    <w:pPr>
      <w:pBdr>
        <w:left w:val="single" w:sz="12" w:space="11" w:color="A6A6A6"/>
        <w:bottom w:val="single" w:sz="12" w:space="3" w:color="A6A6A6"/>
      </w:pBdr>
      <w:ind w:left="3402" w:hanging="0"/>
    </w:pPr>
    <w:rPr>
      <w:i/>
      <w:color w:val="373737"/>
      <w:sz w:val="18"/>
    </w:rPr>
  </w:style>
  <w:style w:type="paragraph" w:styleId="IntenseQuote">
    <w:name w:val="Intense Quote"/>
    <w:basedOn w:val="Normal"/>
    <w:next w:val="Normal"/>
    <w:link w:val="IntenseQuoteChar"/>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hanging="0"/>
    </w:pPr>
    <w:rPr>
      <w:i/>
      <w:color w:val="606060"/>
      <w:sz w:val="19"/>
    </w:rPr>
  </w:style>
  <w:style w:type="paragraph" w:styleId="Kopfzeile">
    <w:name w:val="Header"/>
    <w:basedOn w:val="Normal"/>
    <w:link w:val="HeaderChar"/>
    <w:uiPriority w:val="99"/>
    <w:unhideWhenUsed/>
    <w:pPr>
      <w:tabs>
        <w:tab w:val="center" w:pos="7143" w:leader="none"/>
        <w:tab w:val="right" w:pos="14287" w:leader="none"/>
      </w:tabs>
      <w:spacing w:lineRule="auto" w:line="240" w:before="0" w:after="0"/>
    </w:pPr>
    <w:rPr>
      <w:color w:val="000000"/>
    </w:rPr>
  </w:style>
  <w:style w:type="paragraph" w:styleId="Fuzeile">
    <w:name w:val="Footer"/>
    <w:basedOn w:val="Normal"/>
    <w:link w:val="FooterChar"/>
    <w:uiPriority w:val="99"/>
    <w:unhideWhenUsed/>
    <w:pPr>
      <w:tabs>
        <w:tab w:val="center" w:pos="7143" w:leader="none"/>
        <w:tab w:val="right" w:pos="14287" w:leader="none"/>
      </w:tabs>
      <w:spacing w:lineRule="auto" w:line="240" w:before="0" w:after="0"/>
    </w:pPr>
    <w:rPr>
      <w:color w:val="000000"/>
    </w:rPr>
  </w:style>
  <w:style w:type="paragraph" w:styleId="Footnotetext">
    <w:name w:val="footnote text"/>
    <w:basedOn w:val="Normal"/>
    <w:uiPriority w:val="99"/>
    <w:semiHidden/>
    <w:unhideWhenUsed/>
    <w:qFormat/>
    <w:pPr>
      <w:spacing w:lineRule="auto" w:line="240" w:before="0" w:after="0"/>
    </w:pPr>
    <w:rPr>
      <w:sz w:val="20"/>
    </w:rPr>
  </w:style>
  <w:style w:type="paragraph" w:styleId="Inhaltsverzeichnis1">
    <w:name w:val="TOC 1"/>
    <w:basedOn w:val="Normal"/>
    <w:next w:val="Normal"/>
    <w:uiPriority w:val="39"/>
    <w:unhideWhenUsed/>
    <w:pPr>
      <w:spacing w:before="0" w:after="57"/>
    </w:pPr>
    <w:rPr/>
  </w:style>
  <w:style w:type="paragraph" w:styleId="Inhaltsverzeichnis2">
    <w:name w:val="TOC 2"/>
    <w:basedOn w:val="Normal"/>
    <w:next w:val="Normal"/>
    <w:uiPriority w:val="39"/>
    <w:unhideWhenUsed/>
    <w:pPr>
      <w:spacing w:before="0" w:after="57"/>
      <w:ind w:left="283" w:hanging="0"/>
    </w:pPr>
    <w:rPr/>
  </w:style>
  <w:style w:type="paragraph" w:styleId="Inhaltsverzeichnis3">
    <w:name w:val="TOC 3"/>
    <w:basedOn w:val="Normal"/>
    <w:next w:val="Normal"/>
    <w:uiPriority w:val="39"/>
    <w:unhideWhenUsed/>
    <w:pPr>
      <w:spacing w:before="0" w:after="57"/>
      <w:ind w:left="567" w:hanging="0"/>
    </w:pPr>
    <w:rPr/>
  </w:style>
  <w:style w:type="paragraph" w:styleId="Inhaltsverzeichnis4">
    <w:name w:val="TOC 4"/>
    <w:basedOn w:val="Normal"/>
    <w:next w:val="Normal"/>
    <w:uiPriority w:val="39"/>
    <w:unhideWhenUsed/>
    <w:pPr>
      <w:spacing w:before="0" w:after="57"/>
      <w:ind w:left="850" w:hanging="0"/>
    </w:pPr>
    <w:rPr/>
  </w:style>
  <w:style w:type="paragraph" w:styleId="Inhaltsverzeichnis5">
    <w:name w:val="TOC 5"/>
    <w:basedOn w:val="Normal"/>
    <w:next w:val="Normal"/>
    <w:uiPriority w:val="39"/>
    <w:unhideWhenUsed/>
    <w:pPr>
      <w:spacing w:before="0" w:after="57"/>
      <w:ind w:left="1134" w:hanging="0"/>
    </w:pPr>
    <w:rPr/>
  </w:style>
  <w:style w:type="paragraph" w:styleId="Inhaltsverzeichnis6">
    <w:name w:val="TOC 6"/>
    <w:basedOn w:val="Normal"/>
    <w:next w:val="Normal"/>
    <w:uiPriority w:val="39"/>
    <w:unhideWhenUsed/>
    <w:pPr>
      <w:spacing w:before="0" w:after="57"/>
      <w:ind w:left="1417" w:hanging="0"/>
    </w:pPr>
    <w:rPr/>
  </w:style>
  <w:style w:type="paragraph" w:styleId="Inhaltsverzeichnis7">
    <w:name w:val="TOC 7"/>
    <w:basedOn w:val="Normal"/>
    <w:next w:val="Normal"/>
    <w:uiPriority w:val="39"/>
    <w:unhideWhenUsed/>
    <w:pPr>
      <w:spacing w:before="0" w:after="57"/>
      <w:ind w:left="1701" w:hanging="0"/>
    </w:pPr>
    <w:rPr/>
  </w:style>
  <w:style w:type="paragraph" w:styleId="Inhaltsverzeichnis8">
    <w:name w:val="TOC 8"/>
    <w:basedOn w:val="Normal"/>
    <w:next w:val="Normal"/>
    <w:uiPriority w:val="39"/>
    <w:unhideWhenUsed/>
    <w:pPr>
      <w:spacing w:before="0" w:after="57"/>
      <w:ind w:left="1984" w:hanging="0"/>
    </w:pPr>
    <w:rPr/>
  </w:style>
  <w:style w:type="paragraph" w:styleId="Inhaltsverzeichnis9">
    <w:name w:val="TOC 9"/>
    <w:basedOn w:val="Normal"/>
    <w:next w:val="Normal"/>
    <w:uiPriority w:val="39"/>
    <w:unhideWhenUsed/>
    <w:pPr>
      <w:spacing w:before="0" w:after="57"/>
      <w:ind w:left="2268" w:hanging="0"/>
    </w:pPr>
    <w:rPr/>
  </w:style>
  <w:style w:type="paragraph" w:styleId="TOCHeading">
    <w:name w:val="TOC Heading"/>
    <w:uiPriority w:val="39"/>
    <w:unhideWhenUsed/>
    <w:qFormat/>
    <w:pPr>
      <w:widowControl/>
      <w:bidi w:val="0"/>
      <w:jc w:val="left"/>
    </w:pPr>
    <w:rPr>
      <w:rFonts w:ascii="Calibri" w:hAnsi="Calibri" w:eastAsia="Calibri" w:cs="Calibri"/>
      <w:color w:val="auto"/>
      <w:sz w:val="22"/>
      <w:szCs w:val="22"/>
      <w:lang w:val="en-US" w:eastAsia="en-US" w:bidi="ar-SA"/>
    </w:rPr>
  </w:style>
  <w:style w:type="paragraph" w:styleId="Annotationtext">
    <w:name w:val="annotation text"/>
    <w:basedOn w:val="Normal"/>
    <w:link w:val="CommentTextChar"/>
    <w:uiPriority w:val="99"/>
    <w:semiHidden/>
    <w:unhideWhenUsed/>
    <w:qFormat/>
    <w:rsid w:val="000775e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775ea"/>
    <w:pPr/>
    <w:rPr>
      <w:b/>
      <w:bCs/>
    </w:rPr>
  </w:style>
  <w:style w:type="paragraph" w:styleId="BalloonText">
    <w:name w:val="Balloon Text"/>
    <w:basedOn w:val="Normal"/>
    <w:link w:val="BalloonTextChar"/>
    <w:uiPriority w:val="99"/>
    <w:semiHidden/>
    <w:unhideWhenUsed/>
    <w:qFormat/>
    <w:rsid w:val="000775ea"/>
    <w:pPr>
      <w:spacing w:lineRule="auto" w:line="240" w:before="0" w:after="0"/>
    </w:pPr>
    <w:rPr>
      <w:rFonts w:ascii="Tahoma" w:hAnsi="Tahoma" w:cs="Tahoma"/>
      <w:sz w:val="16"/>
      <w:szCs w:val="16"/>
    </w:rPr>
  </w:style>
  <w:style w:type="paragraph" w:styleId="VorformatierterText">
    <w:name w:val="Vorformatierter Text"/>
    <w:basedOn w:val="Normal"/>
    <w:qForma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Lined">
    <w:name w:val="Lined"/>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Pr/>
    </w:tblStylePr>
    <w:tblStylePr w:type="band2Vert">
      <w:rPr>
        <w:color w:val="404040"/>
        <w:sz w:val="22"/>
      </w:rPr>
      <w:tblPr/>
      <w:tcPr>
        <w:shd w:val="clear" w:color="auto" w:fill="F2F2F2"/>
      </w:tcPr>
    </w:tblStylePr>
    <w:tblStylePr w:type="band1Horz">
      <w:rPr>
        <w:color w:val="404040"/>
        <w:sz w:val="22"/>
      </w:rPr>
      <w:tblPr/>
    </w:tblStylePr>
    <w:tblStylePr w:type="band2Horz">
      <w:rPr>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Pr/>
    </w:tblStylePr>
    <w:tblStylePr w:type="band2Vert">
      <w:rPr>
        <w:color w:val="404040"/>
        <w:sz w:val="22"/>
      </w:rPr>
      <w:tblPr/>
      <w:tcPr>
        <w:shd w:val="clear" w:color="auto" w:fill="C6D9F1"/>
      </w:tcPr>
    </w:tblStylePr>
    <w:tblStylePr w:type="band1Horz">
      <w:rPr>
        <w:color w:val="404040"/>
        <w:sz w:val="22"/>
      </w:rPr>
      <w:tblPr/>
    </w:tblStylePr>
    <w:tblStylePr w:type="band2Horz">
      <w:rPr>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Pr/>
    </w:tblStylePr>
    <w:tblStylePr w:type="band2Vert">
      <w:rPr>
        <w:color w:val="404040"/>
        <w:sz w:val="22"/>
      </w:rPr>
      <w:tblPr/>
      <w:tcPr>
        <w:shd w:val="clear" w:color="auto" w:fill="F2DBDB"/>
      </w:tcPr>
    </w:tblStylePr>
    <w:tblStylePr w:type="band1Horz">
      <w:rPr>
        <w:color w:val="404040"/>
        <w:sz w:val="22"/>
      </w:rPr>
      <w:tblPr/>
    </w:tblStylePr>
    <w:tblStylePr w:type="band2Horz">
      <w:rPr>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9BB559"/>
      </w:tcPr>
    </w:tblStylePr>
    <w:tblStylePr w:type="lastRow">
      <w:rPr>
        <w:color w:val="F2F2F2"/>
        <w:sz w:val="22"/>
      </w:rPr>
      <w:tblPr/>
      <w:tcPr>
        <w:shd w:val="clear" w:color="auto" w:fill="9BB559"/>
      </w:tcPr>
    </w:tblStylePr>
    <w:tblStylePr w:type="firstCol">
      <w:rPr>
        <w:color w:val="F2F2F2"/>
        <w:sz w:val="22"/>
      </w:rPr>
      <w:tblPr/>
      <w:tcPr>
        <w:shd w:val="clear" w:color="auto" w:fill="9BB559"/>
      </w:tcPr>
    </w:tblStylePr>
    <w:tblStylePr w:type="lastCol">
      <w:rPr>
        <w:color w:val="F2F2F2"/>
        <w:sz w:val="22"/>
      </w:rPr>
      <w:tblPr/>
      <w:tcPr>
        <w:shd w:val="clear" w:color="auto" w:fill="9BB559"/>
      </w:tcPr>
    </w:tblStylePr>
    <w:tblStylePr w:type="band1Vert">
      <w:rPr>
        <w:color w:val="404040"/>
        <w:sz w:val="22"/>
      </w:rPr>
      <w:tblPr/>
    </w:tblStylePr>
    <w:tblStylePr w:type="band2Vert">
      <w:rPr>
        <w:color w:val="404040"/>
        <w:sz w:val="22"/>
      </w:rPr>
      <w:tblPr/>
      <w:tcPr>
        <w:shd w:val="clear" w:color="auto" w:fill="EAF1DD"/>
      </w:tcPr>
    </w:tblStylePr>
    <w:tblStylePr w:type="band1Horz">
      <w:rPr>
        <w:color w:val="404040"/>
        <w:sz w:val="22"/>
      </w:rPr>
      <w:tblPr/>
    </w:tblStylePr>
    <w:tblStylePr w:type="band2Horz">
      <w:rPr>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Pr/>
    </w:tblStylePr>
    <w:tblStylePr w:type="band2Vert">
      <w:rPr>
        <w:color w:val="404040"/>
        <w:sz w:val="22"/>
      </w:rPr>
      <w:tblPr/>
      <w:tcPr>
        <w:shd w:val="clear" w:color="auto" w:fill="E5DFEC"/>
      </w:tcPr>
    </w:tblStylePr>
    <w:tblStylePr w:type="band1Horz">
      <w:rPr>
        <w:color w:val="404040"/>
        <w:sz w:val="22"/>
      </w:rPr>
      <w:tblPr/>
    </w:tblStylePr>
    <w:tblStylePr w:type="band2Horz">
      <w:rPr>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Pr/>
    </w:tblStylePr>
    <w:tblStylePr w:type="band2Vert">
      <w:rPr>
        <w:color w:val="404040"/>
        <w:sz w:val="22"/>
      </w:rPr>
      <w:tblPr/>
      <w:tcPr>
        <w:shd w:val="clear" w:color="auto" w:fill="DAEEF3"/>
      </w:tcPr>
    </w:tblStylePr>
    <w:tblStylePr w:type="band1Horz">
      <w:rPr>
        <w:color w:val="404040"/>
        <w:sz w:val="22"/>
      </w:rPr>
      <w:tblPr/>
    </w:tblStylePr>
    <w:tblStylePr w:type="band2Horz">
      <w:rPr>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Pr/>
    </w:tblStylePr>
    <w:tblStylePr w:type="band2Vert">
      <w:rPr>
        <w:color w:val="404040"/>
        <w:sz w:val="22"/>
      </w:rPr>
      <w:tblPr/>
      <w:tcPr>
        <w:shd w:val="clear" w:color="auto" w:fill="FDE9D9"/>
      </w:tcPr>
    </w:tblStylePr>
    <w:tblStylePr w:type="band1Horz">
      <w:rPr>
        <w:color w:val="404040"/>
        <w:sz w:val="22"/>
      </w:rPr>
      <w:tblPr/>
    </w:tblStylePr>
    <w:tblStylePr w:type="band2Horz">
      <w:rPr>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96" w:type="dxa"/>
        <w:left w:w="170" w:type="dxa"/>
        <w:bottom w:w="96" w:type="dxa"/>
        <w:right w:w="170" w:type="dxa"/>
      </w:tblCellMar>
    </w:tblPr>
    <w:tblStylePr w:type="firstRow">
      <w:rPr>
        <w:color w:val="404040"/>
        <w:sz w:val="22"/>
      </w:rPr>
      <w:tblPr/>
      <w:tcPr>
        <w:tcBorders>
          <w:bottom w:val="single" w:color="7F7F7F" w:sz="12" w:space="0"/>
        </w:tcBorders>
      </w:tcPr>
    </w:tblStylePr>
    <w:tblStylePr w:type="lastRow">
      <w:rPr>
        <w:color w:val="404040"/>
        <w:sz w:val="22"/>
      </w:rPr>
      <w:tblPr/>
      <w:tcPr>
        <w:tcBorders>
          <w:top w:val="single" w:color="7F7F7F" w:sz="12" w:space="0"/>
        </w:tcBorders>
      </w:tcPr>
    </w:tblStylePr>
    <w:tblStylePr w:type="firstCol">
      <w:rPr>
        <w:color w:val="404040"/>
        <w:sz w:val="22"/>
      </w:rPr>
      <w:tblPr/>
      <w:tcPr>
        <w:tcBorders>
          <w:right w:val="single" w:color="7F7F7F" w:sz="12" w:space="0"/>
        </w:tcBorders>
      </w:tcPr>
    </w:tblStylePr>
    <w:tblStylePr w:type="lastCol">
      <w:rPr>
        <w:color w:val="404040"/>
        <w:sz w:val="22"/>
      </w:rPr>
      <w:tblPr/>
      <w:tcPr>
        <w:tcBorders>
          <w:left w:val="single" w:color="7F7F7F" w:sz="12" w:space="0"/>
        </w:tcBorders>
      </w:tcPr>
    </w:tblStylePr>
    <w:tblStylePr w:type="band1Horz">
      <w:rPr>
        <w:color w:val="404040"/>
        <w:sz w:val="22"/>
      </w:rPr>
      <w:tblPr/>
      <w:tcPr>
        <w:tcBorders>
          <w:top w:val="single" w:color="D9D9D9" w:sz="4" w:space="0"/>
          <w:left w:val="single" w:color="D9D9D9" w:sz="4" w:space="0"/>
          <w:bottom w:val="single" w:color="D9D9D9" w:sz="4" w:space="0"/>
          <w:right w:val="single" w:color="D9D9D9"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CellMar>
        <w:top w:w="96" w:type="dxa"/>
        <w:left w:w="170" w:type="dxa"/>
        <w:bottom w:w="96" w:type="dxa"/>
        <w:right w:w="170" w:type="dxa"/>
      </w:tblCellMar>
    </w:tblPr>
    <w:tblStylePr w:type="firstRow">
      <w:rPr>
        <w:color w:val="404040"/>
        <w:sz w:val="22"/>
      </w:rPr>
      <w:tblPr/>
      <w:tcPr>
        <w:tcBorders>
          <w:bottom w:val="single" w:color="4F81BD" w:sz="12" w:space="0"/>
        </w:tcBorders>
      </w:tcPr>
    </w:tblStylePr>
    <w:tblStylePr w:type="lastRow">
      <w:rPr>
        <w:color w:val="404040"/>
        <w:sz w:val="22"/>
      </w:rPr>
      <w:tblPr/>
      <w:tcPr>
        <w:tcBorders>
          <w:top w:val="single" w:color="4F81BD" w:sz="12" w:space="0"/>
        </w:tcBorders>
      </w:tcPr>
    </w:tblStylePr>
    <w:tblStylePr w:type="firstCol">
      <w:rPr>
        <w:color w:val="404040"/>
        <w:sz w:val="22"/>
      </w:rPr>
      <w:tblPr/>
      <w:tcPr>
        <w:tcBorders>
          <w:right w:val="single" w:color="4F81BD" w:sz="12" w:space="0"/>
        </w:tcBorders>
      </w:tcPr>
    </w:tblStylePr>
    <w:tblStylePr w:type="lastCol">
      <w:rPr>
        <w:color w:val="404040"/>
        <w:sz w:val="22"/>
      </w:rPr>
      <w:tblPr/>
      <w:tcPr>
        <w:tcBorders>
          <w:left w:val="single" w:color="4F81BD" w:sz="12" w:space="0"/>
        </w:tcBorders>
      </w:tcPr>
    </w:tblStylePr>
    <w:tblStylePr w:type="band1Horz">
      <w:rPr>
        <w:color w:val="404040"/>
        <w:sz w:val="22"/>
      </w:rPr>
      <w:tblPr/>
      <w:tcPr>
        <w:tcBorders>
          <w:top w:val="single" w:color="B8CCE4" w:sz="4" w:space="0"/>
          <w:left w:val="single" w:color="B8CCE4" w:sz="4" w:space="0"/>
          <w:bottom w:val="single" w:color="B8CCE4" w:sz="4" w:space="0"/>
          <w:right w:val="single" w:color="B8CCE4"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CellMar>
        <w:top w:w="96" w:type="dxa"/>
        <w:left w:w="170" w:type="dxa"/>
        <w:bottom w:w="96" w:type="dxa"/>
        <w:right w:w="170" w:type="dxa"/>
      </w:tblCellMar>
    </w:tblPr>
    <w:tblStylePr w:type="firstRow">
      <w:rPr>
        <w:color w:val="404040"/>
        <w:sz w:val="22"/>
      </w:rPr>
      <w:tblPr/>
      <w:tcPr>
        <w:tcBorders>
          <w:bottom w:val="single" w:color="D99594" w:sz="12" w:space="0"/>
        </w:tcBorders>
      </w:tcPr>
    </w:tblStylePr>
    <w:tblStylePr w:type="lastRow">
      <w:rPr>
        <w:color w:val="404040"/>
        <w:sz w:val="22"/>
      </w:rPr>
      <w:tblPr/>
      <w:tcPr>
        <w:tcBorders>
          <w:top w:val="single" w:color="D99594" w:sz="12" w:space="0"/>
        </w:tcBorders>
      </w:tcPr>
    </w:tblStylePr>
    <w:tblStylePr w:type="firstCol">
      <w:rPr>
        <w:color w:val="404040"/>
        <w:sz w:val="22"/>
      </w:rPr>
      <w:tblPr/>
      <w:tcPr>
        <w:tcBorders>
          <w:right w:val="single" w:color="D99594" w:sz="12" w:space="0"/>
        </w:tcBorders>
      </w:tcPr>
    </w:tblStylePr>
    <w:tblStylePr w:type="lastCol">
      <w:rPr>
        <w:color w:val="404040"/>
        <w:sz w:val="22"/>
      </w:rPr>
      <w:tblPr/>
      <w:tcPr>
        <w:tcBorders>
          <w:left w:val="single" w:color="D99594" w:sz="12" w:space="0"/>
        </w:tcBorders>
      </w:tcPr>
    </w:tblStylePr>
    <w:tblStylePr w:type="band1Horz">
      <w:rPr>
        <w:color w:val="404040"/>
        <w:sz w:val="22"/>
      </w:rPr>
      <w:tblPr/>
      <w:tcPr>
        <w:tcBorders>
          <w:top w:val="single" w:color="E5B8B7" w:sz="4" w:space="0"/>
          <w:left w:val="single" w:color="E5B8B7" w:sz="4" w:space="0"/>
          <w:bottom w:val="single" w:color="E5B8B7" w:sz="4" w:space="0"/>
          <w:right w:val="single" w:color="E5B8B7"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CellMar>
        <w:top w:w="96" w:type="dxa"/>
        <w:left w:w="170" w:type="dxa"/>
        <w:bottom w:w="96" w:type="dxa"/>
        <w:right w:w="170" w:type="dxa"/>
      </w:tblCellMar>
    </w:tblPr>
    <w:tblStylePr w:type="firstRow">
      <w:rPr>
        <w:color w:val="404040"/>
        <w:sz w:val="22"/>
      </w:rPr>
      <w:tblPr/>
      <w:tcPr>
        <w:tcBorders>
          <w:bottom w:val="single" w:color="C2D69B" w:sz="12" w:space="0"/>
        </w:tcBorders>
      </w:tcPr>
    </w:tblStylePr>
    <w:tblStylePr w:type="lastRow">
      <w:rPr>
        <w:color w:val="404040"/>
        <w:sz w:val="22"/>
      </w:rPr>
      <w:tblPr/>
      <w:tcPr>
        <w:tcBorders>
          <w:top w:val="single" w:color="C2D69B" w:sz="12" w:space="0"/>
        </w:tcBorders>
      </w:tcPr>
    </w:tblStylePr>
    <w:tblStylePr w:type="firstCol">
      <w:rPr>
        <w:color w:val="404040"/>
        <w:sz w:val="22"/>
      </w:rPr>
      <w:tblPr/>
      <w:tcPr>
        <w:tcBorders>
          <w:right w:val="single" w:color="C2D69B" w:sz="12" w:space="0"/>
        </w:tcBorders>
      </w:tcPr>
    </w:tblStylePr>
    <w:tblStylePr w:type="lastCol">
      <w:rPr>
        <w:color w:val="404040"/>
        <w:sz w:val="22"/>
      </w:rPr>
      <w:tblPr/>
      <w:tcPr>
        <w:tcBorders>
          <w:left w:val="single" w:color="C2D69B" w:sz="12" w:space="0"/>
        </w:tcBorders>
      </w:tcPr>
    </w:tblStylePr>
    <w:tblStylePr w:type="band1Horz">
      <w:rPr>
        <w:color w:val="404040"/>
        <w:sz w:val="22"/>
      </w:rPr>
      <w:tblPr/>
      <w:tcPr>
        <w:tcBorders>
          <w:top w:val="single" w:color="D6E3BC" w:sz="4" w:space="0"/>
          <w:left w:val="single" w:color="D6E3BC" w:sz="4" w:space="0"/>
          <w:bottom w:val="single" w:color="D6E3BC" w:sz="4" w:space="0"/>
          <w:right w:val="single" w:color="D6E3BC"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CellMar>
        <w:top w:w="96" w:type="dxa"/>
        <w:left w:w="170" w:type="dxa"/>
        <w:bottom w:w="96" w:type="dxa"/>
        <w:right w:w="170" w:type="dxa"/>
      </w:tblCellMar>
    </w:tblPr>
    <w:tblStylePr w:type="firstRow">
      <w:rPr>
        <w:color w:val="404040"/>
        <w:sz w:val="22"/>
      </w:rPr>
      <w:tblPr/>
      <w:tcPr>
        <w:tcBorders>
          <w:bottom w:val="single" w:color="B2A1C7" w:sz="12" w:space="0"/>
        </w:tcBorders>
      </w:tcPr>
    </w:tblStylePr>
    <w:tblStylePr w:type="lastRow">
      <w:rPr>
        <w:color w:val="404040"/>
        <w:sz w:val="22"/>
      </w:rPr>
      <w:tblPr/>
      <w:tcPr>
        <w:tcBorders>
          <w:top w:val="single" w:color="B2A1C7" w:sz="12" w:space="0"/>
        </w:tcBorders>
      </w:tcPr>
    </w:tblStylePr>
    <w:tblStylePr w:type="firstCol">
      <w:rPr>
        <w:color w:val="404040"/>
        <w:sz w:val="22"/>
      </w:rPr>
      <w:tblPr/>
      <w:tcPr>
        <w:tcBorders>
          <w:right w:val="single" w:color="B2A1C7" w:sz="12" w:space="0"/>
        </w:tcBorders>
      </w:tcPr>
    </w:tblStylePr>
    <w:tblStylePr w:type="lastCol">
      <w:rPr>
        <w:color w:val="404040"/>
        <w:sz w:val="22"/>
      </w:rPr>
      <w:tblPr/>
      <w:tcPr>
        <w:tcBorders>
          <w:left w:val="single" w:color="B2A1C7" w:sz="12" w:space="0"/>
        </w:tcBorders>
      </w:tcPr>
    </w:tblStylePr>
    <w:tblStylePr w:type="band1Horz">
      <w:rPr>
        <w:color w:val="404040"/>
        <w:sz w:val="22"/>
      </w:rPr>
      <w:tblPr/>
      <w:tcPr>
        <w:tcBorders>
          <w:top w:val="single" w:color="CCC0D9" w:sz="4" w:space="0"/>
          <w:left w:val="single" w:color="CCC0D9" w:sz="4" w:space="0"/>
          <w:bottom w:val="single" w:color="CCC0D9" w:sz="4" w:space="0"/>
          <w:right w:val="single" w:color="CCC0D9"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96" w:type="dxa"/>
        <w:left w:w="170" w:type="dxa"/>
        <w:bottom w:w="96" w:type="dxa"/>
        <w:right w:w="170" w:type="dxa"/>
      </w:tblCellMar>
    </w:tblPr>
    <w:tblStylePr w:type="firstRow">
      <w:rPr>
        <w:color w:val="404040"/>
        <w:sz w:val="22"/>
      </w:rPr>
      <w:tblPr/>
      <w:tcPr>
        <w:tcBorders>
          <w:bottom w:val="single" w:color="92CDDC" w:sz="12" w:space="0"/>
        </w:tcBorders>
      </w:tcPr>
    </w:tblStylePr>
    <w:tblStylePr w:type="lastRow">
      <w:rPr>
        <w:color w:val="404040"/>
        <w:sz w:val="22"/>
      </w:rPr>
      <w:tblPr/>
      <w:tcPr>
        <w:tcBorders>
          <w:top w:val="single" w:color="92CDDC" w:sz="12" w:space="0"/>
        </w:tcBorders>
      </w:tcPr>
    </w:tblStylePr>
    <w:tblStylePr w:type="firstCol">
      <w:rPr>
        <w:color w:val="404040"/>
        <w:sz w:val="22"/>
      </w:rPr>
      <w:tblPr/>
      <w:tcPr>
        <w:tcBorders>
          <w:right w:val="single" w:color="92CDDC" w:sz="12" w:space="0"/>
        </w:tcBorders>
      </w:tcPr>
    </w:tblStylePr>
    <w:tblStylePr w:type="lastCol">
      <w:rPr>
        <w:color w:val="404040"/>
        <w:sz w:val="22"/>
      </w:rPr>
      <w:tblPr/>
      <w:tcPr>
        <w:tcBorders>
          <w:left w:val="single" w:color="92CDDC" w:sz="12" w:space="0"/>
        </w:tcBorders>
      </w:tcPr>
    </w:tblStylePr>
    <w:tblStylePr w:type="band1Horz">
      <w:rPr>
        <w:color w:val="404040"/>
        <w:sz w:val="22"/>
      </w:rPr>
      <w:tblPr/>
      <w:tcPr>
        <w:tcBorders>
          <w:top w:val="single" w:color="B6DDE8" w:sz="4" w:space="0"/>
          <w:left w:val="single" w:color="B6DDE8" w:sz="4" w:space="0"/>
          <w:bottom w:val="single" w:color="B6DDE8" w:sz="4" w:space="0"/>
          <w:right w:val="single" w:color="B6DDE8"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96" w:type="dxa"/>
        <w:left w:w="170" w:type="dxa"/>
        <w:bottom w:w="96" w:type="dxa"/>
        <w:right w:w="170" w:type="dxa"/>
      </w:tblCellMar>
    </w:tblPr>
    <w:tblStylePr w:type="firstRow">
      <w:rPr>
        <w:color w:val="404040"/>
        <w:sz w:val="22"/>
      </w:rPr>
      <w:tblPr/>
      <w:tcPr>
        <w:tcBorders>
          <w:bottom w:val="single" w:color="FABF8F" w:sz="12" w:space="0"/>
        </w:tcBorders>
      </w:tcPr>
    </w:tblStylePr>
    <w:tblStylePr w:type="lastRow">
      <w:rPr>
        <w:color w:val="404040"/>
        <w:sz w:val="22"/>
      </w:rPr>
      <w:tblPr/>
      <w:tcPr>
        <w:tcBorders>
          <w:top w:val="single" w:color="FABF8F" w:sz="12" w:space="0"/>
        </w:tcBorders>
      </w:tcPr>
    </w:tblStylePr>
    <w:tblStylePr w:type="firstCol">
      <w:rPr>
        <w:color w:val="404040"/>
        <w:sz w:val="22"/>
      </w:rPr>
      <w:tblPr/>
      <w:tcPr>
        <w:tcBorders>
          <w:right w:val="single" w:color="FABF8F" w:sz="12" w:space="0"/>
        </w:tcBorders>
      </w:tcPr>
    </w:tblStylePr>
    <w:tblStylePr w:type="lastCol">
      <w:rPr>
        <w:color w:val="404040"/>
        <w:sz w:val="22"/>
      </w:rPr>
      <w:tblPr/>
      <w:tcPr>
        <w:tcBorders>
          <w:left w:val="single" w:color="FABF8F" w:sz="12" w:space="0"/>
        </w:tcBorders>
      </w:tcPr>
    </w:tblStylePr>
    <w:tblStylePr w:type="band1Horz">
      <w:rPr>
        <w:color w:val="404040"/>
        <w:sz w:val="22"/>
      </w:rPr>
      <w:tblPr/>
      <w:tcPr>
        <w:tcBorders>
          <w:top w:val="single" w:color="FBD4B4" w:sz="4" w:space="0"/>
          <w:left w:val="single" w:color="FBD4B4" w:sz="4" w:space="0"/>
          <w:bottom w:val="single" w:color="FBD4B4" w:sz="4" w:space="0"/>
          <w:right w:val="single" w:color="FBD4B4" w:sz="4" w:space="0"/>
        </w:tcBorders>
      </w:tcPr>
    </w:tblStylePr>
  </w:style>
  <w:style w:type="table" w:customStyle="1" w:styleId="BorderedLined">
    <w:name w:val="Bordered &amp; Lined"/>
    <w:basedOn w:val="TableNormal"/>
    <w:uiPriority w:val="99"/>
    <w:pPr>
      <w:spacing w:after="0" w:line="240" w:lineRule="auto"/>
    </w:pPr>
    <w:rPr>
      <w:lang w:val="de-DE" w:eastAsia="de-DE"/>
      <w:color w:val="404040"/>
      <w:sz w:val="20"/>
      <w:szCs w:val="20"/>
    </w:rPr>
    <w:tblPr>
      <w:tblStyleRowBandSize w:val="1"/>
      <w:tblStyleColBandSize w:val="1"/>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Pr/>
    </w:tblStylePr>
    <w:tblStylePr w:type="band2Vert">
      <w:rPr>
        <w:color w:val="404040"/>
        <w:sz w:val="22"/>
      </w:rPr>
      <w:tblPr/>
      <w:tcPr>
        <w:shd w:val="clear" w:color="auto" w:fill="D9D9D9"/>
      </w:tcPr>
    </w:tblStylePr>
    <w:tblStylePr w:type="band1Horz">
      <w:rPr>
        <w:color w:val="404040"/>
        <w:sz w:val="22"/>
      </w:rPr>
      <w:tblPr/>
    </w:tblStylePr>
    <w:tblStylePr w:type="band2Horz">
      <w:rPr>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lang w:val="de-DE" w:eastAsia="de-DE"/>
      <w:color w:val="404040"/>
      <w:sz w:val="20"/>
      <w:szCs w:val="20"/>
    </w:rPr>
    <w:tblPr>
      <w:tblStyleRowBandSize w:val="1"/>
      <w:tblStyleColBandSize w:val="1"/>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Pr/>
    </w:tblStylePr>
    <w:tblStylePr w:type="band2Vert">
      <w:rPr>
        <w:color w:val="404040"/>
        <w:sz w:val="22"/>
      </w:rPr>
      <w:tblPr/>
      <w:tcPr>
        <w:shd w:val="clear" w:color="auto" w:fill="C6D9F1"/>
      </w:tcPr>
    </w:tblStylePr>
    <w:tblStylePr w:type="band1Horz">
      <w:rPr>
        <w:color w:val="404040"/>
        <w:sz w:val="22"/>
      </w:rPr>
      <w:tblPr/>
    </w:tblStylePr>
    <w:tblStylePr w:type="band2Horz">
      <w:rPr>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lang w:val="de-DE" w:eastAsia="de-DE"/>
      <w:color w:val="404040"/>
      <w:sz w:val="20"/>
      <w:szCs w:val="20"/>
    </w:rPr>
    <w:tblPr>
      <w:tblStyleRowBandSize w:val="1"/>
      <w:tblStyleColBandSize w:val="1"/>
      <w:tblBorders>
        <w:top w:val="single" w:color="C0504D" w:sz="4" w:space="0"/>
        <w:left w:val="single" w:color="C0504D" w:sz="4" w:space="0"/>
        <w:bottom w:val="single" w:color="C0504D" w:sz="4" w:space="0"/>
        <w:right w:val="single" w:color="C0504D" w:sz="4" w:space="0"/>
        <w:insideH w:val="single" w:color="C0504D" w:sz="4" w:space="0"/>
        <w:insideV w:val="single" w:color="C0504D" w:sz="4" w:space="0"/>
      </w:tblBorders>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Pr/>
    </w:tblStylePr>
    <w:tblStylePr w:type="band2Vert">
      <w:rPr>
        <w:color w:val="404040"/>
        <w:sz w:val="22"/>
      </w:rPr>
      <w:tblPr/>
      <w:tcPr>
        <w:shd w:val="clear" w:color="auto" w:fill="F2DBDB"/>
      </w:tcPr>
    </w:tblStylePr>
    <w:tblStylePr w:type="band1Horz">
      <w:rPr>
        <w:color w:val="404040"/>
        <w:sz w:val="22"/>
      </w:rPr>
      <w:tblPr/>
    </w:tblStylePr>
    <w:tblStylePr w:type="band2Horz">
      <w:rPr>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lang w:val="de-DE" w:eastAsia="de-DE"/>
      <w:color w:val="404040"/>
      <w:sz w:val="20"/>
      <w:szCs w:val="20"/>
    </w:rPr>
    <w:tblPr>
      <w:tblStyleRowBandSize w:val="1"/>
      <w:tblStyleColBandSize w:val="1"/>
      <w:tblBorders>
        <w:top w:val="single" w:color="76923C" w:sz="4" w:space="0"/>
        <w:left w:val="single" w:color="76923C" w:sz="4" w:space="0"/>
        <w:bottom w:val="single" w:color="76923C" w:sz="4" w:space="0"/>
        <w:right w:val="single" w:color="76923C" w:sz="4" w:space="0"/>
        <w:insideH w:val="single" w:color="76923C" w:sz="4" w:space="0"/>
        <w:insideV w:val="single" w:color="76923C" w:sz="4" w:space="0"/>
      </w:tblBorders>
      <w:tblCellMar>
        <w:top w:w="96" w:type="dxa"/>
        <w:left w:w="170" w:type="dxa"/>
        <w:bottom w:w="96" w:type="dxa"/>
        <w:right w:w="170" w:type="dxa"/>
      </w:tblCellMar>
    </w:tblPr>
    <w:tblStylePr w:type="firstRow">
      <w:rPr>
        <w:color w:val="F2F2F2"/>
        <w:sz w:val="22"/>
      </w:rPr>
      <w:tblPr/>
      <w:tcPr>
        <w:shd w:val="clear" w:color="auto" w:fill="9BBB59"/>
      </w:tcPr>
    </w:tblStylePr>
    <w:tblStylePr w:type="lastRow">
      <w:rPr>
        <w:color w:val="F2F2F2"/>
        <w:sz w:val="22"/>
      </w:rPr>
      <w:tblPr/>
      <w:tcPr>
        <w:shd w:val="clear" w:color="auto" w:fill="9BBB59"/>
      </w:tcPr>
    </w:tblStylePr>
    <w:tblStylePr w:type="firstCol">
      <w:rPr>
        <w:color w:val="F2F2F2"/>
        <w:sz w:val="22"/>
      </w:rPr>
      <w:tblPr/>
      <w:tcPr>
        <w:shd w:val="clear" w:color="auto" w:fill="9BBB59"/>
      </w:tcPr>
    </w:tblStylePr>
    <w:tblStylePr w:type="lastCol">
      <w:rPr>
        <w:color w:val="F2F2F2"/>
        <w:sz w:val="22"/>
      </w:rPr>
      <w:tblPr/>
      <w:tcPr>
        <w:shd w:val="clear" w:color="auto" w:fill="9BBB59"/>
      </w:tcPr>
    </w:tblStylePr>
    <w:tblStylePr w:type="band1Vert">
      <w:rPr>
        <w:color w:val="404040"/>
        <w:sz w:val="22"/>
      </w:rPr>
      <w:tblPr/>
    </w:tblStylePr>
    <w:tblStylePr w:type="band2Vert">
      <w:rPr>
        <w:color w:val="404040"/>
        <w:sz w:val="22"/>
      </w:rPr>
      <w:tblPr/>
      <w:tcPr>
        <w:shd w:val="clear" w:color="auto" w:fill="EAF1DD"/>
      </w:tcPr>
    </w:tblStylePr>
    <w:tblStylePr w:type="band1Horz">
      <w:rPr>
        <w:color w:val="404040"/>
        <w:sz w:val="22"/>
      </w:rPr>
      <w:tblPr/>
    </w:tblStylePr>
    <w:tblStylePr w:type="band2Horz">
      <w:rPr>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lang w:val="de-DE" w:eastAsia="de-DE"/>
      <w:color w:val="404040"/>
      <w:sz w:val="20"/>
      <w:szCs w:val="20"/>
    </w:rPr>
    <w:tblPr>
      <w:tblStyleRowBandSize w:val="1"/>
      <w:tblStyleColBandSize w:val="1"/>
      <w:tblBorders>
        <w:top w:val="single" w:color="8064A2" w:sz="4" w:space="0"/>
        <w:left w:val="single" w:color="8064A2" w:sz="4" w:space="0"/>
        <w:bottom w:val="single" w:color="8064A2" w:sz="4" w:space="0"/>
        <w:right w:val="single" w:color="8064A2" w:sz="4" w:space="0"/>
        <w:insideH w:val="single" w:color="8064A2" w:sz="4" w:space="0"/>
        <w:insideV w:val="single" w:color="8064A2" w:sz="4" w:space="0"/>
      </w:tblBorders>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Pr/>
    </w:tblStylePr>
    <w:tblStylePr w:type="band2Vert">
      <w:rPr>
        <w:color w:val="404040"/>
        <w:sz w:val="22"/>
      </w:rPr>
      <w:tblPr/>
      <w:tcPr>
        <w:shd w:val="clear" w:color="auto" w:fill="E5DFEC"/>
      </w:tcPr>
    </w:tblStylePr>
    <w:tblStylePr w:type="band1Horz">
      <w:rPr>
        <w:color w:val="404040"/>
        <w:sz w:val="22"/>
      </w:rPr>
      <w:tblPr/>
    </w:tblStylePr>
    <w:tblStylePr w:type="band2Horz">
      <w:rPr>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lang w:val="de-DE" w:eastAsia="de-DE"/>
      <w:color w:val="404040"/>
      <w:sz w:val="20"/>
      <w:szCs w:val="20"/>
    </w:rPr>
    <w:tblPr>
      <w:tblStyleRowBandSize w:val="1"/>
      <w:tblStyleColBandSize w:val="1"/>
      <w:tblBorders>
        <w:top w:val="single" w:color="31849B" w:sz="4" w:space="0"/>
        <w:left w:val="single" w:color="31849B" w:sz="4" w:space="0"/>
        <w:bottom w:val="single" w:color="31849B" w:sz="4" w:space="0"/>
        <w:right w:val="single" w:color="31849B" w:sz="4" w:space="0"/>
        <w:insideH w:val="single" w:color="31849B" w:sz="4" w:space="0"/>
        <w:insideV w:val="single" w:color="31849B" w:sz="4" w:space="0"/>
      </w:tblBorders>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Pr/>
    </w:tblStylePr>
    <w:tblStylePr w:type="band2Vert">
      <w:rPr>
        <w:color w:val="404040"/>
        <w:sz w:val="22"/>
      </w:rPr>
      <w:tblPr/>
      <w:tcPr>
        <w:shd w:val="clear" w:color="auto" w:fill="DAEEF3"/>
      </w:tcPr>
    </w:tblStylePr>
    <w:tblStylePr w:type="band1Horz">
      <w:rPr>
        <w:color w:val="404040"/>
        <w:sz w:val="22"/>
      </w:rPr>
      <w:tblPr/>
    </w:tblStylePr>
    <w:tblStylePr w:type="band2Horz">
      <w:rPr>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lang w:val="de-DE" w:eastAsia="de-DE"/>
      <w:color w:val="404040"/>
      <w:sz w:val="20"/>
      <w:szCs w:val="20"/>
    </w:rPr>
    <w:tblPr>
      <w:tblStyleRowBandSize w:val="1"/>
      <w:tblStyleColBandSize w:val="1"/>
      <w:tblBorders>
        <w:top w:val="single" w:color="E36C0A" w:sz="4" w:space="0"/>
        <w:left w:val="single" w:color="E36C0A" w:sz="4" w:space="0"/>
        <w:bottom w:val="single" w:color="E36C0A" w:sz="4" w:space="0"/>
        <w:right w:val="single" w:color="E36C0A" w:sz="4" w:space="0"/>
        <w:insideH w:val="single" w:color="E36C0A" w:sz="4" w:space="0"/>
        <w:insideV w:val="single" w:color="E36C0A" w:sz="4" w:space="0"/>
      </w:tblBorders>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Pr/>
    </w:tblStylePr>
    <w:tblStylePr w:type="band2Vert">
      <w:rPr>
        <w:color w:val="404040"/>
        <w:sz w:val="22"/>
      </w:rPr>
      <w:tblPr/>
      <w:tcPr>
        <w:shd w:val="clear" w:color="auto" w:fill="FDE9D9"/>
      </w:tcPr>
    </w:tblStylePr>
    <w:tblStylePr w:type="band1Horz">
      <w:rPr>
        <w:color w:val="404040"/>
        <w:sz w:val="22"/>
      </w:rPr>
      <w:tblPr/>
    </w:tblStylePr>
    <w:tblStylePr w:type="band2Horz">
      <w:rPr>
        <w:color w:val="404040"/>
        <w:sz w:val="22"/>
      </w:rPr>
      <w:tblPr/>
      <w:tcPr>
        <w:shd w:val="clear" w:color="auto" w:fill="FDE9D9"/>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nri.reston.va.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LibreOffice/5.1.6.2$Linux_X86_64 LibreOffice_project/10m0$Build-2</Application>
  <Pages>13</Pages>
  <Words>3180</Words>
  <Characters>17878</Characters>
  <CharactersWithSpaces>22760</CharactersWithSpaces>
  <Paragraphs>241</Paragraphs>
  <Company>INTSERV24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2018-11-15T13:05:00Z</dcterms:created>
  <dc:creator/>
  <dc:description/>
  <dc:language>de-DE</dc:language>
  <cp:lastModifiedBy/>
  <dcterms:modified xsi:type="dcterms:W3CDTF">2019-08-31T23:02:59Z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INTSERV24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