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Documentation of the Paper: Generative Artificial Intelligence for De Novo Protein Design</w:t>
      </w:r>
    </w:p>
    <w:p>
      <w:pPr>
        <w:pStyle w:val="BodyText"/>
      </w:pPr>
      <w:r>
        <w:rPr>
          <w:b/>
          <w:bCs/>
        </w:rPr>
        <w:t xml:space="preserve">1. Introduction</w:t>
      </w:r>
      <w:r>
        <w:t xml:space="preserve"> </w:t>
      </w:r>
      <w:r>
        <w:t xml:space="preserve">This paper presents a comprehensive review of how generative artificial intelligence (AI), particularly large language models (LLMs) and diffusion models, are revolutionizing</w:t>
      </w:r>
      <w:r>
        <w:t xml:space="preserve"> </w:t>
      </w:r>
      <w:r>
        <w:rPr>
          <w:i/>
          <w:iCs/>
        </w:rPr>
        <w:t xml:space="preserve">de novo</w:t>
      </w:r>
      <w:r>
        <w:t xml:space="preserve"> </w:t>
      </w:r>
      <w:r>
        <w:t xml:space="preserve">protein design. The study outlines the current methodologies, key breakthroughs, and ongoing challenges in the field.</w:t>
      </w:r>
    </w:p>
    <w:p>
      <w:r>
        <w:pict>
          <v:rect style="width:0;height:1.5pt" o:hralign="center" o:hrstd="t" o:hr="t"/>
        </w:pict>
      </w:r>
    </w:p>
    <w:p>
      <w:pPr>
        <w:pStyle w:val="FirstParagraph"/>
      </w:pPr>
      <w:r>
        <w:rPr>
          <w:b/>
          <w:bCs/>
        </w:rPr>
        <w:t xml:space="preserve">2. Key Definitions</w:t>
      </w:r>
    </w:p>
    <w:p>
      <w:pPr>
        <w:numPr>
          <w:ilvl w:val="0"/>
          <w:numId w:val="1001"/>
        </w:numPr>
      </w:pPr>
      <w:r>
        <w:rPr>
          <w:b/>
          <w:bCs/>
        </w:rPr>
        <w:t xml:space="preserve">De Novo Protein Design</w:t>
      </w:r>
      <w:r>
        <w:t xml:space="preserve">: The process of creating entirely new protein sequences that fold into stable structures and perform desired functions, without relying on existing protein templates.</w:t>
      </w:r>
    </w:p>
    <w:p>
      <w:pPr>
        <w:numPr>
          <w:ilvl w:val="0"/>
          <w:numId w:val="1001"/>
        </w:numPr>
      </w:pPr>
      <w:r>
        <w:rPr>
          <w:b/>
          <w:bCs/>
        </w:rPr>
        <w:t xml:space="preserve">Protein Space</w:t>
      </w:r>
      <w:r>
        <w:t xml:space="preserve">: A conceptual landscape where each point represents a unique protein sequence, with an added dimension representing the protein’s fitness (i.e., functional effectiveness).</w:t>
      </w:r>
    </w:p>
    <w:p>
      <w:pPr>
        <w:numPr>
          <w:ilvl w:val="0"/>
          <w:numId w:val="1001"/>
        </w:numPr>
      </w:pPr>
      <w:r>
        <w:rPr>
          <w:b/>
          <w:bCs/>
        </w:rPr>
        <w:t xml:space="preserve">Fitness Landscape</w:t>
      </w:r>
      <w:r>
        <w:t xml:space="preserve">: A rugged, high-dimensional graph indicating protein fitness values across the sequence space, often containing many local maxima/minima.</w:t>
      </w:r>
    </w:p>
    <w:p>
      <w:pPr>
        <w:numPr>
          <w:ilvl w:val="0"/>
          <w:numId w:val="1001"/>
        </w:numPr>
      </w:pPr>
      <w:r>
        <w:rPr>
          <w:b/>
          <w:bCs/>
        </w:rPr>
        <w:t xml:space="preserve">Physics-Based Methods</w:t>
      </w:r>
      <w:r>
        <w:t xml:space="preserve">: Traditional</w:t>
      </w:r>
      <w:r>
        <w:t xml:space="preserve"> </w:t>
      </w:r>
      <w:r>
        <w:rPr>
          <w:i/>
          <w:iCs/>
        </w:rPr>
        <w:t xml:space="preserve">in silico</w:t>
      </w:r>
      <w:r>
        <w:t xml:space="preserve"> </w:t>
      </w:r>
      <w:r>
        <w:t xml:space="preserve">approaches relying on biophysical models and energy functions to design protein sequences (e.g., Rosetta).</w:t>
      </w:r>
    </w:p>
    <w:p>
      <w:pPr>
        <w:numPr>
          <w:ilvl w:val="0"/>
          <w:numId w:val="1001"/>
        </w:numPr>
      </w:pPr>
      <w:r>
        <w:rPr>
          <w:b/>
          <w:bCs/>
        </w:rPr>
        <w:t xml:space="preserve">Generative Models</w:t>
      </w:r>
      <w:r>
        <w:t xml:space="preserve">: AI models trained to generate novel data samples. In this context, they learn to generate new protein sequences or structures that possess desired biochemical properties.</w:t>
      </w:r>
    </w:p>
    <w:p>
      <w:pPr>
        <w:numPr>
          <w:ilvl w:val="0"/>
          <w:numId w:val="1001"/>
        </w:numPr>
      </w:pPr>
      <w:r>
        <w:rPr>
          <w:b/>
          <w:bCs/>
        </w:rPr>
        <w:t xml:space="preserve">Large Language Models (LLMs)</w:t>
      </w:r>
      <w:r>
        <w:t xml:space="preserve">: Deep learning models trained on protein sequences to predict amino acids, capture sequence patterns, and generate plausible protein chains.</w:t>
      </w:r>
    </w:p>
    <w:p>
      <w:pPr>
        <w:numPr>
          <w:ilvl w:val="0"/>
          <w:numId w:val="1001"/>
        </w:numPr>
      </w:pPr>
      <w:r>
        <w:rPr>
          <w:b/>
          <w:bCs/>
        </w:rPr>
        <w:t xml:space="preserve">Diffusion Models</w:t>
      </w:r>
      <w:r>
        <w:t xml:space="preserve">: Generative models that gradually transform random noise into structured outputs (e.g., protein structures) by reversing a noising process.</w:t>
      </w:r>
    </w:p>
    <w:p>
      <w:pPr>
        <w:numPr>
          <w:ilvl w:val="0"/>
          <w:numId w:val="1001"/>
        </w:numPr>
      </w:pPr>
      <w:r>
        <w:rPr>
          <w:b/>
          <w:bCs/>
        </w:rPr>
        <w:t xml:space="preserve">Inverse Folding</w:t>
      </w:r>
      <w:r>
        <w:t xml:space="preserve">: The task of predicting a protein sequence that will fold into a given 3D structure (structure-to-sequence design).</w:t>
      </w:r>
    </w:p>
    <w:p>
      <w:pPr>
        <w:numPr>
          <w:ilvl w:val="0"/>
          <w:numId w:val="1001"/>
        </w:numPr>
      </w:pPr>
      <w:r>
        <w:rPr>
          <w:b/>
          <w:bCs/>
        </w:rPr>
        <w:t xml:space="preserve">Structure-to-Sequence Models</w:t>
      </w:r>
      <w:r>
        <w:t xml:space="preserve">: AI models that input protein structures and output likely folding sequences.</w:t>
      </w:r>
    </w:p>
    <w:p>
      <w:pPr>
        <w:numPr>
          <w:ilvl w:val="0"/>
          <w:numId w:val="1001"/>
        </w:numPr>
      </w:pPr>
      <w:r>
        <w:rPr>
          <w:b/>
          <w:bCs/>
        </w:rPr>
        <w:t xml:space="preserve">Sequence-to-Structure Models</w:t>
      </w:r>
      <w:r>
        <w:t xml:space="preserve">: Predict 3D protein structure from amino acid sequences (e.g., AlphaFold).</w:t>
      </w:r>
    </w:p>
    <w:p>
      <w:pPr>
        <w:numPr>
          <w:ilvl w:val="0"/>
          <w:numId w:val="1001"/>
        </w:numPr>
      </w:pPr>
      <w:r>
        <w:rPr>
          <w:b/>
          <w:bCs/>
        </w:rPr>
        <w:t xml:space="preserve">Properties-to-Sequence/Structure Models</w:t>
      </w:r>
      <w:r>
        <w:t xml:space="preserve">: Generate sequences or structures based on desired functional or biochemical properties.</w:t>
      </w:r>
    </w:p>
    <w:p>
      <w:pPr>
        <w:numPr>
          <w:ilvl w:val="0"/>
          <w:numId w:val="1001"/>
        </w:numPr>
      </w:pPr>
      <w:r>
        <w:rPr>
          <w:b/>
          <w:bCs/>
        </w:rPr>
        <w:t xml:space="preserve">Latent Representation</w:t>
      </w:r>
      <w:r>
        <w:t xml:space="preserve">: Encoded intermediate features learned by models, used for further prediction or generation tasks.</w:t>
      </w:r>
    </w:p>
    <w:p>
      <w:pPr>
        <w:numPr>
          <w:ilvl w:val="0"/>
          <w:numId w:val="1001"/>
        </w:numPr>
      </w:pPr>
      <w:r>
        <w:rPr>
          <w:b/>
          <w:bCs/>
        </w:rPr>
        <w:t xml:space="preserve">Conditioning Tags</w:t>
      </w:r>
      <w:r>
        <w:t xml:space="preserve">: Input tokens or metadata used to guide generative models toward generating proteins with specific characteristics (e.g., enzyme type).</w:t>
      </w:r>
    </w:p>
    <w:p>
      <w:pPr>
        <w:numPr>
          <w:ilvl w:val="0"/>
          <w:numId w:val="1001"/>
        </w:numPr>
      </w:pPr>
      <w:r>
        <w:rPr>
          <w:b/>
          <w:bCs/>
        </w:rPr>
        <w:t xml:space="preserve">Structure Representations</w:t>
      </w:r>
      <w:r>
        <w:t xml:space="preserve">:</w:t>
      </w:r>
    </w:p>
    <w:p>
      <w:pPr>
        <w:pStyle w:val="Compact"/>
        <w:numPr>
          <w:ilvl w:val="1"/>
          <w:numId w:val="1002"/>
        </w:numPr>
      </w:pPr>
      <w:r>
        <w:rPr>
          <w:b/>
          <w:bCs/>
        </w:rPr>
        <w:t xml:space="preserve">Frame Representation</w:t>
      </w:r>
      <w:r>
        <w:t xml:space="preserve">: Encodes protein backbones and their orientation in 3D space.</w:t>
      </w:r>
    </w:p>
    <w:p>
      <w:pPr>
        <w:pStyle w:val="Compact"/>
        <w:numPr>
          <w:ilvl w:val="1"/>
          <w:numId w:val="1002"/>
        </w:numPr>
      </w:pPr>
      <w:r>
        <w:rPr>
          <w:b/>
          <w:bCs/>
        </w:rPr>
        <w:t xml:space="preserve">Quaternion Vector</w:t>
      </w:r>
      <w:r>
        <w:t xml:space="preserve">: Represents orientation between protein atoms.</w:t>
      </w:r>
    </w:p>
    <w:p>
      <w:pPr>
        <w:pStyle w:val="Compact"/>
        <w:numPr>
          <w:ilvl w:val="1"/>
          <w:numId w:val="1002"/>
        </w:numPr>
      </w:pPr>
      <w:r>
        <w:rPr>
          <w:b/>
          <w:bCs/>
        </w:rPr>
        <w:t xml:space="preserve">Frenet-Serret Frames</w:t>
      </w:r>
      <w:r>
        <w:t xml:space="preserve">: Describes residue position and orientation relative to a reference frame.</w:t>
      </w:r>
    </w:p>
    <w:p>
      <w:pPr>
        <w:pStyle w:val="Compact"/>
        <w:numPr>
          <w:ilvl w:val="1"/>
          <w:numId w:val="1002"/>
        </w:numPr>
      </w:pPr>
      <w:r>
        <w:rPr>
          <w:b/>
          <w:bCs/>
        </w:rPr>
        <w:t xml:space="preserve">SE(3) Invariance</w:t>
      </w:r>
      <w:r>
        <w:t xml:space="preserve">: Ensures model predictions are consistent under 3D translations and rotations.</w:t>
      </w:r>
    </w:p>
    <w:p>
      <w:pPr>
        <w:numPr>
          <w:ilvl w:val="0"/>
          <w:numId w:val="1001"/>
        </w:numPr>
      </w:pPr>
      <w:r>
        <w:rPr>
          <w:b/>
          <w:bCs/>
        </w:rPr>
        <w:t xml:space="preserve">Classifier-Free Guidance</w:t>
      </w:r>
      <w:r>
        <w:t xml:space="preserve">: A method to steer generative models during generation without needing an external classifier.</w:t>
      </w:r>
    </w:p>
    <w:p>
      <w:pPr>
        <w:numPr>
          <w:ilvl w:val="0"/>
          <w:numId w:val="1001"/>
        </w:numPr>
      </w:pPr>
      <w:r>
        <w:rPr>
          <w:b/>
          <w:bCs/>
        </w:rPr>
        <w:t xml:space="preserve">Sequence Diffusion Models</w:t>
      </w:r>
      <w:r>
        <w:t xml:space="preserve">: Apply diffusion techniques directly on amino acid sequences, useful for disordered protein regions.</w:t>
      </w:r>
    </w:p>
    <w:p>
      <w:pPr>
        <w:numPr>
          <w:ilvl w:val="0"/>
          <w:numId w:val="1001"/>
        </w:numPr>
      </w:pPr>
      <w:r>
        <w:rPr>
          <w:b/>
          <w:bCs/>
        </w:rPr>
        <w:t xml:space="preserve">Hallucination</w:t>
      </w:r>
      <w:r>
        <w:t xml:space="preserve">: A method using predictive models (like AlphaFold) combined with optimization algorithms to generate sequences that fold into a target shape.</w:t>
      </w:r>
    </w:p>
    <w:p>
      <w:r>
        <w:pict>
          <v:rect style="width:0;height:1.5pt" o:hralign="center" o:hrstd="t" o:hr="t"/>
        </w:pict>
      </w:r>
    </w:p>
    <w:p>
      <w:pPr>
        <w:pStyle w:val="FirstParagraph"/>
      </w:pPr>
      <w:r>
        <w:rPr>
          <w:b/>
          <w:bCs/>
        </w:rPr>
        <w:t xml:space="preserve">3. Methodologies</w:t>
      </w:r>
    </w:p>
    <w:p>
      <w:pPr>
        <w:pStyle w:val="Compact"/>
        <w:numPr>
          <w:ilvl w:val="0"/>
          <w:numId w:val="1003"/>
        </w:numPr>
      </w:pPr>
      <w:r>
        <w:rPr>
          <w:b/>
          <w:bCs/>
        </w:rPr>
        <w:t xml:space="preserve">Sequence-Based Approaches</w:t>
      </w:r>
      <w:r>
        <w:t xml:space="preserve">:</w:t>
      </w:r>
    </w:p>
    <w:p>
      <w:pPr>
        <w:pStyle w:val="Compact"/>
        <w:numPr>
          <w:ilvl w:val="1"/>
          <w:numId w:val="1004"/>
        </w:numPr>
      </w:pPr>
      <w:r>
        <w:t xml:space="preserve">LLMs predict amino acids and generate full sequences.</w:t>
      </w:r>
    </w:p>
    <w:p>
      <w:pPr>
        <w:pStyle w:val="Compact"/>
        <w:numPr>
          <w:ilvl w:val="1"/>
          <w:numId w:val="1004"/>
        </w:numPr>
      </w:pPr>
      <w:r>
        <w:t xml:space="preserve">Conditioning through enzyme tags or prompt engineering.</w:t>
      </w:r>
    </w:p>
    <w:p>
      <w:pPr>
        <w:pStyle w:val="Compact"/>
        <w:numPr>
          <w:ilvl w:val="1"/>
          <w:numId w:val="1004"/>
        </w:numPr>
      </w:pPr>
      <w:r>
        <w:t xml:space="preserve">Markov Chain Monte Carlo (MCMC) and fine-tuning used for targeted sequence generation.</w:t>
      </w:r>
    </w:p>
    <w:p>
      <w:pPr>
        <w:pStyle w:val="Compact"/>
        <w:numPr>
          <w:ilvl w:val="0"/>
          <w:numId w:val="1003"/>
        </w:numPr>
      </w:pPr>
      <w:r>
        <w:rPr>
          <w:b/>
          <w:bCs/>
        </w:rPr>
        <w:t xml:space="preserve">Structure-Based Approaches</w:t>
      </w:r>
      <w:r>
        <w:t xml:space="preserve">:</w:t>
      </w:r>
    </w:p>
    <w:p>
      <w:pPr>
        <w:pStyle w:val="Compact"/>
        <w:numPr>
          <w:ilvl w:val="1"/>
          <w:numId w:val="1005"/>
        </w:numPr>
      </w:pPr>
      <w:r>
        <w:t xml:space="preserve">Diffusion models generate 3D coordinates from noise.</w:t>
      </w:r>
    </w:p>
    <w:p>
      <w:pPr>
        <w:pStyle w:val="Compact"/>
        <w:numPr>
          <w:ilvl w:val="1"/>
          <w:numId w:val="1005"/>
        </w:numPr>
      </w:pPr>
      <w:r>
        <w:t xml:space="preserve">Inverse folding converts structure to valid sequence.</w:t>
      </w:r>
    </w:p>
    <w:p>
      <w:pPr>
        <w:pStyle w:val="Compact"/>
        <w:numPr>
          <w:ilvl w:val="1"/>
          <w:numId w:val="1005"/>
        </w:numPr>
      </w:pPr>
      <w:r>
        <w:t xml:space="preserve">Graph Neural Networks (GNNs) used for encoding 3D structure.</w:t>
      </w:r>
    </w:p>
    <w:p>
      <w:pPr>
        <w:pStyle w:val="Compact"/>
        <w:numPr>
          <w:ilvl w:val="0"/>
          <w:numId w:val="1003"/>
        </w:numPr>
      </w:pPr>
      <w:r>
        <w:rPr>
          <w:b/>
          <w:bCs/>
        </w:rPr>
        <w:t xml:space="preserve">Co-Design Models</w:t>
      </w:r>
      <w:r>
        <w:t xml:space="preserve">:</w:t>
      </w:r>
    </w:p>
    <w:p>
      <w:pPr>
        <w:pStyle w:val="Compact"/>
        <w:numPr>
          <w:ilvl w:val="1"/>
          <w:numId w:val="1006"/>
        </w:numPr>
      </w:pPr>
      <w:r>
        <w:t xml:space="preserve">Combine sequence and structure generation in parallel.</w:t>
      </w:r>
    </w:p>
    <w:p>
      <w:pPr>
        <w:pStyle w:val="Compact"/>
        <w:numPr>
          <w:ilvl w:val="1"/>
          <w:numId w:val="1006"/>
        </w:numPr>
      </w:pPr>
      <w:r>
        <w:t xml:space="preserve">Examples: ProtSEED, RefineGNN, Protpardelle.</w:t>
      </w:r>
    </w:p>
    <w:p>
      <w:r>
        <w:pict>
          <v:rect style="width:0;height:1.5pt" o:hralign="center" o:hrstd="t" o:hr="t"/>
        </w:pict>
      </w:r>
    </w:p>
    <w:p>
      <w:pPr>
        <w:pStyle w:val="FirstParagraph"/>
      </w:pPr>
      <w:r>
        <w:rPr>
          <w:b/>
          <w:bCs/>
        </w:rPr>
        <w:t xml:space="preserve">4. Applications and Success Metrics</w:t>
      </w:r>
    </w:p>
    <w:p>
      <w:pPr>
        <w:pStyle w:val="Compact"/>
        <w:numPr>
          <w:ilvl w:val="0"/>
          <w:numId w:val="1007"/>
        </w:numPr>
      </w:pPr>
      <w:r>
        <w:t xml:space="preserve">Models like RFDiffusion, Chroma, and ProGEN2 achieve experimental success rates of ~20%.</w:t>
      </w:r>
    </w:p>
    <w:p>
      <w:pPr>
        <w:pStyle w:val="Compact"/>
        <w:numPr>
          <w:ilvl w:val="0"/>
          <w:numId w:val="1007"/>
        </w:numPr>
      </w:pPr>
      <w:r>
        <w:t xml:space="preserve">New tools allow natural language conditioning, enabling intuitive query-based protein design.</w:t>
      </w:r>
    </w:p>
    <w:p>
      <w:pPr>
        <w:pStyle w:val="Compact"/>
        <w:numPr>
          <w:ilvl w:val="0"/>
          <w:numId w:val="1007"/>
        </w:numPr>
      </w:pPr>
      <w:r>
        <w:t xml:space="preserve">Diffusion models generate novel folds and binding motifs.</w:t>
      </w:r>
    </w:p>
    <w:p>
      <w:pPr>
        <w:pStyle w:val="Compact"/>
        <w:numPr>
          <w:ilvl w:val="0"/>
          <w:numId w:val="1007"/>
        </w:numPr>
      </w:pPr>
      <w:r>
        <w:t xml:space="preserve">Functional success assessed by pLDDT (predicted Local Distance Difference Test), RMSD (Root Mean Square Deviation), and wet-lab validation.</w:t>
      </w:r>
    </w:p>
    <w:p>
      <w:r>
        <w:pict>
          <v:rect style="width:0;height:1.5pt" o:hralign="center" o:hrstd="t" o:hr="t"/>
        </w:pict>
      </w:r>
    </w:p>
    <w:p>
      <w:pPr>
        <w:pStyle w:val="FirstParagraph"/>
      </w:pPr>
      <w:r>
        <w:rPr>
          <w:b/>
          <w:bCs/>
        </w:rPr>
        <w:t xml:space="preserve">5. Challenges and Future Directions</w:t>
      </w:r>
    </w:p>
    <w:p>
      <w:pPr>
        <w:pStyle w:val="Compact"/>
        <w:numPr>
          <w:ilvl w:val="0"/>
          <w:numId w:val="1008"/>
        </w:numPr>
      </w:pPr>
      <w:r>
        <w:rPr>
          <w:b/>
          <w:bCs/>
        </w:rPr>
        <w:t xml:space="preserve">Conformational Diversity</w:t>
      </w:r>
      <w:r>
        <w:t xml:space="preserve">: Current models struggle with predicting dynamic or multi-state protein structures.</w:t>
      </w:r>
    </w:p>
    <w:p>
      <w:pPr>
        <w:pStyle w:val="Compact"/>
        <w:numPr>
          <w:ilvl w:val="0"/>
          <w:numId w:val="1008"/>
        </w:numPr>
      </w:pPr>
      <w:r>
        <w:rPr>
          <w:b/>
          <w:bCs/>
        </w:rPr>
        <w:t xml:space="preserve">Structural Regulation</w:t>
      </w:r>
      <w:r>
        <w:t xml:space="preserve">: Limited ability to model proteins influenced by post-translational modifications.</w:t>
      </w:r>
    </w:p>
    <w:p>
      <w:pPr>
        <w:pStyle w:val="Compact"/>
        <w:numPr>
          <w:ilvl w:val="0"/>
          <w:numId w:val="1008"/>
        </w:numPr>
      </w:pPr>
      <w:r>
        <w:rPr>
          <w:b/>
          <w:bCs/>
        </w:rPr>
        <w:t xml:space="preserve">Biochemical Integration</w:t>
      </w:r>
      <w:r>
        <w:t xml:space="preserve">: Performance increases when models incorporate domain-specific biochemical knowledge.</w:t>
      </w:r>
    </w:p>
    <w:p>
      <w:pPr>
        <w:pStyle w:val="Compact"/>
        <w:numPr>
          <w:ilvl w:val="0"/>
          <w:numId w:val="1008"/>
        </w:numPr>
      </w:pPr>
      <w:r>
        <w:rPr>
          <w:b/>
          <w:bCs/>
        </w:rPr>
        <w:t xml:space="preserve">Non-Canonical Amino Acids</w:t>
      </w:r>
      <w:r>
        <w:t xml:space="preserve">: Most models are limited to standard amino acids.</w:t>
      </w:r>
    </w:p>
    <w:p>
      <w:pPr>
        <w:pStyle w:val="Compact"/>
        <w:numPr>
          <w:ilvl w:val="0"/>
          <w:numId w:val="1008"/>
        </w:numPr>
      </w:pPr>
      <w:r>
        <w:rPr>
          <w:b/>
          <w:bCs/>
        </w:rPr>
        <w:t xml:space="preserve">Scalability and Generalization</w:t>
      </w:r>
      <w:r>
        <w:t xml:space="preserve">: Enhancing model size, training data, and interpretability are ongoing tasks.</w:t>
      </w:r>
    </w:p>
    <w:p>
      <w:r>
        <w:pict>
          <v:rect style="width:0;height:1.5pt" o:hralign="center" o:hrstd="t" o:hr="t"/>
        </w:pict>
      </w:r>
    </w:p>
    <w:p>
      <w:pPr>
        <w:pStyle w:val="FirstParagraph"/>
      </w:pPr>
      <w:r>
        <w:rPr>
          <w:b/>
          <w:bCs/>
        </w:rPr>
        <w:t xml:space="preserve">6. Conclusion</w:t>
      </w:r>
      <w:r>
        <w:t xml:space="preserve"> </w:t>
      </w:r>
      <w:r>
        <w:t xml:space="preserve">Generative AI is poised to transform de novo protein design by enabling scalable, controllable, and interpretable generation of functional proteins. The integration of structure and sequence design, combined with the potential for natural language interaction, marks a new era for bioengineering and synthetic biology.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2025-08-07T03:57:36Z</dcterms:created>
  <dcterms:modified xsi:type="dcterms:W3CDTF">2025-08-07T03:57:36Z</dcterms:modified>
</cp:coreProperties>
</file>

<file path=docProps/custom.xml><?xml version="1.0" encoding="utf-8"?>
<Properties xmlns="http://schemas.openxmlformats.org/officeDocument/2006/custom-properties" xmlns:vt="http://schemas.openxmlformats.org/officeDocument/2006/docPropsVTypes"/>
</file>