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0"/>
        <w:outlineLvl w:val="0"/>
        <w:jc w:val="both"/>
      </w:pPr>
      <w:r>
        <w:rPr>
          <w:sz w:val="20"/>
        </w:rPr>
      </w:r>
    </w:p>
    <w:p>
      <w:pPr>
        <w:pStyle w:val="2"/>
        <w:jc w:val="center"/>
      </w:pPr>
      <w:r>
        <w:rPr>
          <w:sz w:val="20"/>
        </w:rPr>
        <w:t xml:space="preserve">ПРАВОВАЯ ПРИРОДА БРАЧНОГО ДОГОВОРА</w:t>
      </w:r>
    </w:p>
    <w:p>
      <w:pPr>
        <w:pStyle w:val="2"/>
        <w:jc w:val="center"/>
      </w:pPr>
      <w:r>
        <w:rPr>
          <w:sz w:val="20"/>
        </w:rPr>
      </w:r>
    </w:p>
    <w:p>
      <w:pPr>
        <w:pStyle w:val="2"/>
        <w:jc w:val="center"/>
      </w:pPr>
      <w:r>
        <w:rPr>
          <w:sz w:val="20"/>
        </w:rPr>
        <w:t xml:space="preserve">С.П. СТЕПКИН</w:t>
      </w:r>
    </w:p>
    <w:p>
      <w:pPr>
        <w:pStyle w:val="0"/>
        <w:jc w:val="both"/>
      </w:pPr>
      <w:r>
        <w:rPr>
          <w:sz w:val="20"/>
        </w:rPr>
      </w:r>
    </w:p>
    <w:p>
      <w:pPr>
        <w:pStyle w:val="0"/>
        <w:ind w:firstLine="540"/>
        <w:jc w:val="both"/>
      </w:pPr>
      <w:r>
        <w:rPr>
          <w:sz w:val="20"/>
        </w:rPr>
        <w:t xml:space="preserve">Степкин Станислав Павлович, доцент кафедры гражданско-правовых дисциплин Российского государственного социального университета, кандидат юридических наук.</w:t>
      </w:r>
    </w:p>
    <w:p>
      <w:pPr>
        <w:pStyle w:val="0"/>
        <w:jc w:val="both"/>
      </w:pPr>
      <w:r>
        <w:rPr>
          <w:sz w:val="20"/>
        </w:rPr>
      </w:r>
    </w:p>
    <w:p>
      <w:pPr>
        <w:pStyle w:val="0"/>
        <w:ind w:firstLine="540"/>
        <w:jc w:val="both"/>
      </w:pPr>
      <w:r>
        <w:rPr>
          <w:sz w:val="20"/>
        </w:rPr>
        <w:t xml:space="preserve">Правовая природа брачного договора может быть описана в виде комплексного института гражданского и семейного права, позволяющего не только определить имущественные права и обязанности, но и минимизировать семейные имущественные споры. В современных условиях в теоретическом и особенно практическом плане актуален вопрос о возможности заключения брачного договора в условиях фактического брака. Институт брачного договора, будучи на протяжении веков неотъемлемой частью семейного права как в англо-саксонской, так и в континентальной системах права, относительно недавно появился в российском гражданском и семейном законодательстве, с момента вступления в силу в 1996 г. Семейного </w:t>
      </w:r>
      <w:hyperlink w:history="0" r:id="rId6">
        <w:r>
          <w:rPr>
            <w:sz w:val="20"/>
            <w:color w:val="0000ff"/>
          </w:rPr>
          <w:t xml:space="preserve">кодекса</w:t>
        </w:r>
      </w:hyperlink>
      <w:r>
        <w:rPr>
          <w:sz w:val="20"/>
        </w:rPr>
        <w:t xml:space="preserve"> Российской Федерации. В настоящее время брачный договор - консенсуальный, двусторонний и возмездный специфический вид гражданско-правового договора исключительно между супругами либо лицами, вступающими в брак, предмет которого - имущественные правоотношения.</w:t>
      </w:r>
    </w:p>
    <w:p>
      <w:pPr>
        <w:pStyle w:val="0"/>
        <w:jc w:val="both"/>
      </w:pPr>
      <w:r>
        <w:rPr>
          <w:sz w:val="20"/>
        </w:rPr>
      </w:r>
    </w:p>
    <w:p>
      <w:pPr>
        <w:pStyle w:val="0"/>
        <w:ind w:firstLine="540"/>
        <w:jc w:val="both"/>
      </w:pPr>
      <w:r>
        <w:rPr>
          <w:sz w:val="20"/>
        </w:rPr>
        <w:t xml:space="preserve">Ключевые слова: брачный договор, гражданско-правовой договор, брак, супруги, правовой режим имущества супругов.</w:t>
      </w:r>
    </w:p>
    <w:p>
      <w:pPr>
        <w:pStyle w:val="0"/>
        <w:jc w:val="both"/>
      </w:pPr>
      <w:r>
        <w:rPr>
          <w:sz w:val="20"/>
        </w:rPr>
      </w:r>
    </w:p>
    <w:p>
      <w:pPr>
        <w:pStyle w:val="0"/>
        <w:ind w:firstLine="540"/>
        <w:jc w:val="both"/>
      </w:pPr>
      <w:r>
        <w:rPr>
          <w:sz w:val="20"/>
        </w:rPr>
        <w:t xml:space="preserve">The Legal Nature of a Prenuptial Agreement</w:t>
      </w:r>
    </w:p>
    <w:p>
      <w:pPr>
        <w:pStyle w:val="0"/>
        <w:spacing w:before="200" w:line-rule="auto"/>
        <w:ind w:firstLine="540"/>
        <w:jc w:val="both"/>
      </w:pPr>
      <w:r>
        <w:rPr>
          <w:sz w:val="20"/>
        </w:rPr>
        <w:t xml:space="preserve">S.P. Stepkin</w:t>
      </w:r>
    </w:p>
    <w:p>
      <w:pPr>
        <w:pStyle w:val="0"/>
        <w:jc w:val="both"/>
      </w:pPr>
      <w:r>
        <w:rPr>
          <w:sz w:val="20"/>
        </w:rPr>
      </w:r>
    </w:p>
    <w:p>
      <w:pPr>
        <w:pStyle w:val="0"/>
        <w:ind w:firstLine="540"/>
        <w:jc w:val="both"/>
      </w:pPr>
      <w:r>
        <w:rPr>
          <w:sz w:val="20"/>
        </w:rPr>
        <w:t xml:space="preserve">Stepkin Stanislav P., Assistant Professor of the Department of Civil and Legal Disciplines of the Russian State Social University, Candidate of Legal Sciences.</w:t>
      </w:r>
    </w:p>
    <w:p>
      <w:pPr>
        <w:pStyle w:val="0"/>
        <w:jc w:val="both"/>
      </w:pPr>
      <w:r>
        <w:rPr>
          <w:sz w:val="20"/>
        </w:rPr>
      </w:r>
    </w:p>
    <w:p>
      <w:pPr>
        <w:pStyle w:val="0"/>
        <w:ind w:firstLine="540"/>
        <w:jc w:val="both"/>
      </w:pPr>
      <w:r>
        <w:rPr>
          <w:sz w:val="20"/>
        </w:rPr>
        <w:t xml:space="preserve">The institution of the marriage contract, being for centuries an integral part of family law, both in the anglo-saxon and in the continental system of law, has recently appeared in Russian civil and family legislation, since the entry into force in 1996 of the Family Code of the Russian Federation.</w:t>
      </w:r>
    </w:p>
    <w:p>
      <w:pPr>
        <w:pStyle w:val="0"/>
        <w:spacing w:before="200" w:line-rule="auto"/>
        <w:ind w:firstLine="540"/>
        <w:jc w:val="both"/>
      </w:pPr>
      <w:r>
        <w:rPr>
          <w:sz w:val="20"/>
        </w:rPr>
        <w:t xml:space="preserve">Today, the marriage contract is a consensual, bilateral and compensated specific type of civil contract exclusively between spouses or persons entering into marriage and having an object - property relations. The legal nature of the marriage contract can be described in the form of a complex institution of civil and family law that allows not only to determine property rights and obligations, but also to minimize family property disputes. In the theoretical and, especially, practical terms, the question of the possibility of concluding a marriage contract in the conditions of actual marriage remains topical.</w:t>
      </w:r>
    </w:p>
    <w:p>
      <w:pPr>
        <w:pStyle w:val="0"/>
        <w:jc w:val="both"/>
      </w:pPr>
      <w:r>
        <w:rPr>
          <w:sz w:val="20"/>
        </w:rPr>
      </w:r>
    </w:p>
    <w:p>
      <w:pPr>
        <w:pStyle w:val="0"/>
        <w:ind w:firstLine="540"/>
        <w:jc w:val="both"/>
      </w:pPr>
      <w:r>
        <w:rPr>
          <w:sz w:val="20"/>
        </w:rPr>
        <w:t xml:space="preserve">Key words: marriage contract, civil law contract, marriage, spouses, legal regime of spouses' property.</w:t>
      </w:r>
    </w:p>
    <w:p>
      <w:pPr>
        <w:pStyle w:val="0"/>
        <w:jc w:val="both"/>
      </w:pPr>
      <w:r>
        <w:rPr>
          <w:sz w:val="20"/>
        </w:rPr>
      </w:r>
    </w:p>
    <w:p>
      <w:pPr>
        <w:pStyle w:val="0"/>
        <w:ind w:firstLine="540"/>
        <w:jc w:val="both"/>
      </w:pPr>
      <w:r>
        <w:rPr>
          <w:sz w:val="20"/>
        </w:rPr>
        <w:t xml:space="preserve">Понимание </w:t>
      </w:r>
      <w:r>
        <w:rPr>
          <w:sz w:val="20"/>
          <w:b w:val="on"/>
        </w:rPr>
        <w:t xml:space="preserve">правовой природы</w:t>
      </w:r>
      <w:r>
        <w:rPr>
          <w:sz w:val="20"/>
        </w:rPr>
        <w:t xml:space="preserve">, введенное С.С. Алексеевым как юридическая характеристика определенного явления, выражающая его особую специфику, которая определяет его место и функции среди всех прочих правовых явлений в соответствии с его социальной природой &lt;1&gt;, в целом устоялось в литературе. В этом смысле брачный договор нередко рассматривается в целом как гражданско-правовая сделка &lt;2&gt;, а в частности - в той мере, в какой он регулирует гражданско-правовые отношения, то есть определяет (изменяет) законный либо устанавливает договорный режим имущества супругов, определяет их права и обязанности по распоряжению и управлению совместным имуществом, предусматривает порядок и пропорции раздела имущества при возможном расторжении брака, то есть определяет правоотношения собственности супругов &lt;3&gt;. В то же время пункты брачного договора, определяющие личные семейные правоотношения, например алименты, нельзя отнести к гражданско-правовой сделке. Е.М. Ворожейкин предлагает в данном случае понятие особого "семейно-правового соглашения" &lt;4&gt;. Исходя из этого, анализируемый договор по его правовой природе может быть признан смешанным, оставаясь одновременно институтом как гражданского, так и семейного законодательства.</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Алексеев С.С. Общие дозволения и общие запреты в советском праве. М.: Юридическая литература, 1989. С. 227.</w:t>
      </w:r>
    </w:p>
    <w:p>
      <w:pPr>
        <w:spacing w:before="0"/>
        <w:spacing w:after="1"/>
      </w:pPr>
    </w:p>
    <w:tbl>
      <w:tblPr>
        <w:jc w:val="center"/>
        <w:tblInd w:w="0" w:type="dxa"/>
        <w:tblW w:w="10207" w:type="dxa"/>
        <w:tblBorders>
          <w:top w:val="nil"/>
          <w:left w:val="single" w:sz="24" w:color="ced3f1"/>
          <w:bottom w:val="nil"/>
          <w:right w:val="single" w:sz="24" w:color="f4f3f8"/>
          <w:insideV w:val="nil"/>
          <w:insideH w:val="nil"/>
        </w:tblBorders>
        <w:tblCellMar>
          <w:top w:w="113" w:type="dxa"/>
          <w:left w:w="113" w:type="dxa"/>
          <w:bottom w:w="113" w:type="dxa"/>
          <w:right w:w="113" w:type="dxa"/>
        </w:tblCellMar>
      </w:tblPr>
      <w:tblGrid>
        <w:gridCol w:w="10147" w:type="dxa"/>
      </w:tblGrid>
      <w:tr>
        <w:tblPrEx>
          <w:tblBorders>
            <w:top w:val="nil"/>
            <w:left w:val="single" w:sz="24" w:color="ced3f1"/>
            <w:bottom w:val="nil"/>
            <w:right w:val="single" w:sz="24" w:color="f4f3f8"/>
            <w:insideV w:val="nil"/>
            <w:insideH w:val="nil"/>
          </w:tblBorders>
          <w:tblCellMar>
            <w:top w:w="113" w:type="dxa"/>
            <w:left w:w="113" w:type="dxa"/>
            <w:bottom w:w="113" w:type="dxa"/>
            <w:right w:w="113" w:type="dxa"/>
          </w:tblCellMar>
        </w:tblPrEx>
        <w:tc>
          <w:tcPr>
            <w:tcW w:w="10147" w:type="dxa"/>
            <w:shd w:val="clear" w:fill="f4f3f8"/>
            <w:tcBorders>
              <w:top w:val="nil"/>
              <w:left w:val="single" w:sz="24" w:color="ced3f1"/>
              <w:bottom w:val="nil"/>
              <w:right w:val="single" w:sz="24" w:color="f4f3f8"/>
            </w:tcBorders>
          </w:tcPr>
          <w:p>
            <w:pPr>
              <w:pStyle w:val="0"/>
              <w:jc w:val="both"/>
            </w:pPr>
            <w:r>
              <w:rPr>
                <w:sz w:val="20"/>
                <w:color w:val="392c69"/>
              </w:rPr>
              <w:t xml:space="preserve">КонсультантПлюс: примечание.</w:t>
            </w:r>
          </w:p>
          <w:p>
            <w:pPr>
              <w:pStyle w:val="0"/>
              <w:jc w:val="both"/>
            </w:pPr>
            <w:hyperlink w:history="0" r:id="rId7">
              <w:r>
                <w:rPr>
                  <w:sz w:val="20"/>
                  <w:color w:val="0000ff"/>
                </w:rPr>
                <w:t xml:space="preserve">Монография</w:t>
              </w:r>
            </w:hyperlink>
            <w:r>
              <w:rPr>
                <w:sz w:val="20"/>
                <w:color w:val="392c69"/>
              </w:rPr>
              <w:t xml:space="preserve"> М.И. Брагинского, В.В. Витрянского "Договорное право. Общие положения" (книга 1) включена в информационный банк согласно публикации - Статут, 2001 (3-е издание, стереотипное).</w:t>
            </w:r>
          </w:p>
        </w:tc>
      </w:tr>
    </w:tbl>
    <w:p>
      <w:pPr>
        <w:pStyle w:val="0"/>
        <w:spacing w:before="260" w:line-rule="auto"/>
        <w:ind w:firstLine="540"/>
        <w:jc w:val="both"/>
      </w:pPr>
      <w:r>
        <w:rPr>
          <w:sz w:val="20"/>
        </w:rPr>
        <w:t xml:space="preserve">&lt;2&gt; Брагинский М.И., Витрянский В.В. Договорное право. Общие положения. М., 1997. С. 418.</w:t>
      </w:r>
    </w:p>
    <w:p>
      <w:pPr>
        <w:pStyle w:val="0"/>
        <w:spacing w:before="200" w:line-rule="auto"/>
        <w:ind w:firstLine="540"/>
        <w:jc w:val="both"/>
      </w:pPr>
      <w:r>
        <w:rPr>
          <w:sz w:val="20"/>
        </w:rPr>
        <w:t xml:space="preserve">&lt;3&gt; Ворожейкин Е.М. Семейные правоотношения в СССР. М.: Юридическая литература, 1974. С. 134 - 135.</w:t>
      </w:r>
    </w:p>
    <w:p>
      <w:pPr>
        <w:pStyle w:val="0"/>
        <w:spacing w:before="200" w:line-rule="auto"/>
        <w:ind w:firstLine="540"/>
        <w:jc w:val="both"/>
      </w:pPr>
      <w:r>
        <w:rPr>
          <w:sz w:val="20"/>
        </w:rPr>
        <w:t xml:space="preserve">&lt;4&gt; Там же. С. 135.</w:t>
      </w:r>
    </w:p>
    <w:p>
      <w:pPr>
        <w:pStyle w:val="0"/>
        <w:jc w:val="both"/>
      </w:pPr>
      <w:r>
        <w:rPr>
          <w:sz w:val="20"/>
        </w:rPr>
      </w:r>
    </w:p>
    <w:p>
      <w:pPr>
        <w:pStyle w:val="0"/>
        <w:ind w:firstLine="540"/>
        <w:jc w:val="both"/>
      </w:pPr>
      <w:r>
        <w:rPr>
          <w:sz w:val="20"/>
        </w:rPr>
        <w:t xml:space="preserve">Действующее семейное законодательство (</w:t>
      </w:r>
      <w:hyperlink w:history="0" r:id="rId8">
        <w:r>
          <w:rPr>
            <w:sz w:val="20"/>
            <w:color w:val="0000ff"/>
          </w:rPr>
          <w:t xml:space="preserve">ст. 40</w:t>
        </w:r>
      </w:hyperlink>
      <w:r>
        <w:rPr>
          <w:sz w:val="20"/>
        </w:rPr>
        <w:t xml:space="preserve"> Семейного кодекса Российской Федерации (далее - СК РФ)) определяет брачный договор как соглашение лиц, вступающих в брак, или супругов, определяющее их имущественные права и обязанности в браке и/или при его расторжении. При этом следует учесть особенность субъектного состава такого договора, где право его заключения имеют как супруги, состоящие в зарегистрированном браке, так и лица, только вступающие в брак. Последняя категория в законе не определена.</w:t>
      </w:r>
    </w:p>
    <w:p>
      <w:pPr>
        <w:pStyle w:val="0"/>
        <w:spacing w:before="200" w:line-rule="auto"/>
        <w:ind w:firstLine="540"/>
        <w:jc w:val="both"/>
      </w:pPr>
      <w:r>
        <w:rPr>
          <w:sz w:val="20"/>
        </w:rPr>
        <w:t xml:space="preserve">В литературе устоялось мнение, основанное на нормах </w:t>
      </w:r>
      <w:hyperlink w:history="0" r:id="rId9">
        <w:r>
          <w:rPr>
            <w:sz w:val="20"/>
            <w:color w:val="0000ff"/>
          </w:rPr>
          <w:t xml:space="preserve">гл. 3</w:t>
        </w:r>
      </w:hyperlink>
      <w:r>
        <w:rPr>
          <w:sz w:val="20"/>
        </w:rPr>
        <w:t xml:space="preserve"> СК РФ, согласно которому это лица, подавшие заявление в органы ЗАГС &lt;5&gt;. В ином случае лица, </w:t>
      </w:r>
      <w:r>
        <w:rPr>
          <w:sz w:val="20"/>
          <w:b w:val="on"/>
        </w:rPr>
        <w:t xml:space="preserve">желающие вступить в брак</w:t>
      </w:r>
      <w:r>
        <w:rPr>
          <w:sz w:val="20"/>
        </w:rPr>
        <w:t xml:space="preserve">, но не оформившие это заявлением, например лица, не достигшие 18 лет, считаются (</w:t>
      </w:r>
      <w:hyperlink w:history="0" r:id="rId10">
        <w:r>
          <w:rPr>
            <w:sz w:val="20"/>
            <w:color w:val="0000ff"/>
          </w:rPr>
          <w:t xml:space="preserve">ст. 13</w:t>
        </w:r>
      </w:hyperlink>
      <w:r>
        <w:rPr>
          <w:sz w:val="20"/>
        </w:rPr>
        <w:t xml:space="preserve"> СК РФ) "желающими вступить в брак". Существует и более широкое понимание дефиниции "лица, вступающие в брак": как стороны брачного договора, на момент его заключения не состоящие в зарегистрированном браке. При этом факт подачи заявления в органы ЗАГС не имеет юридического значения для заключения брачного договора &lt;6&gt;. Граждане, не состоящие в зарегистрированном браке, вправе заключать брачный договор, вступающий в силу лишь с момента регистрации брака. При этом подача или неподача заявления в ЗАГС, действительно, не имеет значения. И.Р. Антропова для придания однозначности толкованию понятия "лица, вступающие в брак" предлагает конкретизировать эту норму в законе &lt;7&gt;, чего, на наш взгляд, не требуется. Реализуя принцип свободы договора, граждане вправе договариваться между собой, указывая, при желании, в договоре свои намерения и соответствующие обязательства. При этом совершенно не обязательно нормативно закреплять отдельно категорию лиц, лишь только собирающихся вступить в определенные отношения.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&lt;5&gt; Сосипатрова Н.Е. Брачный договор: правовая природа, содержание, прекращение // Государство и право. 1999. N 3. С. 78.</w:t>
      </w:r>
    </w:p>
    <w:p>
      <w:pPr>
        <w:pStyle w:val="0"/>
        <w:spacing w:before="200" w:line-rule="auto"/>
        <w:ind w:firstLine="540"/>
        <w:jc w:val="both"/>
      </w:pPr>
      <w:r>
        <w:rPr>
          <w:sz w:val="20"/>
        </w:rPr>
        <w:t xml:space="preserve">&lt;6&gt; Федорова О.А. Субъекты брачного договора // Нотариальный вестник. 2006. N 11. С. 11.</w:t>
      </w:r>
    </w:p>
    <w:p>
      <w:pPr>
        <w:pStyle w:val="0"/>
        <w:spacing w:before="200" w:line-rule="auto"/>
        <w:ind w:firstLine="540"/>
        <w:jc w:val="both"/>
      </w:pPr>
      <w:r>
        <w:rPr>
          <w:sz w:val="20"/>
        </w:rPr>
        <w:t xml:space="preserve">&lt;7&gt; Антропова И.Р. К вопросу о правовой природе брачного договора в современном семейном праве России // Вестник Удмуртского университета. Серия "Экономика и право". 2013. N 2. С. 115.</w:t>
      </w:r>
    </w:p>
    <w:p>
      <w:pPr>
        <w:pStyle w:val="0"/>
        <w:jc w:val="both"/>
      </w:pPr>
      <w:r>
        <w:rPr>
          <w:sz w:val="20"/>
        </w:rPr>
      </w:r>
    </w:p>
    <w:p>
      <w:pPr>
        <w:pStyle w:val="0"/>
        <w:ind w:firstLine="540"/>
        <w:jc w:val="both"/>
      </w:pPr>
      <w:r>
        <w:rPr>
          <w:sz w:val="20"/>
        </w:rPr>
        <w:t xml:space="preserve">При заключении брачного договора лицами, вступающими в брак, этот договор не является заключенным под отлагательным условием, то есть вступающим в силу лишь после официальной регистрации брака (</w:t>
      </w:r>
      <w:hyperlink w:history="0" r:id="rId11">
        <w:r>
          <w:rPr>
            <w:sz w:val="20"/>
            <w:color w:val="0000ff"/>
          </w:rPr>
          <w:t xml:space="preserve">п. 1 ст. 41</w:t>
        </w:r>
      </w:hyperlink>
      <w:r>
        <w:rPr>
          <w:sz w:val="20"/>
        </w:rPr>
        <w:t xml:space="preserve"> СК РФ). Такого рода конструкция условной сделки может использоваться в брачном договоре, но только лишь по поводу потенциально приобретаемого имущества, так как если после заключения брачного договора не следует официальная регистрация брака, то брачный договор следует признать ничтожным &lt;8&gt;.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&lt;8&gt; Струцкая И.Н. Брачный договор в российском законодательстве // Нотариальный вестник. 2010. N 11. С. 15.</w:t>
      </w:r>
    </w:p>
    <w:p>
      <w:pPr>
        <w:pStyle w:val="0"/>
        <w:jc w:val="both"/>
      </w:pPr>
      <w:r>
        <w:rPr>
          <w:sz w:val="20"/>
        </w:rPr>
      </w:r>
    </w:p>
    <w:p>
      <w:pPr>
        <w:pStyle w:val="0"/>
        <w:ind w:firstLine="540"/>
        <w:jc w:val="both"/>
      </w:pPr>
      <w:r>
        <w:rPr>
          <w:sz w:val="20"/>
        </w:rPr>
        <w:t xml:space="preserve">В современных условиях (не только российских, но и мировых) правовая природа брачного договора более всего анализируется на предмет возможности заключения брачного договора в условиях фактического брака. Со времен Античности эти вопросы решались по-разному. Действующее законодательство (</w:t>
      </w:r>
      <w:hyperlink w:history="0" r:id="rId12">
        <w:r>
          <w:rPr>
            <w:sz w:val="20"/>
            <w:color w:val="0000ff"/>
          </w:rPr>
          <w:t xml:space="preserve">п. 2 ст. 1</w:t>
        </w:r>
      </w:hyperlink>
      <w:r>
        <w:rPr>
          <w:sz w:val="20"/>
        </w:rPr>
        <w:t xml:space="preserve">, </w:t>
      </w:r>
      <w:hyperlink w:history="0" r:id="rId13">
        <w:r>
          <w:rPr>
            <w:sz w:val="20"/>
            <w:color w:val="0000ff"/>
          </w:rPr>
          <w:t xml:space="preserve">п. п. 1</w:t>
        </w:r>
      </w:hyperlink>
      <w:r>
        <w:rPr>
          <w:sz w:val="20"/>
        </w:rPr>
        <w:t xml:space="preserve">, </w:t>
      </w:r>
      <w:hyperlink w:history="0" r:id="rId14">
        <w:r>
          <w:rPr>
            <w:sz w:val="20"/>
            <w:color w:val="0000ff"/>
          </w:rPr>
          <w:t xml:space="preserve">2 ст. 10</w:t>
        </w:r>
      </w:hyperlink>
      <w:r>
        <w:rPr>
          <w:sz w:val="20"/>
        </w:rPr>
        <w:t xml:space="preserve"> СК РФ) признает исключительно брак, заключенный в органах ЗАГС. Таким образом, фактические супруги как граждане могут заключить брачный договор, но он не вступит в силу, пока они не зарегистрируют брак официально, так как фактические брачные отношения не урегулированы российским правом. Сложившуюся ситуацию нельзя признать нормальной, с чем согласны участники оживленной дискуссии, предлагающие свои пути регулирования &lt;9&gt;. Обратим внимание лишь на односторонность ряда позиций. Так, И.Р. Антропова &lt;10&gt;, Г.А. Щербина &lt;11&gt; и другие авторы акцентируют внимание на необходимости законодательной защиты "имущественных интересов женщин, не состоящих по каким-либо причинам в зарегистрированных брачных отношениях". Исходя из требования </w:t>
      </w:r>
      <w:hyperlink w:history="0" r:id="rId15">
        <w:r>
          <w:rPr>
            <w:sz w:val="20"/>
            <w:color w:val="0000ff"/>
          </w:rPr>
          <w:t xml:space="preserve">ч. 3 ст. 19</w:t>
        </w:r>
      </w:hyperlink>
      <w:r>
        <w:rPr>
          <w:sz w:val="20"/>
        </w:rPr>
        <w:t xml:space="preserve"> Конституции РФ речь следует вести о защите интересов сторон фактических брачных отношений.</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&lt;9&gt; Чигрина Е.В. "Фактические браки": признать или игнорировать? // Вопросы правоведения. 2011. N 2. С. 212.</w:t>
      </w:r>
    </w:p>
    <w:p>
      <w:pPr>
        <w:pStyle w:val="0"/>
        <w:spacing w:before="200" w:line-rule="auto"/>
        <w:ind w:firstLine="540"/>
        <w:jc w:val="both"/>
      </w:pPr>
      <w:r>
        <w:rPr>
          <w:sz w:val="20"/>
        </w:rPr>
        <w:t xml:space="preserve">&lt;10&gt; Антропова И.Р. Указ. соч. С. 116.</w:t>
      </w:r>
    </w:p>
    <w:p>
      <w:pPr>
        <w:pStyle w:val="0"/>
        <w:spacing w:before="200" w:line-rule="auto"/>
        <w:ind w:firstLine="540"/>
        <w:jc w:val="both"/>
      </w:pPr>
      <w:r>
        <w:rPr>
          <w:sz w:val="20"/>
        </w:rPr>
        <w:t xml:space="preserve">&lt;11&gt; Щербина Г.А. Она в "браке", он - свободен от него или О фактическом браке // Вестник Ессентукского института управления, бизнеса и права. 2016. N 13. С. 83.</w:t>
      </w:r>
    </w:p>
    <w:p>
      <w:pPr>
        <w:pStyle w:val="0"/>
        <w:jc w:val="both"/>
      </w:pPr>
      <w:r>
        <w:rPr>
          <w:sz w:val="20"/>
        </w:rPr>
      </w:r>
    </w:p>
    <w:p>
      <w:pPr>
        <w:pStyle w:val="0"/>
        <w:ind w:firstLine="540"/>
        <w:jc w:val="both"/>
      </w:pPr>
      <w:r>
        <w:rPr>
          <w:sz w:val="20"/>
        </w:rPr>
        <w:t xml:space="preserve">Объект брачного договора - имущественные и алиментные права и обязанности супругов, тогда как предмет - это совокупность имущественных отношений, вопросы управления, распоряжения, раздела, выделения содержания, а также алиментные отношения. Отметим, что условия анализируемого договора могут относиться как к уже существующим правам и обязанностям, так и к правам и обязанностям на имущество, которое предположительно, то есть потенциально будет совместно приобретено супругами.</w:t>
      </w:r>
    </w:p>
    <w:p>
      <w:pPr>
        <w:pStyle w:val="0"/>
        <w:spacing w:before="200" w:line-rule="auto"/>
        <w:ind w:firstLine="540"/>
        <w:jc w:val="both"/>
      </w:pPr>
      <w:r>
        <w:rPr>
          <w:sz w:val="20"/>
        </w:rPr>
        <w:t xml:space="preserve">В договоре права и обязанности супругов могут быть ограничены сроками, а также поставлены в зависимость от личных условий (</w:t>
      </w:r>
      <w:hyperlink w:history="0" r:id="rId16">
        <w:r>
          <w:rPr>
            <w:sz w:val="20"/>
            <w:color w:val="0000ff"/>
          </w:rPr>
          <w:t xml:space="preserve">п. 2 ст. 42</w:t>
        </w:r>
      </w:hyperlink>
      <w:r>
        <w:rPr>
          <w:sz w:val="20"/>
        </w:rPr>
        <w:t xml:space="preserve"> СК РФ). Указание личных обстоятельств как условий договорного регулирования имущественных отношений допускается в литературе. Предполагается, что цель внесения такого рода обстоятельств в договор состоит в "воздействии на имущественную сферу" одного из супругов &lt;12&gt;.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&lt;12&gt; Струцкая И.Н. Указ. соч.</w:t>
      </w:r>
    </w:p>
    <w:p>
      <w:pPr>
        <w:pStyle w:val="0"/>
        <w:jc w:val="both"/>
      </w:pPr>
      <w:r>
        <w:rPr>
          <w:sz w:val="20"/>
        </w:rPr>
      </w:r>
    </w:p>
    <w:p>
      <w:pPr>
        <w:pStyle w:val="0"/>
        <w:ind w:firstLine="540"/>
        <w:jc w:val="both"/>
      </w:pPr>
      <w:r>
        <w:rPr>
          <w:sz w:val="20"/>
        </w:rPr>
        <w:t xml:space="preserve">Брачный договор, как и иные договоры, может быть заключен под отлагательным или отменительным условием, когда право супруга на какое-то имущество (содержание) будет возникать лишь в определенных договором случаях. Также в договоре может быть предусмотрено прекращение какой-либо обязанности супруга, в частности, по причине ненадлежащего поведения одного из супругов. Договор может предусматривать и смену режима собственности супругов по личным условиям.</w:t>
      </w:r>
    </w:p>
    <w:p>
      <w:pPr>
        <w:pStyle w:val="0"/>
        <w:spacing w:before="200" w:line-rule="auto"/>
        <w:ind w:firstLine="540"/>
        <w:jc w:val="both"/>
      </w:pPr>
      <w:r>
        <w:rPr>
          <w:sz w:val="20"/>
        </w:rPr>
        <w:t xml:space="preserve">Анализируемый договор позволяет менять режим совместной собственности супругов. В литературе правовая природа такого изменения - предмет дискуссии между сторонниками гражданско-правовой основы (</w:t>
      </w:r>
      <w:hyperlink w:history="0" r:id="rId17">
        <w:r>
          <w:rPr>
            <w:sz w:val="20"/>
            <w:color w:val="0000ff"/>
          </w:rPr>
          <w:t xml:space="preserve">ст. 256</w:t>
        </w:r>
      </w:hyperlink>
      <w:r>
        <w:rPr>
          <w:sz w:val="20"/>
        </w:rPr>
        <w:t xml:space="preserve"> ГК РФ) &lt;13&gt; и исключительно семейно-правовой основы таких отношений (</w:t>
      </w:r>
      <w:hyperlink w:history="0" r:id="rId18">
        <w:r>
          <w:rPr>
            <w:sz w:val="20"/>
            <w:color w:val="0000ff"/>
          </w:rPr>
          <w:t xml:space="preserve">ст. 4</w:t>
        </w:r>
      </w:hyperlink>
      <w:r>
        <w:rPr>
          <w:sz w:val="20"/>
        </w:rPr>
        <w:t xml:space="preserve"> СК РФ), где возможность становления режима совместной собственности на имущество супругов определена </w:t>
      </w:r>
      <w:hyperlink w:history="0" r:id="rId19">
        <w:r>
          <w:rPr>
            <w:sz w:val="20"/>
            <w:color w:val="0000ff"/>
          </w:rPr>
          <w:t xml:space="preserve">п. 1 ст. 42</w:t>
        </w:r>
      </w:hyperlink>
      <w:r>
        <w:rPr>
          <w:sz w:val="20"/>
        </w:rPr>
        <w:t xml:space="preserve"> СК РФ &lt;14&gt;. В нотариальной практике удостоверяются брачные договоры, предусматривающие изменение правового режима имущества супругов, нажитого как в период брака, так и до его регистрации супругами по отдельности.</w:t>
      </w:r>
    </w:p>
    <w:p>
      <w:pPr>
        <w:pStyle w:val="0"/>
        <w:spacing w:before="200" w:line-rule="auto"/>
        <w:ind w:firstLine="540"/>
        <w:jc w:val="both"/>
      </w:pPr>
      <w:r>
        <w:rPr>
          <w:sz w:val="20"/>
        </w:rPr>
        <w:t xml:space="preserve">--------------------------------</w:t>
      </w:r>
    </w:p>
    <w:p>
      <w:pPr>
        <w:spacing w:before="0"/>
        <w:spacing w:after="1"/>
      </w:pPr>
    </w:p>
    <w:tbl>
      <w:tblPr>
        <w:jc w:val="center"/>
        <w:tblInd w:w="0" w:type="dxa"/>
        <w:tblW w:w="10207" w:type="dxa"/>
        <w:tblBorders>
          <w:top w:val="nil"/>
          <w:left w:val="single" w:sz="24" w:color="ced3f1"/>
          <w:bottom w:val="nil"/>
          <w:right w:val="single" w:sz="24" w:color="f4f3f8"/>
          <w:insideV w:val="nil"/>
          <w:insideH w:val="nil"/>
        </w:tblBorders>
        <w:tblCellMar>
          <w:top w:w="113" w:type="dxa"/>
          <w:left w:w="113" w:type="dxa"/>
          <w:bottom w:w="113" w:type="dxa"/>
          <w:right w:w="113" w:type="dxa"/>
        </w:tblCellMar>
      </w:tblPr>
      <w:tblGrid>
        <w:gridCol w:w="10147" w:type="dxa"/>
      </w:tblGrid>
      <w:tr>
        <w:tblPrEx>
          <w:tblBorders>
            <w:top w:val="nil"/>
            <w:left w:val="single" w:sz="24" w:color="ced3f1"/>
            <w:bottom w:val="nil"/>
            <w:right w:val="single" w:sz="24" w:color="f4f3f8"/>
            <w:insideV w:val="nil"/>
            <w:insideH w:val="nil"/>
          </w:tblBorders>
          <w:tblCellMar>
            <w:top w:w="113" w:type="dxa"/>
            <w:left w:w="113" w:type="dxa"/>
            <w:bottom w:w="113" w:type="dxa"/>
            <w:right w:w="113" w:type="dxa"/>
          </w:tblCellMar>
        </w:tblPrEx>
        <w:tc>
          <w:tcPr>
            <w:tcW w:w="10147" w:type="dxa"/>
            <w:shd w:val="clear" w:fill="f4f3f8"/>
            <w:tcBorders>
              <w:top w:val="nil"/>
              <w:left w:val="single" w:sz="24" w:color="ced3f1"/>
              <w:bottom w:val="nil"/>
              <w:right w:val="single" w:sz="24" w:color="f4f3f8"/>
            </w:tcBorders>
          </w:tcPr>
          <w:p>
            <w:pPr>
              <w:pStyle w:val="0"/>
              <w:jc w:val="both"/>
            </w:pPr>
            <w:r>
              <w:rPr>
                <w:sz w:val="20"/>
                <w:color w:val="392c69"/>
              </w:rPr>
              <w:t xml:space="preserve">КонсультантПлюс: примечание.</w:t>
            </w:r>
          </w:p>
          <w:p>
            <w:pPr>
              <w:pStyle w:val="0"/>
              <w:jc w:val="both"/>
            </w:pPr>
            <w:hyperlink w:history="0" r:id="rId20">
              <w:r>
                <w:rPr>
                  <w:sz w:val="20"/>
                  <w:color w:val="0000ff"/>
                </w:rPr>
                <w:t xml:space="preserve">Монография</w:t>
              </w:r>
            </w:hyperlink>
            <w:r>
              <w:rPr>
                <w:sz w:val="20"/>
                <w:color w:val="392c69"/>
              </w:rPr>
              <w:t xml:space="preserve"> Т.И. Зайцевой "Настольная книга нотариуса: В 4 т. Семейное и наследственное право в нотариальной практике" (том 3), (3-е издание, переработанное и дополненное) под ред. И.Г. Медведева включена в информационный банк согласно публикации - "Статут", 2015.</w:t>
            </w:r>
          </w:p>
        </w:tc>
      </w:tr>
    </w:tbl>
    <w:p>
      <w:pPr>
        <w:pStyle w:val="0"/>
        <w:spacing w:before="260" w:line-rule="auto"/>
        <w:ind w:firstLine="540"/>
        <w:jc w:val="both"/>
      </w:pPr>
      <w:r>
        <w:rPr>
          <w:sz w:val="20"/>
        </w:rPr>
        <w:t xml:space="preserve">&lt;13&gt; Зайцева Т.И. Семейное право в нотариальной практике // Настольная книга нотариуса. Т. II: Учеб.-метод. пособие. 2-е изд., испр. и доп. М.: БЕК, 2003. С. 138 - 139.</w:t>
      </w:r>
    </w:p>
    <w:p>
      <w:pPr>
        <w:pStyle w:val="0"/>
        <w:spacing w:before="200" w:line-rule="auto"/>
        <w:ind w:firstLine="540"/>
        <w:jc w:val="both"/>
      </w:pPr>
      <w:r>
        <w:rPr>
          <w:sz w:val="20"/>
        </w:rPr>
        <w:t xml:space="preserve">&lt;14&gt; Бакуменко А.А. Брачный договор: теоретические аспекты // Вестник СПб. ун-та МВД. 2010. N 4. С. 83.</w:t>
      </w:r>
    </w:p>
    <w:p>
      <w:pPr>
        <w:pStyle w:val="0"/>
        <w:jc w:val="both"/>
      </w:pPr>
      <w:r>
        <w:rPr>
          <w:sz w:val="20"/>
        </w:rPr>
      </w:r>
    </w:p>
    <w:p>
      <w:pPr>
        <w:pStyle w:val="0"/>
        <w:ind w:firstLine="540"/>
        <w:jc w:val="both"/>
      </w:pPr>
      <w:r>
        <w:rPr>
          <w:sz w:val="20"/>
        </w:rPr>
        <w:t xml:space="preserve">В вопросах раздела имущества (</w:t>
      </w:r>
      <w:hyperlink w:history="0" r:id="rId21">
        <w:r>
          <w:rPr>
            <w:sz w:val="20"/>
            <w:color w:val="0000ff"/>
          </w:rPr>
          <w:t xml:space="preserve">ст. 38</w:t>
        </w:r>
      </w:hyperlink>
      <w:r>
        <w:rPr>
          <w:sz w:val="20"/>
        </w:rPr>
        <w:t xml:space="preserve"> СК РФ) субъектами брачного договора становятся исключительно супруги (в том числе и бывшие). В данном случае целью договора является определение прав и обязанностей супругов, связанное со сменой режима их собственности &lt;15&gt;. Соглашение о разделе совместного имущества супругов прекращает действие режима общей собственности в части наличного совместно нажитого имущества. Таким образом, в брачном договоре может быть определена судьба имущества как наличного, так и потенциально приобретенного. В связи с этим соглашение о разделе имущества ретроспективно, тогда как брачный договор, наоборот, перспективен &lt;16&gt;.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&lt;15&gt; Звенигородская К.В. Договор супругов о разделе имущества: проблемы теории и практики // Ленинградский юридический журнал. 2008. N 4. С. 21.</w:t>
      </w:r>
    </w:p>
    <w:p>
      <w:pPr>
        <w:pStyle w:val="0"/>
        <w:spacing w:before="200" w:line-rule="auto"/>
        <w:ind w:firstLine="540"/>
        <w:jc w:val="both"/>
      </w:pPr>
      <w:r>
        <w:rPr>
          <w:sz w:val="20"/>
        </w:rPr>
        <w:t xml:space="preserve">&lt;16&gt; Максимович Л.Б. Брачный договор в Российском праве: Автореф. дис. ... канд. юрид. наук. М., 2002. С. 11.</w:t>
      </w:r>
    </w:p>
    <w:p>
      <w:pPr>
        <w:pStyle w:val="0"/>
        <w:jc w:val="both"/>
      </w:pPr>
      <w:r>
        <w:rPr>
          <w:sz w:val="20"/>
        </w:rPr>
      </w:r>
    </w:p>
    <w:p>
      <w:pPr>
        <w:pStyle w:val="0"/>
        <w:ind w:firstLine="540"/>
        <w:jc w:val="both"/>
      </w:pPr>
      <w:r>
        <w:rPr>
          <w:sz w:val="20"/>
        </w:rPr>
        <w:t xml:space="preserve">В силу сложившейся практики предмет брачного договора - это чаще всего алиментные отношения и содержание. В то же время брачный договор не является исполнительным листом, что разграничивает его от алиментного соглашения (</w:t>
      </w:r>
      <w:hyperlink w:history="0" r:id="rId22">
        <w:r>
          <w:rPr>
            <w:sz w:val="20"/>
            <w:color w:val="0000ff"/>
          </w:rPr>
          <w:t xml:space="preserve">п. 2 ст. 100</w:t>
        </w:r>
      </w:hyperlink>
      <w:r>
        <w:rPr>
          <w:sz w:val="20"/>
        </w:rPr>
        <w:t xml:space="preserve"> СК РФ), которое, так же как и брачный договор, должно быть нотариально удостоверено (</w:t>
      </w:r>
      <w:hyperlink w:history="0" r:id="rId23">
        <w:r>
          <w:rPr>
            <w:sz w:val="20"/>
            <w:color w:val="0000ff"/>
          </w:rPr>
          <w:t xml:space="preserve">п. 1 ст. 100</w:t>
        </w:r>
      </w:hyperlink>
      <w:r>
        <w:rPr>
          <w:sz w:val="20"/>
        </w:rPr>
        <w:t xml:space="preserve"> СК РФ). В соответствии с </w:t>
      </w:r>
      <w:hyperlink w:history="0" r:id="rId24">
        <w:r>
          <w:rPr>
            <w:sz w:val="20"/>
            <w:color w:val="0000ff"/>
          </w:rPr>
          <w:t xml:space="preserve">п. 3 ст. 42</w:t>
        </w:r>
      </w:hyperlink>
      <w:r>
        <w:rPr>
          <w:sz w:val="20"/>
        </w:rPr>
        <w:t xml:space="preserve"> СК РФ брачный договор не регулирует права и обязанности супругов, касающиеся их детей. Супруги в соответствии с </w:t>
      </w:r>
      <w:hyperlink w:history="0" r:id="rId25">
        <w:r>
          <w:rPr>
            <w:sz w:val="20"/>
            <w:color w:val="0000ff"/>
          </w:rPr>
          <w:t xml:space="preserve">п. 1 ст. 42</w:t>
        </w:r>
      </w:hyperlink>
      <w:r>
        <w:rPr>
          <w:sz w:val="20"/>
        </w:rPr>
        <w:t xml:space="preserve"> СК РФ вправе лишь определить в своем договоре общий и специальный порядок несения семейных расходов каждым из них. В данном случае может быть определен объем денежных средств, выделяемых каждым из супругов, а возможно, одним из них, на семейные нужды.</w:t>
      </w:r>
    </w:p>
    <w:p>
      <w:pPr>
        <w:pStyle w:val="0"/>
        <w:spacing w:before="200" w:line-rule="auto"/>
        <w:ind w:firstLine="540"/>
        <w:jc w:val="both"/>
      </w:pPr>
      <w:r>
        <w:rPr>
          <w:sz w:val="20"/>
        </w:rPr>
        <w:t xml:space="preserve">В общем понимании правовая природа брачного договора представляет собой его принадлежность к определенному элементу системы права. В этом смысле он прежде всего рассматривается как институт семейного права. В то же время, определяя правовую природу брачного договора, нельзя не выделить его комплексный характер как института семейного и гражданского права, определить имущественные права и обязанности и минимизировать семейные имущественные споры. Данное понимание соответствует определению правовой природы, данному С.С. Алексеевым, как юридической характеристики определенного явления, выражающей его специфику. Именно ярко выраженная специфика (субъектный состав: супруги или лица, вступающие в брак, предмет - имущественные правоотношения, содержание - их изменение) не только определяет природу брачного договора, но и выделяет его из всех прочих гражданско-правовых институтов.</w:t>
      </w:r>
    </w:p>
    <w:p>
      <w:pPr>
        <w:pStyle w:val="0"/>
        <w:jc w:val="both"/>
      </w:pPr>
      <w:r>
        <w:rPr>
          <w:sz w:val="20"/>
        </w:rPr>
      </w:r>
    </w:p>
    <w:p>
      <w:pPr>
        <w:pStyle w:val="0"/>
        <w:jc w:val="center"/>
      </w:pPr>
      <w:r>
        <w:rPr>
          <w:sz w:val="20"/>
        </w:rPr>
        <w:t xml:space="preserve">Литература</w:t>
      </w:r>
    </w:p>
    <w:p>
      <w:pPr>
        <w:pStyle w:val="0"/>
        <w:jc w:val="both"/>
      </w:pPr>
      <w:r>
        <w:rPr>
          <w:sz w:val="20"/>
        </w:rPr>
      </w:r>
    </w:p>
    <w:p>
      <w:pPr>
        <w:pStyle w:val="0"/>
        <w:ind w:firstLine="540"/>
        <w:jc w:val="both"/>
      </w:pPr>
      <w:r>
        <w:rPr>
          <w:sz w:val="20"/>
        </w:rPr>
        <w:t xml:space="preserve">1. Алексеев С.С. Общие дозволения и общие запреты в советском праве / С.С. Алексеев. М.: Юридическая литература, 1989. 288 с.</w:t>
      </w:r>
    </w:p>
    <w:p>
      <w:pPr>
        <w:pStyle w:val="0"/>
        <w:spacing w:before="200" w:line-rule="auto"/>
        <w:ind w:firstLine="540"/>
        <w:jc w:val="both"/>
      </w:pPr>
      <w:r>
        <w:rPr>
          <w:sz w:val="20"/>
        </w:rPr>
        <w:t xml:space="preserve">2. Антропова И.Р. К вопросу о правовой природе брачного договора в современном семейном праве России / И.Р. Антропова // Вестник Удмуртского университета. Серия "Экономика и право". 2013. N 2. С. 113 - 118.</w:t>
      </w:r>
    </w:p>
    <w:p>
      <w:pPr>
        <w:pStyle w:val="0"/>
        <w:spacing w:before="200" w:line-rule="auto"/>
        <w:ind w:firstLine="540"/>
        <w:jc w:val="both"/>
      </w:pPr>
      <w:r>
        <w:rPr>
          <w:sz w:val="20"/>
        </w:rPr>
        <w:t xml:space="preserve">3. Бакуменко А.А. Брачный договор: теоретические аспекты / А.А. Бакуменко // Вестник СПб. ун-та МВД. 2010. N 4. С. 82 - 85.</w:t>
      </w:r>
    </w:p>
    <w:p>
      <w:pPr>
        <w:spacing w:before="0"/>
        <w:spacing w:after="1"/>
      </w:pPr>
    </w:p>
    <w:tbl>
      <w:tblPr>
        <w:jc w:val="center"/>
        <w:tblInd w:w="0" w:type="dxa"/>
        <w:tblW w:w="10207" w:type="dxa"/>
        <w:tblBorders>
          <w:top w:val="nil"/>
          <w:left w:val="single" w:sz="24" w:color="ced3f1"/>
          <w:bottom w:val="nil"/>
          <w:right w:val="single" w:sz="24" w:color="f4f3f8"/>
          <w:insideV w:val="nil"/>
          <w:insideH w:val="nil"/>
        </w:tblBorders>
        <w:tblCellMar>
          <w:top w:w="113" w:type="dxa"/>
          <w:left w:w="113" w:type="dxa"/>
          <w:bottom w:w="113" w:type="dxa"/>
          <w:right w:w="113" w:type="dxa"/>
        </w:tblCellMar>
      </w:tblPr>
      <w:tblGrid>
        <w:gridCol w:w="10147" w:type="dxa"/>
      </w:tblGrid>
      <w:tr>
        <w:tblPrEx>
          <w:tblBorders>
            <w:top w:val="nil"/>
            <w:left w:val="single" w:sz="24" w:color="ced3f1"/>
            <w:bottom w:val="nil"/>
            <w:right w:val="single" w:sz="24" w:color="f4f3f8"/>
            <w:insideV w:val="nil"/>
            <w:insideH w:val="nil"/>
          </w:tblBorders>
          <w:tblCellMar>
            <w:top w:w="113" w:type="dxa"/>
            <w:left w:w="113" w:type="dxa"/>
            <w:bottom w:w="113" w:type="dxa"/>
            <w:right w:w="113" w:type="dxa"/>
          </w:tblCellMar>
        </w:tblPrEx>
        <w:tc>
          <w:tcPr>
            <w:tcW w:w="10147" w:type="dxa"/>
            <w:shd w:val="clear" w:fill="f4f3f8"/>
            <w:tcBorders>
              <w:top w:val="nil"/>
              <w:left w:val="single" w:sz="24" w:color="ced3f1"/>
              <w:bottom w:val="nil"/>
              <w:right w:val="single" w:sz="24" w:color="f4f3f8"/>
            </w:tcBorders>
          </w:tcPr>
          <w:p>
            <w:pPr>
              <w:pStyle w:val="0"/>
              <w:jc w:val="both"/>
            </w:pPr>
            <w:r>
              <w:rPr>
                <w:sz w:val="20"/>
                <w:color w:val="392c69"/>
              </w:rPr>
              <w:t xml:space="preserve">КонсультантПлюс: примечание.</w:t>
            </w:r>
          </w:p>
          <w:p>
            <w:pPr>
              <w:pStyle w:val="0"/>
              <w:jc w:val="both"/>
            </w:pPr>
            <w:hyperlink w:history="0" r:id="rId26">
              <w:r>
                <w:rPr>
                  <w:sz w:val="20"/>
                  <w:color w:val="0000ff"/>
                </w:rPr>
                <w:t xml:space="preserve">Монография</w:t>
              </w:r>
            </w:hyperlink>
            <w:r>
              <w:rPr>
                <w:sz w:val="20"/>
                <w:color w:val="392c69"/>
              </w:rPr>
              <w:t xml:space="preserve"> М.И. Брагинского, В.В. Витрянского "Договорное право. Общие положения" (книга 1) включена в информационный банк согласно публикации - Статут, 2001 (3-е издание, стереотипное).</w:t>
            </w:r>
          </w:p>
        </w:tc>
      </w:tr>
    </w:tbl>
    <w:p>
      <w:pPr>
        <w:pStyle w:val="0"/>
        <w:spacing w:before="260" w:line-rule="auto"/>
        <w:ind w:firstLine="540"/>
        <w:jc w:val="both"/>
      </w:pPr>
      <w:r>
        <w:rPr>
          <w:sz w:val="20"/>
        </w:rPr>
        <w:t xml:space="preserve">4. Брагинский М.И. Договорное право. Общие положения / М.И. Брагинский, В.В. Витрянский. М.: Статут, 1997. 682 с.</w:t>
      </w:r>
    </w:p>
    <w:p>
      <w:pPr>
        <w:pStyle w:val="0"/>
        <w:spacing w:before="200" w:line-rule="auto"/>
        <w:ind w:firstLine="540"/>
        <w:jc w:val="both"/>
      </w:pPr>
      <w:r>
        <w:rPr>
          <w:sz w:val="20"/>
        </w:rPr>
        <w:t xml:space="preserve">5. Ворожейкин Е.М. Семейные правоотношения в СССР / Е.М. Ворожейкин. М.: Юридическая литература, 1974. 336 с.</w:t>
      </w:r>
    </w:p>
    <w:p>
      <w:pPr>
        <w:spacing w:before="0"/>
        <w:spacing w:after="1"/>
      </w:pPr>
    </w:p>
    <w:tbl>
      <w:tblPr>
        <w:jc w:val="center"/>
        <w:tblInd w:w="0" w:type="dxa"/>
        <w:tblW w:w="10207" w:type="dxa"/>
        <w:tblBorders>
          <w:top w:val="nil"/>
          <w:left w:val="single" w:sz="24" w:color="ced3f1"/>
          <w:bottom w:val="nil"/>
          <w:right w:val="single" w:sz="24" w:color="f4f3f8"/>
          <w:insideV w:val="nil"/>
          <w:insideH w:val="nil"/>
        </w:tblBorders>
        <w:tblCellMar>
          <w:top w:w="113" w:type="dxa"/>
          <w:left w:w="113" w:type="dxa"/>
          <w:bottom w:w="113" w:type="dxa"/>
          <w:right w:w="113" w:type="dxa"/>
        </w:tblCellMar>
      </w:tblPr>
      <w:tblGrid>
        <w:gridCol w:w="10147" w:type="dxa"/>
      </w:tblGrid>
      <w:tr>
        <w:tblPrEx>
          <w:tblBorders>
            <w:top w:val="nil"/>
            <w:left w:val="single" w:sz="24" w:color="ced3f1"/>
            <w:bottom w:val="nil"/>
            <w:right w:val="single" w:sz="24" w:color="f4f3f8"/>
            <w:insideV w:val="nil"/>
            <w:insideH w:val="nil"/>
          </w:tblBorders>
          <w:tblCellMar>
            <w:top w:w="113" w:type="dxa"/>
            <w:left w:w="113" w:type="dxa"/>
            <w:bottom w:w="113" w:type="dxa"/>
            <w:right w:w="113" w:type="dxa"/>
          </w:tblCellMar>
        </w:tblPrEx>
        <w:tc>
          <w:tcPr>
            <w:tcW w:w="10147" w:type="dxa"/>
            <w:shd w:val="clear" w:fill="f4f3f8"/>
            <w:tcBorders>
              <w:top w:val="nil"/>
              <w:left w:val="single" w:sz="24" w:color="ced3f1"/>
              <w:bottom w:val="nil"/>
              <w:right w:val="single" w:sz="24" w:color="f4f3f8"/>
            </w:tcBorders>
          </w:tcPr>
          <w:p>
            <w:pPr>
              <w:pStyle w:val="0"/>
              <w:jc w:val="both"/>
            </w:pPr>
            <w:r>
              <w:rPr>
                <w:sz w:val="20"/>
                <w:color w:val="392c69"/>
              </w:rPr>
              <w:t xml:space="preserve">КонсультантПлюс: примечание.</w:t>
            </w:r>
          </w:p>
          <w:p>
            <w:pPr>
              <w:pStyle w:val="0"/>
              <w:jc w:val="both"/>
            </w:pPr>
            <w:hyperlink w:history="0" r:id="rId27">
              <w:r>
                <w:rPr>
                  <w:sz w:val="20"/>
                  <w:color w:val="0000ff"/>
                </w:rPr>
                <w:t xml:space="preserve">Монография</w:t>
              </w:r>
            </w:hyperlink>
            <w:r>
              <w:rPr>
                <w:sz w:val="20"/>
                <w:color w:val="392c69"/>
              </w:rPr>
              <w:t xml:space="preserve"> Т.И. Зайцевой "Настольная книга нотариуса: В 4 т. Семейное и наследственное право в нотариальной практике" (том 3), (3-е издание, переработанное и дополненное) под ред. И.Г. Медведева включена в информационный банк согласно публикации - "Статут", 2015.</w:t>
            </w:r>
          </w:p>
        </w:tc>
      </w:tr>
    </w:tbl>
    <w:p>
      <w:pPr>
        <w:pStyle w:val="0"/>
        <w:spacing w:before="260" w:line-rule="auto"/>
        <w:ind w:firstLine="540"/>
        <w:jc w:val="both"/>
      </w:pPr>
      <w:r>
        <w:rPr>
          <w:sz w:val="20"/>
        </w:rPr>
        <w:t xml:space="preserve">6. Зайцева Т.И. Семейное право в нотариальной практике / Т.И. Зайцева // Настольная книга нотариуса. Т. II: Учеб.-метод. пособие. 2-е изд., испр. и доп. М.: БЕК, 2003. 297 с.</w:t>
      </w:r>
    </w:p>
    <w:p>
      <w:pPr>
        <w:pStyle w:val="0"/>
        <w:spacing w:before="200" w:line-rule="auto"/>
        <w:ind w:firstLine="540"/>
        <w:jc w:val="both"/>
      </w:pPr>
      <w:r>
        <w:rPr>
          <w:sz w:val="20"/>
        </w:rPr>
        <w:t xml:space="preserve">7. Звенигородская К.В. Договор супругов о разделе имущества: проблемы теории и практики / К.В. Звенигородская // Ленинградский юридический журнал. 2008. N 4. С. 20 - 23.</w:t>
      </w:r>
    </w:p>
    <w:p>
      <w:pPr>
        <w:pStyle w:val="0"/>
        <w:spacing w:before="200" w:line-rule="auto"/>
        <w:ind w:firstLine="540"/>
        <w:jc w:val="both"/>
      </w:pPr>
      <w:r>
        <w:rPr>
          <w:sz w:val="20"/>
        </w:rPr>
        <w:t xml:space="preserve">8. Максимович Л.Б. Брачный договор в Российском праве: Автореф. дис. ... канд. юрид. наук / Л.Б. Максимович. М., 2002. 24 с.</w:t>
      </w:r>
    </w:p>
    <w:p>
      <w:pPr>
        <w:pStyle w:val="0"/>
        <w:spacing w:before="200" w:line-rule="auto"/>
        <w:ind w:firstLine="540"/>
        <w:jc w:val="both"/>
      </w:pPr>
      <w:r>
        <w:rPr>
          <w:sz w:val="20"/>
        </w:rPr>
        <w:t xml:space="preserve">9. Сосипатрова Н.Е. Брачный договор: правовая природа, содержание, прекращение / Н.Е. Сосипатрова // Государство и право. 1999. N 3. С. 76 - 81.</w:t>
      </w:r>
    </w:p>
    <w:p>
      <w:pPr>
        <w:pStyle w:val="0"/>
        <w:spacing w:before="200" w:line-rule="auto"/>
        <w:ind w:firstLine="540"/>
        <w:jc w:val="both"/>
      </w:pPr>
      <w:r>
        <w:rPr>
          <w:sz w:val="20"/>
        </w:rPr>
        <w:t xml:space="preserve">10. Струцкая И.Н. Брачный договор в российском законодательстве / И.Н. Струцкая // Нотариальный вестник. 2010. N 11. С. 12 - 17.</w:t>
      </w:r>
    </w:p>
    <w:p>
      <w:pPr>
        <w:pStyle w:val="0"/>
        <w:spacing w:before="200" w:line-rule="auto"/>
        <w:ind w:firstLine="540"/>
        <w:jc w:val="both"/>
      </w:pPr>
      <w:r>
        <w:rPr>
          <w:sz w:val="20"/>
        </w:rPr>
        <w:t xml:space="preserve">11. Федорова О.А. Субъекты брачного договора / О.А. Федорова // Нотариальный вестник. 2006. N 11. С. 148 - 166.</w:t>
      </w:r>
    </w:p>
    <w:p>
      <w:pPr>
        <w:pStyle w:val="0"/>
        <w:spacing w:before="200" w:line-rule="auto"/>
        <w:ind w:firstLine="540"/>
        <w:jc w:val="both"/>
      </w:pPr>
      <w:r>
        <w:rPr>
          <w:sz w:val="20"/>
        </w:rPr>
        <w:t xml:space="preserve">12. Чигрина Е.В. "Фактические браки": признать или игнорировать? / Е.В. Чигрина // Вопросы правоведения. 2011. N 2. С. 210 - 220.</w:t>
      </w:r>
    </w:p>
    <w:p>
      <w:pPr>
        <w:pStyle w:val="0"/>
        <w:spacing w:before="200" w:line-rule="auto"/>
        <w:ind w:firstLine="540"/>
        <w:jc w:val="both"/>
      </w:pPr>
      <w:r>
        <w:rPr>
          <w:sz w:val="20"/>
        </w:rPr>
        <w:t xml:space="preserve">13. Щербина Г.А. Она в "браке", он - свободен от него или О фактическом браке / Г.А. Щербина // Вестник Ессентукского института управления, бизнеса и права. 2016. N 13. С. 81 - 84.</w:t>
      </w:r>
    </w:p>
    <w:p>
      <w:pPr>
        <w:pStyle w:val="0"/>
        <w:jc w:val="both"/>
      </w:pPr>
      <w:r>
        <w:rPr>
          <w:sz w:val="20"/>
        </w:rPr>
      </w:r>
    </w:p>
    <w:p>
      <w:pPr>
        <w:pStyle w:val="0"/>
        <w:jc w:val="both"/>
      </w:pPr>
      <w:r>
        <w:rPr>
          <w:sz w:val="20"/>
        </w:rPr>
      </w:r>
    </w:p>
    <w:p>
      <w:pPr>
        <w:pStyle w:val="0"/>
        <w:jc w:val="both"/>
        <w:pBdr>
          <w:bottom w:val="single" w:sz="6" w:space="0" w:color="auto"/>
        </w:pBdr>
        <w:spacing w:before="100" w:after="100"/>
        <w:rPr>
          <w:sz w:val="2"/>
          <w:szCs w:val="2"/>
        </w:rPr>
      </w:pPr>
    </w:p>
    <w:sectPr>
      <w:headerReference w:type="odd" r:id="rId2"/>
      <w:headerReference w:type="first" r:id="rId3"/>
      <w:footerReference w:type="odd" r:id="rId5"/>
      <w:footerReference w:type="first" r:id="rId5"/>
      <w:pgSz w:w="11906" w:h="16838"/>
      <w:pgMar w:top="1440" w:right="566" w:bottom="1440" w:left="1133" w:header="0pt" w:footer="0pt" w:gutter="0pt"/>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100.0%" w:type="pct"/>
      <w:tblInd w:w="0" w:type="dxa"/>
      <w:tblLayout w:type="fixed"/>
      <w:tblCellMar>
        <w:start w:w="2pt" w:type="dxa"/>
        <w:end w:w="2pt" w:type="dxa"/>
      </w:tblCellMar>
      <w:tblLook w:firstRow="0" w:lastRow="0" w:firstColumn="0" w:lastColumn="0" w:noHBand="0" w:noVBand="0"/>
    </w:tblPr>
    <w:tblGrid>
      <w:gridCol w:w="1"/>
      <w:gridCol w:w="1"/>
      <w:gridCol w:w="1"/>
    </w:tblGrid>
    <w:tr>
      <w:trPr>
        <w:trHeight w:hRule="exact" w:val="1663"/>
      </w:trPr>
      <w:tc>
        <w:tcPr>
          <w:tcW w:w="34.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32.0%" w:type="pct"/>
          <w:vAlign w:val="center"/>
        </w:tcPr>
        <w:p>
          <w:pPr>
            <w:jc w:val="center"/>
          </w:pPr>
          <w:hyperlink r:id="rId1" w:history="0">
            <w:r>
              <w:rPr>
                <w:rFonts w:ascii="Tahoma" w:hAnsi="Tahoma" w:cs="Tahoma"/>
                <w:b/>
                <w:color w:val="0000FF"/>
              </w:rPr>
              <w:t>www.consultant.ru</w:t>
            </w:r>
          </w:hyperlink>
        </w:p>
      </w:tc>
      <w:tc>
        <w:tcPr>
          <w:tcW w:w="34.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start w:w="2pt" w:type="dxa"/>
        <w:end w:w="2pt"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Статья: Правовая природа брачного договора</w:t>
            <w:br/>
            <w:t>(Степкин С.П.)</w:t>
            <w:br/>
            <w:t>("Семейное и жилищное право", 2018, N 2)</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30.01.2022</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start w:w="2pt" w:type="dxa"/>
        <w:end w:w="2pt" w:type="dxa"/>
      </w:tblCellMar>
    </w:tblPr>
    <w:tblGrid>
      <w:gridCol w:w="1"/>
      <w:gridCol w:w="1"/>
    </w:tblGrid>
    <w:tr>
      <w:trPr>
        <w:trHeight w:hRule="exact" w:val="1683"/>
      </w:trPr>
      <w:tc>
        <w:tcPr>
          <w:tcW w:w="2700" w:type="pct"/>
          <w:vAlign w:val="center"/>
        </w:tcPr>
        <w:p>
          <w:pPr>
            <w:rPr>
              <w:rFonts w:ascii="Tahoma" w:hAnsi="Tahoma" w:cs="Tahoma"/>
            </w:rPr>
          </w:pPr>
          <w:r>
            <w:drawing>
              <wp:inline>
                <wp:extent cx="1910715" cy="445770"/>
                <wp:docPr id="1" name="Консультант Плюс"/>
                <a:graphic xmlns:a="http://purl.oclc.org/ooxml/drawingml/main">
                  <a:graphicData uri="http://purl.oclc.org/ooxml/drawingml/picture">
                    <pic:pic xmlns:pic="http://purl.oclc.org/ooxml/drawingml/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1910715" cy="445770"/>
                        </a:xfrm>
                        <a:prstGeom prst="rect">
                          <a:avLst/>
                        </a:prstGeom>
                        <a:noFill/>
                        <a:ln>
                          <a:noFill/>
                        </a:ln>
                      </pic:spPr>
                    </pic:pic>
                  </a:graphicData>
                </a:graphic>
              </wp:inline>
            </w:drawing>
          </w:r>
          <w:r>
            <w:rPr>
              <w:rFonts w:ascii="Tahoma" w:hAnsi="Tahoma" w:cs="Tahoma"/>
              <w:sz w:val="18"/>
              <w:szCs w:val="18"/>
            </w:rPr>
            <w:br/>
          </w:r>
          <w:r>
            <w:rPr>
              <w:rFonts w:ascii="Tahoma" w:hAnsi="Tahoma" w:cs="Tahoma"/>
              <w:sz w:val="16"/>
              <w:szCs w:val="16"/>
            </w:rPr>
            <w:t>Статья: Правовая природа брачного договора (Степкин С.П.) ("Семейное и жилищное право", 2018, N 2)</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30.01.2022</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0"/>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purl.oclc.org/ooxml/officeDocument/relationships/header" Target="header1.xml"/>
	<Relationship Id="rId3" Type="http://purl.oclc.org/ooxml/officeDocument/relationships/header" Target="header2.xml"/>
	<Relationship Id="rId4" Type="http://schemas.openxmlformats.org/officeDocument/2006/relationships/image" Target="media/image1.png"/>
	<Relationship Id="rId5" Type="http://purl.oclc.org/ooxml/officeDocument/relationships/footer" Target="footer1.xml"/>
	<Relationship Id="rId6" Type="http://purl.oclc.org/ooxml/officeDocument/relationships/hyperlink" Target="consultantplus://offline/ref=C470A5FDF9199DE31D49C8FA0A4F76F862540ED3369EC79053658CDE019805479F5F334D72EE521BEBA99A1D5FdBt3M" TargetMode = "External"/>
	<Relationship Id="rId7" Type="http://purl.oclc.org/ooxml/officeDocument/relationships/hyperlink" Target="consultantplus://offline/ref=C470A5FDF9199DE31D49C7F61F4F76F8645C0ED43ACD9092023082DB09C84D57C31A664070E94810BEE6DC4850B284B37CA64F5F3CB3dBt6M" TargetMode = "External"/>
	<Relationship Id="rId8" Type="http://purl.oclc.org/ooxml/officeDocument/relationships/hyperlink" Target="consultantplus://offline/ref=C470A5FDF9199DE31D49C8FA0A4F76F862540ED3369EC79053658CDE019805478D5F6B4171EE4D13EFBCCC4C19E489AE7CB9515C22B3B4F7dBtCM" TargetMode = "External"/>
	<Relationship Id="rId9" Type="http://purl.oclc.org/ooxml/officeDocument/relationships/hyperlink" Target="consultantplus://offline/ref=C470A5FDF9199DE31D49C8FA0A4F76F862540ED3369EC79053658CDE019805478D5F6B4171EE4C1FE8BCCC4C19E489AE7CB9515C22B3B4F7dBtCM" TargetMode = "External"/>
	<Relationship Id="rId10" Type="http://purl.oclc.org/ooxml/officeDocument/relationships/hyperlink" Target="consultantplus://offline/ref=C470A5FDF9199DE31D49C8FA0A4F76F862540ED3369EC79053658CDE019805478D5F6B4171EE4C1EEFBCCC4C19E489AE7CB9515C22B3B4F7dBtCM" TargetMode = "External"/>
	<Relationship Id="rId11" Type="http://purl.oclc.org/ooxml/officeDocument/relationships/hyperlink" Target="consultantplus://offline/ref=C470A5FDF9199DE31D49C8FA0A4F76F862540ED3369EC79053658CDE019805478D5F6B4171EE4D13E2BCCC4C19E489AE7CB9515C22B3B4F7dBtCM" TargetMode = "External"/>
	<Relationship Id="rId12" Type="http://purl.oclc.org/ooxml/officeDocument/relationships/hyperlink" Target="consultantplus://offline/ref=C470A5FDF9199DE31D49C8FA0A4F76F862540ED3369EC79053658CDE019805478D5F6B4171EE4C1AE8BCCC4C19E489AE7CB9515C22B3B4F7dBtCM" TargetMode = "External"/>
	<Relationship Id="rId13" Type="http://purl.oclc.org/ooxml/officeDocument/relationships/hyperlink" Target="consultantplus://offline/ref=C470A5FDF9199DE31D49C8FA0A4F76F862540ED3369EC79053658CDE019805478D5F6B4171EE4C1FEEBCCC4C19E489AE7CB9515C22B3B4F7dBtCM" TargetMode = "External"/>
	<Relationship Id="rId14" Type="http://purl.oclc.org/ooxml/officeDocument/relationships/hyperlink" Target="consultantplus://offline/ref=C470A5FDF9199DE31D49C8FA0A4F76F862540ED3369EC79053658CDE019805478D5F6B4171EE4C1FEFBCCC4C19E489AE7CB9515C22B3B4F7dBtCM" TargetMode = "External"/>
	<Relationship Id="rId15" Type="http://purl.oclc.org/ooxml/officeDocument/relationships/hyperlink" Target="consultantplus://offline/ref=C470A5FDF9199DE31D49C8FA0A4F76F863580FD0399BC79053658CDE019805478D5F6B4171EE4C13EEBCCC4C19E489AE7CB9515C22B3B4F7dBtCM" TargetMode = "External"/>
	<Relationship Id="rId16" Type="http://purl.oclc.org/ooxml/officeDocument/relationships/hyperlink" Target="consultantplus://offline/ref=C470A5FDF9199DE31D49C8FA0A4F76F862540ED3369EC79053658CDE019805478D5F6B4171EE4D12EFBCCC4C19E489AE7CB9515C22B3B4F7dBtCM" TargetMode = "External"/>
	<Relationship Id="rId17" Type="http://purl.oclc.org/ooxml/officeDocument/relationships/hyperlink" Target="consultantplus://offline/ref=C470A5FDF9199DE31D49C8FA0A4F76F862540FD53198C79053658CDE019805478D5F6B4171EF4F1FE8BCCC4C19E489AE7CB9515C22B3B4F7dBtCM" TargetMode = "External"/>
	<Relationship Id="rId18" Type="http://purl.oclc.org/ooxml/officeDocument/relationships/hyperlink" Target="consultantplus://offline/ref=C470A5FDF9199DE31D49C8FA0A4F76F862540ED3369EC79053658CDE019805478D5F6B4171EE4C19EEBCCC4C19E489AE7CB9515C22B3B4F7dBtCM" TargetMode = "External"/>
	<Relationship Id="rId19" Type="http://purl.oclc.org/ooxml/officeDocument/relationships/hyperlink" Target="consultantplus://offline/ref=940D099C097D505CF6F0240F4297EA44CAFBFA5E2E51070CE24AAC71C7FF3B37AF5100749574704C931B953BD8294B62AFED28A5897F2534e5tAM" TargetMode = "External"/>
	<Relationship Id="rId20" Type="http://purl.oclc.org/ooxml/officeDocument/relationships/hyperlink" Target="consultantplus://offline/ref=940D099C097D505CF6F02B035797EA44C9FBFC5B2F5F5A06EA13A073C0F06420A8180C759574794D9A44902EC9714561B1F329BA957D27e3t4M" TargetMode = "External"/>
	<Relationship Id="rId21" Type="http://purl.oclc.org/ooxml/officeDocument/relationships/hyperlink" Target="consultantplus://offline/ref=940D099C097D505CF6F0240F4297EA44CAFBFA5E2E51070CE24AAC71C7FF3B37AF51007495747042911B953BD8294B62AFED28A5897F2534e5tAM" TargetMode = "External"/>
	<Relationship Id="rId22" Type="http://purl.oclc.org/ooxml/officeDocument/relationships/hyperlink" Target="consultantplus://offline/ref=940D099C097D505CF6F0240F4297EA44CAFBFA5E2E51070CE24AAC71C7FF3B37AF51007495747543941B953BD8294B62AFED28A5897F2534e5tAM" TargetMode = "External"/>
	<Relationship Id="rId23" Type="http://purl.oclc.org/ooxml/officeDocument/relationships/hyperlink" Target="consultantplus://offline/ref=940D099C097D505CF6F0240F4297EA44CAFBFA5E2E51070CE24AAC71C7FF3B37AF51007495747543921B953BD8294B62AFED28A5897F2534e5tAM" TargetMode = "External"/>
	<Relationship Id="rId24" Type="http://purl.oclc.org/ooxml/officeDocument/relationships/hyperlink" Target="consultantplus://offline/ref=940D099C097D505CF6F0240F4297EA44CAFBFA5E2E51070CE24AAC71C7FF3B37AF5100749574704C971B953BD8294B62AFED28A5897F2534e5tAM" TargetMode = "External"/>
	<Relationship Id="rId25" Type="http://purl.oclc.org/ooxml/officeDocument/relationships/hyperlink" Target="consultantplus://offline/ref=940D099C097D505CF6F0240F4297EA44CAFBFA5E2E51070CE24AAC71C7FF3B37AF5100749574704C931B953BD8294B62AFED28A5897F2534e5tAM" TargetMode = "External"/>
	<Relationship Id="rId26" Type="http://purl.oclc.org/ooxml/officeDocument/relationships/hyperlink" Target="consultantplus://offline/ref=940D099C097D505CF6F02B035797EA44CCF3FA592202500EB31FA274CFAF6127B9180E758B74705B9310C3e6t8M" TargetMode = "External"/>
	<Relationship Id="rId27" Type="http://purl.oclc.org/ooxml/officeDocument/relationships/hyperlink" Target="consultantplus://offline/ref=940D099C097D505CF6F02B035797EA44C9FBFC5B2F5F5A06EA13A073C0F06432A8400076956A71448F12C168e9tEM" TargetMode = "External"/>
</Relationships>
</file>

<file path=word/_rels/foot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word/_rels/header1.xml.rels>&#65279;<?xml version="1.0" encoding="UTF-8" standalone="yes"?>
<Relationships xmlns="http://schemas.openxmlformats.org/package/2006/relationships">
	<Relationship Id="rId1" Type="http://purl.oclc.org/ooxml/officeDocument/relationships/hyperlink" Target="http://www.consultant.ru" TargetMode = "External"/>
</Relationships>
</file>

<file path=word/_rels/header2.xml.rels>&#65279;<?xml version="1.0" encoding="UTF-8" standalone="yes"?>
<Relationships xmlns="http://schemas.openxmlformats.org/package/2006/relationships">
	<Relationship Id="rId1" Type="http://purl.oclc.org/ooxml/officeDocument/relationships/hyperlink" Target="http://www.consultant.ru" TargetMode = "External"/>
	<Relationship Id="rId2" Type="http://purl.oclc.org/ooxml/officeDocument/relationships/image" Target="media/image1.png"/>
</Relationships>
</file>

<file path=docProps/app.xml><?xml version="1.0" encoding="utf-8"?>
<Properties xmlns="http://schemas.openxmlformats.org/officeDocument/2006/extended-properties" xmlns:vt="http://schemas.openxmlformats.org/officeDocument/2006/docPropsVTypes">
  <Application>КонсультантПлюс Версия 4019.00.25</Application>
  <Company>КонсультантПлюс Версия 4019.00.25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Статья: Правовая природа брачного договора
(Степкин С.П.)
("Семейное и жилищное право", 2018, N 2)</dc:title>
  <dcterms:created xsi:type="dcterms:W3CDTF">2022-01-30T12:45:27Z</dcterms:created>
</cp:coreProperties>
</file>