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E9CA" w14:textId="77777777" w:rsidR="00575263" w:rsidRPr="007135EA" w:rsidRDefault="00575263" w:rsidP="00575263">
      <w:pPr>
        <w:pStyle w:val="1"/>
        <w:rPr>
          <w:lang w:val="ru-RU"/>
        </w:rPr>
      </w:pPr>
      <w:bookmarkStart w:id="0" w:name="X2585a4ca5ba02b9aca7d49689fa3dd2d5521a65"/>
      <w:bookmarkStart w:id="1" w:name="_Toc96265896"/>
      <w:r w:rsidRPr="007135EA">
        <w:rPr>
          <w:lang w:val="ru-RU"/>
        </w:rPr>
        <w:t>Иные формы устройства детей, оставшихся без попечения родителей</w:t>
      </w:r>
      <w:bookmarkEnd w:id="1"/>
    </w:p>
    <w:p w14:paraId="3F71C57F" w14:textId="77777777" w:rsidR="00575263" w:rsidRPr="007135EA" w:rsidRDefault="00575263" w:rsidP="00575263">
      <w:pPr>
        <w:pStyle w:val="2"/>
        <w:rPr>
          <w:lang w:val="ru-RU"/>
        </w:rPr>
      </w:pPr>
      <w:bookmarkStart w:id="2" w:name="X019e0f74c85fa993bc6150983f3e4cc4f85e0e4"/>
      <w:r w:rsidRPr="007135EA">
        <w:rPr>
          <w:lang w:val="ru-RU"/>
        </w:rPr>
        <w:t>Специализированные организации для детей-сирот и детей, оставшихся без попечения родителей</w:t>
      </w:r>
    </w:p>
    <w:p w14:paraId="0AB26E2F" w14:textId="77777777" w:rsidR="00575263" w:rsidRPr="007135EA" w:rsidRDefault="00575263" w:rsidP="00575263">
      <w:pPr>
        <w:pStyle w:val="a0"/>
        <w:rPr>
          <w:lang w:val="ru-RU"/>
        </w:rPr>
      </w:pPr>
      <w:r w:rsidRPr="007135EA">
        <w:rPr>
          <w:lang w:val="ru-RU"/>
        </w:rPr>
        <w:t>Еще одной формой устройства детей, оставшихся без попечения родителей, прямо предусмотренной федеральным законодательством, является устройство несовершеннолетних в специализированные организации для детей-сирот и детей, оставшихся без попечения родителей.</w:t>
      </w:r>
    </w:p>
    <w:p w14:paraId="7A39BAC4" w14:textId="77777777" w:rsidR="00575263" w:rsidRPr="007135EA" w:rsidRDefault="00575263" w:rsidP="00575263">
      <w:pPr>
        <w:pStyle w:val="a0"/>
        <w:rPr>
          <w:lang w:val="ru-RU"/>
        </w:rPr>
      </w:pPr>
      <w:r w:rsidRPr="007135EA">
        <w:rPr>
          <w:lang w:val="ru-RU"/>
        </w:rPr>
        <w:t>Устройством детей, оставшихся без попечения родителей, в организации для детей-сирот и детей, оставшихся без попечения родителей, осуществляется путем помещения таких детей под надзор в образовательные организации, медицинские организации, организации, оказывающие социальные услуги (ст. 155.1 СК РФ).</w:t>
      </w:r>
    </w:p>
    <w:p w14:paraId="13BEEC2A" w14:textId="77777777" w:rsidR="00575263" w:rsidRPr="007135EA" w:rsidRDefault="00575263" w:rsidP="00575263">
      <w:pPr>
        <w:pStyle w:val="a0"/>
        <w:rPr>
          <w:lang w:val="ru-RU"/>
        </w:rPr>
      </w:pPr>
      <w:r w:rsidRPr="007135EA">
        <w:rPr>
          <w:i/>
          <w:iCs/>
          <w:lang w:val="ru-RU"/>
        </w:rPr>
        <w:t>Цель устройства</w:t>
      </w:r>
      <w:r w:rsidRPr="007135EA">
        <w:rPr>
          <w:lang w:val="ru-RU"/>
        </w:rPr>
        <w:t xml:space="preserve"> ребенка в одну из таких организаций может быть двоякой:</w:t>
      </w:r>
    </w:p>
    <w:p w14:paraId="1E76BD95" w14:textId="77777777" w:rsidR="00575263" w:rsidRPr="007135EA" w:rsidRDefault="00575263" w:rsidP="00575263">
      <w:pPr>
        <w:pStyle w:val="Compact"/>
        <w:numPr>
          <w:ilvl w:val="0"/>
          <w:numId w:val="1"/>
        </w:numPr>
        <w:rPr>
          <w:lang w:val="ru-RU"/>
        </w:rPr>
      </w:pPr>
      <w:r w:rsidRPr="007135EA">
        <w:rPr>
          <w:lang w:val="ru-RU"/>
        </w:rPr>
        <w:t>получение медицинских, социальных, образовательных или иных услуг;</w:t>
      </w:r>
    </w:p>
    <w:p w14:paraId="4C53CB0E" w14:textId="77777777" w:rsidR="00575263" w:rsidRPr="007135EA" w:rsidRDefault="00575263" w:rsidP="00575263">
      <w:pPr>
        <w:pStyle w:val="Compact"/>
        <w:numPr>
          <w:ilvl w:val="0"/>
          <w:numId w:val="1"/>
        </w:numPr>
        <w:rPr>
          <w:lang w:val="ru-RU"/>
        </w:rPr>
      </w:pPr>
      <w:r w:rsidRPr="007135EA">
        <w:rPr>
          <w:lang w:val="ru-RU"/>
        </w:rPr>
        <w:t>обеспечение временного проживания ребенка в течение периода, когда родители, усыновители либо опекуны или попечители по уважительным причинам не могут исполнять свои обязанности в отношении ребенка</w:t>
      </w:r>
      <w:r>
        <w:rPr>
          <w:rStyle w:val="a7"/>
        </w:rPr>
        <w:footnoteReference w:id="1"/>
      </w:r>
      <w:r w:rsidRPr="007135EA">
        <w:rPr>
          <w:lang w:val="ru-RU"/>
        </w:rPr>
        <w:t>.</w:t>
      </w:r>
    </w:p>
    <w:p w14:paraId="45A1AE54" w14:textId="77777777" w:rsidR="00575263" w:rsidRPr="007135EA" w:rsidRDefault="00575263" w:rsidP="00575263">
      <w:pPr>
        <w:pStyle w:val="a0"/>
        <w:rPr>
          <w:lang w:val="ru-RU"/>
        </w:rPr>
      </w:pPr>
      <w:r w:rsidRPr="007135EA">
        <w:rPr>
          <w:lang w:val="ru-RU"/>
        </w:rPr>
        <w:t>Одним из важнейших условий (критериев) помещения детей в названные организации является их устройство в том же регионе (субъекте Федерации), в котором они проживали на момент выявления и постановки на учет органами опеки и попечительства. Данное требование позволяет в некоторой степени купировать неблагоприятные психологические последствия, которые могут возникнуть у ребенка, в связи с помещением в новую обстановку.</w:t>
      </w:r>
    </w:p>
    <w:p w14:paraId="66A9A8FA" w14:textId="77777777" w:rsidR="00575263" w:rsidRPr="007135EA" w:rsidRDefault="00575263" w:rsidP="00575263">
      <w:pPr>
        <w:pStyle w:val="a0"/>
        <w:rPr>
          <w:lang w:val="ru-RU"/>
        </w:rPr>
      </w:pPr>
      <w:r w:rsidRPr="007135EA">
        <w:rPr>
          <w:lang w:val="ru-RU"/>
        </w:rPr>
        <w:t>Понятно, что не во всех случаях достижение поставленной цели оказывается возможным (при отсутствии соответствующих материальных возможностей в регионе, особенно при необходимости оказания редких и дорогостоящих медицинских, оздоровительных и иных услуг), — в таких случаях допускается перемещение ребенка в другой регион для устройства в специализированное учреждение, отвечающее условиям, необходимым для несовершеннолетнего.</w:t>
      </w:r>
    </w:p>
    <w:p w14:paraId="15C45E35" w14:textId="77777777" w:rsidR="00575263" w:rsidRPr="007135EA" w:rsidRDefault="00575263" w:rsidP="00575263">
      <w:pPr>
        <w:pStyle w:val="a0"/>
        <w:rPr>
          <w:lang w:val="ru-RU"/>
        </w:rPr>
      </w:pPr>
      <w:r w:rsidRPr="007135EA">
        <w:rPr>
          <w:lang w:val="ru-RU"/>
        </w:rPr>
        <w:t>Нахождение ребенка в организации для детей-сирот и детей, оставшихся без попечения родителей, не прекращает родительские правоотношения. В отличие от опеки и попечительства, представляющих собой «</w:t>
      </w:r>
      <w:proofErr w:type="spellStart"/>
      <w:r w:rsidRPr="007135EA">
        <w:rPr>
          <w:lang w:val="ru-RU"/>
        </w:rPr>
        <w:t>квазисемейные</w:t>
      </w:r>
      <w:proofErr w:type="spellEnd"/>
      <w:r w:rsidRPr="007135EA">
        <w:rPr>
          <w:lang w:val="ru-RU"/>
        </w:rPr>
        <w:t xml:space="preserve">» отношения и предполагающих индивидуальное устройство ребенка в семью, в период нахождения ребенка в указанной организации семейные отношения как таковые не возникают, поскольку эти организации действуют как субъекты </w:t>
      </w:r>
      <w:r w:rsidRPr="007135EA">
        <w:rPr>
          <w:i/>
          <w:iCs/>
          <w:lang w:val="ru-RU"/>
        </w:rPr>
        <w:t>административного права</w:t>
      </w:r>
      <w:r w:rsidRPr="007135EA">
        <w:rPr>
          <w:lang w:val="ru-RU"/>
        </w:rPr>
        <w:t>, осуществляющие временное устройство ребенка на коллективных условиях (данный институт в некоторой мере продолжает традиции так называемого государственного призрения, существовавшего еще в царской России).</w:t>
      </w:r>
    </w:p>
    <w:p w14:paraId="295ED37F" w14:textId="77777777" w:rsidR="00575263" w:rsidRPr="007135EA" w:rsidRDefault="00575263" w:rsidP="00575263">
      <w:pPr>
        <w:pStyle w:val="a0"/>
        <w:rPr>
          <w:lang w:val="ru-RU"/>
        </w:rPr>
      </w:pPr>
      <w:r w:rsidRPr="007135EA">
        <w:rPr>
          <w:lang w:val="ru-RU"/>
        </w:rPr>
        <w:t xml:space="preserve">Хотя соответствующие организации не наделяются статусом опекуна или попечителя, на них </w:t>
      </w:r>
      <w:r w:rsidRPr="007135EA">
        <w:rPr>
          <w:i/>
          <w:iCs/>
          <w:lang w:val="ru-RU"/>
        </w:rPr>
        <w:t>возлагаются обязанности</w:t>
      </w:r>
      <w:r w:rsidRPr="007135EA">
        <w:rPr>
          <w:lang w:val="ru-RU"/>
        </w:rPr>
        <w:t xml:space="preserve"> по исполнению обязанностей по содержанию, воспитанию и образованию детей, а также защите их прав и законных интересов несовершеннолетних (п. 2 ст. 155.2 СК РФ). Существенно отличает правовой статус этих организаций и опекунов и попечителей то, что данные организации вправе самостоятельно передавать детей в семьи третьих лиц для временного проживания. Такой механизм может предшествовать последующему установлению опеки и попечительства или усыновлению (удочерению).</w:t>
      </w:r>
    </w:p>
    <w:p w14:paraId="35E48A7A" w14:textId="77777777" w:rsidR="00575263" w:rsidRPr="007135EA" w:rsidRDefault="00575263" w:rsidP="00575263">
      <w:pPr>
        <w:pStyle w:val="a0"/>
        <w:rPr>
          <w:lang w:val="ru-RU"/>
        </w:rPr>
      </w:pPr>
      <w:r w:rsidRPr="007135EA">
        <w:rPr>
          <w:lang w:val="ru-RU"/>
        </w:rPr>
        <w:lastRenderedPageBreak/>
        <w:t>Закон предоставляет детям, находящимся под надзором в специализированных организациях, те же права, что и подопечным при опеке и попечительстве, а также сохраняет за ними основные права, следующие из родительских правоотношений (ст. 155.3 СК РФ).</w:t>
      </w:r>
    </w:p>
    <w:p w14:paraId="1BA12DE8" w14:textId="77777777" w:rsidR="00575263" w:rsidRPr="007135EA" w:rsidRDefault="00575263" w:rsidP="00575263">
      <w:pPr>
        <w:pStyle w:val="2"/>
        <w:rPr>
          <w:lang w:val="ru-RU"/>
        </w:rPr>
      </w:pPr>
      <w:bookmarkStart w:id="3" w:name="патронатная-семья"/>
      <w:bookmarkEnd w:id="2"/>
      <w:r w:rsidRPr="007135EA">
        <w:rPr>
          <w:lang w:val="ru-RU"/>
        </w:rPr>
        <w:t>Патронатная семья</w:t>
      </w:r>
    </w:p>
    <w:p w14:paraId="116AF0FB" w14:textId="77777777" w:rsidR="00575263" w:rsidRPr="007135EA" w:rsidRDefault="00575263" w:rsidP="00575263">
      <w:pPr>
        <w:pStyle w:val="a0"/>
        <w:rPr>
          <w:lang w:val="ru-RU"/>
        </w:rPr>
      </w:pPr>
      <w:r w:rsidRPr="007135EA">
        <w:rPr>
          <w:lang w:val="ru-RU"/>
        </w:rPr>
        <w:t xml:space="preserve">Семейный кодекс упоминает о такой форме воспитания детей, как </w:t>
      </w:r>
      <w:r w:rsidRPr="007135EA">
        <w:rPr>
          <w:i/>
          <w:iCs/>
          <w:lang w:val="ru-RU"/>
        </w:rPr>
        <w:t>патронатная семья</w:t>
      </w:r>
      <w:r w:rsidRPr="007135EA">
        <w:rPr>
          <w:lang w:val="ru-RU"/>
        </w:rPr>
        <w:t xml:space="preserve"> (п. 6 ст. 145 Кодекса), но оставляет возможность создания таких семей на усмотрение субъектов Федерации. Пользуясь данным полномочием, многие регионы прямо закрепили в собственном законодательстве правовой статус патронатных семей, порядок создания и т. д. (сегодня специальные законы о патронате действуют более чем в половине российских регионов)</w:t>
      </w:r>
      <w:r>
        <w:rPr>
          <w:rStyle w:val="a7"/>
        </w:rPr>
        <w:footnoteReference w:id="2"/>
      </w:r>
      <w:r w:rsidRPr="007135EA">
        <w:rPr>
          <w:lang w:val="ru-RU"/>
        </w:rPr>
        <w:t>.</w:t>
      </w:r>
    </w:p>
    <w:p w14:paraId="4EAB7C8A" w14:textId="77777777" w:rsidR="00575263" w:rsidRPr="007135EA" w:rsidRDefault="00575263" w:rsidP="00575263">
      <w:pPr>
        <w:pStyle w:val="a0"/>
        <w:rPr>
          <w:lang w:val="ru-RU"/>
        </w:rPr>
      </w:pPr>
      <w:r w:rsidRPr="007135EA">
        <w:rPr>
          <w:lang w:val="ru-RU"/>
        </w:rPr>
        <w:t>В целом законодательные подходы субъектов Федерации к регламентированию патронатных семей не отличаются многообразием. Патронатная семья является полным аналогом приемных семей. Как указано в ч. 2 ст. 12 Закона г. Москвы от 14.04.2010 № 12 «Об организации опеки, попечительства и патронажа в городе Москве», передача на патронатное воспитание устанавливается в случаях, когда не могут быть применены иные формы устройства детей-сирот и детей, оставшихся без попечения родителей (усыновление, опека, попечительство, приемная семья). При этом столичный законодатель распространил на патронатные семьи федеральное законодательство об опеке и попечительстве, включая положения о наделении опекуна (попечителя) полномочиями по законному представительству, что не совсем верно, поскольку осуществление представительства относится к сфере гражданского законодательства, а потому находится в исключительной компетенции федерального законодателя.</w:t>
      </w:r>
    </w:p>
    <w:p w14:paraId="23D58C2E" w14:textId="77777777" w:rsidR="00575263" w:rsidRPr="007135EA" w:rsidRDefault="00575263" w:rsidP="00575263">
      <w:pPr>
        <w:pStyle w:val="a0"/>
        <w:rPr>
          <w:lang w:val="ru-RU"/>
        </w:rPr>
      </w:pPr>
      <w:r w:rsidRPr="007135EA">
        <w:rPr>
          <w:lang w:val="ru-RU"/>
        </w:rPr>
        <w:t>На практике передача ребенка в патронатную семью происходит при наличии каких-либо административных сложностей при усыновлении (удочерении), установлении опеки и попечительства или передаче детей в приемную семью, тогда как существенных, содержательных отличий патронатная семья как форма устройства детей практически не имеет.</w:t>
      </w:r>
      <w:bookmarkEnd w:id="0"/>
      <w:bookmarkEnd w:id="3"/>
    </w:p>
    <w:p w14:paraId="450236EF" w14:textId="77777777" w:rsidR="00944728" w:rsidRDefault="00944728"/>
    <w:sectPr w:rsidR="00944728" w:rsidSect="007135EA">
      <w:pgSz w:w="11906" w:h="16838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D25ED" w14:textId="77777777" w:rsidR="00575263" w:rsidRDefault="00575263" w:rsidP="00575263">
      <w:pPr>
        <w:spacing w:after="0" w:line="240" w:lineRule="auto"/>
      </w:pPr>
      <w:r>
        <w:separator/>
      </w:r>
    </w:p>
  </w:endnote>
  <w:endnote w:type="continuationSeparator" w:id="0">
    <w:p w14:paraId="70C8BD1B" w14:textId="77777777" w:rsidR="00575263" w:rsidRDefault="00575263" w:rsidP="00575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52FE7" w14:textId="77777777" w:rsidR="00575263" w:rsidRDefault="00575263" w:rsidP="00575263">
      <w:pPr>
        <w:spacing w:after="0" w:line="240" w:lineRule="auto"/>
      </w:pPr>
      <w:r>
        <w:separator/>
      </w:r>
    </w:p>
  </w:footnote>
  <w:footnote w:type="continuationSeparator" w:id="0">
    <w:p w14:paraId="33DFF5F6" w14:textId="77777777" w:rsidR="00575263" w:rsidRDefault="00575263" w:rsidP="00575263">
      <w:pPr>
        <w:spacing w:after="0" w:line="240" w:lineRule="auto"/>
      </w:pPr>
      <w:r>
        <w:continuationSeparator/>
      </w:r>
    </w:p>
  </w:footnote>
  <w:footnote w:id="1">
    <w:p w14:paraId="526F9694" w14:textId="77777777" w:rsidR="00575263" w:rsidRPr="007135EA" w:rsidRDefault="00575263" w:rsidP="00575263">
      <w:pPr>
        <w:pStyle w:val="a5"/>
        <w:rPr>
          <w:lang w:val="ru-RU"/>
        </w:rPr>
      </w:pPr>
      <w:r>
        <w:rPr>
          <w:rStyle w:val="a7"/>
        </w:rPr>
        <w:footnoteRef/>
      </w:r>
      <w:r w:rsidRPr="007135EA">
        <w:rPr>
          <w:lang w:val="ru-RU"/>
        </w:rPr>
        <w:t xml:space="preserve"> В 1920-е гг. среди целей детских домов называлось также привлечение к труду, что объяснялось задачами борьбы с детской беспризорностью и преступностью методами трудового воспитания </w:t>
      </w:r>
      <w:proofErr w:type="gramStart"/>
      <w:r w:rsidRPr="007135EA">
        <w:rPr>
          <w:lang w:val="ru-RU"/>
        </w:rPr>
        <w:t xml:space="preserve">( </w:t>
      </w:r>
      <w:proofErr w:type="spellStart"/>
      <w:r w:rsidRPr="007135EA">
        <w:rPr>
          <w:lang w:val="ru-RU"/>
        </w:rPr>
        <w:t>Якубсон</w:t>
      </w:r>
      <w:proofErr w:type="spellEnd"/>
      <w:proofErr w:type="gramEnd"/>
      <w:r w:rsidRPr="007135EA">
        <w:rPr>
          <w:lang w:val="ru-RU"/>
        </w:rPr>
        <w:t xml:space="preserve"> В. Р. «Дети преступники» в исправительно-трудовом доме // Преступный мир Москвы : сб. ст. / под ред. и с предисл. М. Н. </w:t>
      </w:r>
      <w:proofErr w:type="spellStart"/>
      <w:r w:rsidRPr="007135EA">
        <w:rPr>
          <w:lang w:val="ru-RU"/>
        </w:rPr>
        <w:t>Гернета</w:t>
      </w:r>
      <w:proofErr w:type="spellEnd"/>
      <w:r w:rsidRPr="007135EA">
        <w:rPr>
          <w:lang w:val="ru-RU"/>
        </w:rPr>
        <w:t>. М., 1924. С. 208—217).</w:t>
      </w:r>
    </w:p>
  </w:footnote>
  <w:footnote w:id="2">
    <w:p w14:paraId="1DF08BC0" w14:textId="77777777" w:rsidR="00575263" w:rsidRDefault="00575263" w:rsidP="00575263">
      <w:pPr>
        <w:pStyle w:val="a5"/>
      </w:pPr>
      <w:r>
        <w:rPr>
          <w:rStyle w:val="a7"/>
        </w:rPr>
        <w:footnoteRef/>
      </w:r>
      <w:r w:rsidRPr="007135EA">
        <w:rPr>
          <w:lang w:val="ru-RU"/>
        </w:rPr>
        <w:t xml:space="preserve"> См., например: Закон г. Москвы от 14.04.2010 № 12 «Об организации опеки, попечительства и патронажа в городе Москве» (</w:t>
      </w:r>
      <w:hyperlink r:id="rId1">
        <w:r>
          <w:rPr>
            <w:rStyle w:val="a8"/>
          </w:rPr>
          <w:t>http</w:t>
        </w:r>
        <w:r w:rsidRPr="007135EA">
          <w:rPr>
            <w:rStyle w:val="a8"/>
            <w:lang w:val="ru-RU"/>
          </w:rPr>
          <w:t>://</w:t>
        </w:r>
        <w:proofErr w:type="spellStart"/>
        <w:r>
          <w:rPr>
            <w:rStyle w:val="a8"/>
          </w:rPr>
          <w:t>mosopen</w:t>
        </w:r>
        <w:proofErr w:type="spellEnd"/>
        <w:r w:rsidRPr="007135EA">
          <w:rPr>
            <w:rStyle w:val="a8"/>
            <w:lang w:val="ru-RU"/>
          </w:rPr>
          <w:t>.</w:t>
        </w:r>
        <w:proofErr w:type="spellStart"/>
        <w:r>
          <w:rPr>
            <w:rStyle w:val="a8"/>
          </w:rPr>
          <w:t>ru</w:t>
        </w:r>
        <w:proofErr w:type="spellEnd"/>
        <w:r w:rsidRPr="007135EA">
          <w:rPr>
            <w:rStyle w:val="a8"/>
            <w:lang w:val="ru-RU"/>
          </w:rPr>
          <w:t>/</w:t>
        </w:r>
        <w:r>
          <w:rPr>
            <w:rStyle w:val="a8"/>
          </w:rPr>
          <w:t>document</w:t>
        </w:r>
        <w:r w:rsidRPr="007135EA">
          <w:rPr>
            <w:rStyle w:val="a8"/>
            <w:lang w:val="ru-RU"/>
          </w:rPr>
          <w:t>/60_</w:t>
        </w:r>
        <w:proofErr w:type="spellStart"/>
        <w:r>
          <w:rPr>
            <w:rStyle w:val="a8"/>
          </w:rPr>
          <w:t>zk</w:t>
        </w:r>
        <w:proofErr w:type="spellEnd"/>
        <w:r w:rsidRPr="007135EA">
          <w:rPr>
            <w:rStyle w:val="a8"/>
            <w:lang w:val="ru-RU"/>
          </w:rPr>
          <w:t>_2012-11-28</w:t>
        </w:r>
      </w:hyperlink>
      <w:r w:rsidRPr="007135EA">
        <w:rPr>
          <w:lang w:val="ru-RU"/>
        </w:rPr>
        <w:t xml:space="preserve">); Закон Московской области от 05.07.2003 № 77/2003-ОЗ «О патронате» (Вестник Московской областной думы. </w:t>
      </w:r>
      <w:r>
        <w:t xml:space="preserve">2003. № 9) и </w:t>
      </w:r>
      <w:proofErr w:type="spellStart"/>
      <w:r>
        <w:t>др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8ED047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1F"/>
    <w:rsid w:val="0002521F"/>
    <w:rsid w:val="00575263"/>
    <w:rsid w:val="00944728"/>
    <w:rsid w:val="00992867"/>
    <w:rsid w:val="00C0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1182"/>
  <w15:chartTrackingRefBased/>
  <w15:docId w15:val="{AE025E88-41F6-48E0-9FCE-E62BAA1D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575263"/>
    <w:pPr>
      <w:keepNext/>
      <w:keepLines/>
      <w:spacing w:before="480" w:after="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  <w:u w:val="single"/>
      <w:lang w:val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575263"/>
    <w:pPr>
      <w:keepNext/>
      <w:keepLines/>
      <w:spacing w:before="200" w:after="0" w:line="240" w:lineRule="auto"/>
      <w:contextualSpacing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8"/>
      <w:u w:val="single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75263"/>
    <w:rPr>
      <w:rFonts w:ascii="Times New Roman" w:eastAsiaTheme="majorEastAsia" w:hAnsi="Times New Roman" w:cstheme="majorBidi"/>
      <w:b/>
      <w:bCs/>
      <w:sz w:val="24"/>
      <w:szCs w:val="32"/>
      <w:u w:val="single"/>
      <w:lang w:val="en-US"/>
    </w:rPr>
  </w:style>
  <w:style w:type="character" w:customStyle="1" w:styleId="20">
    <w:name w:val="Заголовок 2 Знак"/>
    <w:basedOn w:val="a1"/>
    <w:link w:val="2"/>
    <w:uiPriority w:val="9"/>
    <w:rsid w:val="00575263"/>
    <w:rPr>
      <w:rFonts w:ascii="Times New Roman" w:eastAsiaTheme="majorEastAsia" w:hAnsi="Times New Roman" w:cstheme="majorBidi"/>
      <w:b/>
      <w:bCs/>
      <w:sz w:val="24"/>
      <w:szCs w:val="28"/>
      <w:u w:val="single"/>
      <w:lang w:val="en-US"/>
    </w:rPr>
  </w:style>
  <w:style w:type="paragraph" w:styleId="a0">
    <w:name w:val="Body Text"/>
    <w:basedOn w:val="a"/>
    <w:link w:val="a4"/>
    <w:qFormat/>
    <w:rsid w:val="00575263"/>
    <w:pPr>
      <w:spacing w:before="180" w:after="180" w:line="240" w:lineRule="auto"/>
      <w:ind w:firstLine="709"/>
      <w:contextualSpacing/>
      <w:jc w:val="both"/>
    </w:pPr>
    <w:rPr>
      <w:rFonts w:ascii="Times New Roman" w:hAnsi="Times New Roman"/>
      <w:sz w:val="24"/>
      <w:szCs w:val="24"/>
      <w:lang w:val="en-US"/>
    </w:rPr>
  </w:style>
  <w:style w:type="character" w:customStyle="1" w:styleId="a4">
    <w:name w:val="Основной текст Знак"/>
    <w:basedOn w:val="a1"/>
    <w:link w:val="a0"/>
    <w:rsid w:val="00575263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a0"/>
    <w:qFormat/>
    <w:rsid w:val="00575263"/>
    <w:pPr>
      <w:spacing w:before="36" w:after="36"/>
    </w:pPr>
  </w:style>
  <w:style w:type="paragraph" w:styleId="a5">
    <w:name w:val="footnote text"/>
    <w:basedOn w:val="a"/>
    <w:link w:val="a6"/>
    <w:uiPriority w:val="9"/>
    <w:unhideWhenUsed/>
    <w:qFormat/>
    <w:rsid w:val="00575263"/>
    <w:pPr>
      <w:spacing w:after="200" w:line="240" w:lineRule="auto"/>
      <w:contextualSpacing/>
      <w:jc w:val="both"/>
    </w:pPr>
    <w:rPr>
      <w:rFonts w:ascii="Times New Roman" w:hAnsi="Times New Roman"/>
      <w:sz w:val="20"/>
      <w:szCs w:val="24"/>
      <w:lang w:val="en-US"/>
    </w:rPr>
  </w:style>
  <w:style w:type="character" w:customStyle="1" w:styleId="a6">
    <w:name w:val="Текст сноски Знак"/>
    <w:basedOn w:val="a1"/>
    <w:link w:val="a5"/>
    <w:uiPriority w:val="9"/>
    <w:rsid w:val="00575263"/>
    <w:rPr>
      <w:rFonts w:ascii="Times New Roman" w:hAnsi="Times New Roman"/>
      <w:sz w:val="20"/>
      <w:szCs w:val="24"/>
      <w:lang w:val="en-US"/>
    </w:rPr>
  </w:style>
  <w:style w:type="character" w:styleId="a7">
    <w:name w:val="footnote reference"/>
    <w:basedOn w:val="a1"/>
    <w:rsid w:val="00575263"/>
    <w:rPr>
      <w:vertAlign w:val="superscript"/>
    </w:rPr>
  </w:style>
  <w:style w:type="character" w:styleId="a8">
    <w:name w:val="Hyperlink"/>
    <w:basedOn w:val="a1"/>
    <w:uiPriority w:val="99"/>
    <w:rsid w:val="00575263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osopen.ru/document/60_zk_2012-11-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Stepanov</dc:creator>
  <cp:keywords/>
  <dc:description/>
  <cp:lastModifiedBy>Pavel Stepanov</cp:lastModifiedBy>
  <cp:revision>2</cp:revision>
  <dcterms:created xsi:type="dcterms:W3CDTF">2022-02-20T10:13:00Z</dcterms:created>
  <dcterms:modified xsi:type="dcterms:W3CDTF">2022-02-20T10:13:00Z</dcterms:modified>
</cp:coreProperties>
</file>