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Project Update 1: Streaming Data and Baselines</w:t>
      </w:r>
    </w:p>
    <w:p>
      <w:pPr>
        <w:pStyle w:val="Subtitle"/>
      </w:pPr>
      <w:r>
        <w:t xml:space="preserve">Predictive Multitask Learning for Streaming Code-Switching</w:t>
      </w:r>
    </w:p>
    <w:p>
      <w:pPr>
        <w:spacing w:after="240"/>
      </w:pPr>
      <w:r>
        <w:t xml:space="preserve">Team 10: Artykzhan Ospan, Mahamane Bachir Sadou, Mukaila Rafiu. CS 6140, October 19, 2026.</w:t>
      </w:r>
    </w:p>
    <w:p>
      <w:pPr>
        <w:pStyle w:val="Heading1"/>
        <w:keepNext/>
      </w:pPr>
      <w:r>
        <w:t xml:space="preserve">1. Objective</w:t>
      </w:r>
    </w:p>
    <w:p>
      <w:pPr/>
      <w:r>
        <w:t xml:space="preserve">We predict code-switching in real time. At every token t of an utterance, using only the tokens up to t, the model predicts two targets about the next token:</w:t>
      </w:r>
    </w:p>
    <w:p>
      <w:pPr>
        <w:numPr>
          <w:ilvl w:val="0"/>
          <w:numId w:val="2"/>
        </w:numPr>
      </w:pPr>
      <w:r>
        <w:rPr>
          <w:b/>
        </w:rPr>
        <w:t xml:space="preserve">y_sw</w:t>
      </w:r>
      <w:r>
        <w:t xml:space="preserve"> (binary): whether token t+1 is in a different language than token t;</w:t>
      </w:r>
    </w:p>
    <w:p>
      <w:pPr>
        <w:numPr>
          <w:ilvl w:val="0"/>
          <w:numId w:val="2"/>
        </w:numPr>
      </w:pPr>
      <w:r>
        <w:rPr>
          <w:b/>
        </w:rPr>
        <w:t xml:space="preserve">y_dur</w:t>
      </w:r>
      <w:r>
        <w:t xml:space="preserve"> (3 classes, only when y_sw = 1): the length of the new language segment starting at t+1, binned as 1-2, 3-6 or 7+ tokens.</w:t>
      </w:r>
    </w:p>
    <w:p>
      <w:pPr/>
      <w:r>
        <w:t xml:space="preserve">The setting simulates predictive text for bilingual users: the future is used only to create the targets, never as input. The project goal is a predictor that works consistently across language pairs, measured by the standard deviation of switch F1 across pairs. This update covers weeks 4 to 6 of our plan: cleaning the text and mapping language IDs (week 4), building the labels (week 5), and the streaming loader with a first baseline (week 6).</w:t>
      </w:r>
    </w:p>
    <w:p>
      <w:pPr>
        <w:pStyle w:val="Heading1"/>
        <w:keepNext/>
      </w:pPr>
      <w:r>
        <w:t xml:space="preserve">2. Data and language coverage</w:t>
      </w:r>
    </w:p>
    <w:p>
      <w:pPr/>
      <w:r>
        <w:t xml:space="preserve">We use SwitchLingua_text (Hugging Face, pinned version 6e048d27): 234,172 generated conversations, which we flatten into </w:t>
      </w:r>
      <w:r>
        <w:rPr>
          <w:b/>
        </w:rPr>
        <w:t xml:space="preserve">974,994 sentences</w:t>
      </w:r>
      <w:r>
        <w:t xml:space="preserve">. Inspecting the data showed </w:t>
      </w:r>
      <w:r>
        <w:rPr>
          <w:b/>
        </w:rPr>
        <w:t xml:space="preserve">15 language pairs</w:t>
      </w:r>
      <w:r>
        <w:t xml:space="preserve">, more than the 12 languages described in the SwitchLingua paper, and we cover all of them:</w:t>
      </w:r>
    </w:p>
    <w:p>
      <w:pPr>
        <w:numPr>
          <w:ilvl w:val="0"/>
          <w:numId w:val="2"/>
        </w:numPr>
      </w:pPr>
      <w:r>
        <w:rPr>
          <w:b/>
        </w:rPr>
        <w:t xml:space="preserve">7 non-Latin-script pairs</w:t>
      </w:r>
      <w:r>
        <w:t xml:space="preserve"> with English: Arabic, Cantonese, Chinese, Hindi, Japanese, Korean, Russian;</w:t>
      </w:r>
    </w:p>
    <w:p>
      <w:pPr>
        <w:numPr>
          <w:ilvl w:val="0"/>
          <w:numId w:val="2"/>
        </w:numPr>
      </w:pPr>
      <w:r>
        <w:rPr>
          <w:b/>
        </w:rPr>
        <w:t xml:space="preserve">7 Latin-script pairs</w:t>
      </w:r>
      <w:r>
        <w:t xml:space="preserve"> with English: French, German, Italian, Malay, Filipino, Spanish, Vietnamese;</w:t>
      </w:r>
    </w:p>
    <w:p>
      <w:pPr>
        <w:numPr>
          <w:ilvl w:val="0"/>
          <w:numId w:val="2"/>
        </w:numPr>
      </w:pPr>
      <w:r>
        <w:rPr>
          <w:b/>
        </w:rPr>
        <w:t xml:space="preserve">1 non-English pair</w:t>
      </w:r>
      <w:r>
        <w:t xml:space="preserve">: German–French.</w:t>
      </w:r>
    </w:p>
    <w:p>
      <w:pPr/>
      <w:r>
        <w:t xml:space="preserve">Together they span 7 writing systems (Latin, Arabic, Chinese characters, Japanese kana, Hangul, Devanagari, Cyrillic). The pairs are very unbalanced: Cantonese–English alone is 64% of the sentences, while every other pair has 20,000 to 30,000. Hindi–English is reported as two strata, Devanagari and romanized (section 3.3), which gives </w:t>
      </w:r>
      <w:r>
        <w:rPr>
          <w:b/>
        </w:rPr>
        <w:t xml:space="preserve">16 evaluation strata</w:t>
      </w:r>
      <w:r>
        <w:t xml:space="preserve">.</w:t>
      </w:r>
    </w:p>
    <w:p>
      <w:pPr>
        <w:pStyle w:val="Heading1"/>
        <w:keepNext/>
      </w:pPr>
      <w:r>
        <w:t xml:space="preserve">3. Data engineering pipeline (week 4)</w:t>
      </w:r>
    </w:p>
    <w:p>
      <w:pPr>
        <w:pStyle w:val="Heading2"/>
        <w:keepNext/>
      </w:pPr>
      <w:r>
        <w:t xml:space="preserve">3.1 Parsing</w:t>
      </w:r>
    </w:p>
    <w:p>
      <w:pPr/>
      <w:r>
        <w:t xml:space="preserve">The text column is a stringified Python object written by an LLM. Most rows are lists of sentences, but some are dictionaries ({'topic', 'instances'}, {'speaker', 'message'}), nested lists or plain strings. Our parser handles all formats and keeps only text fields. Five sentences (empty, or a whole conversation pasted into one string) were removed and counted per pair.</w:t>
      </w:r>
    </w:p>
    <w:p>
      <w:pPr>
        <w:pStyle w:val="Heading2"/>
        <w:keepNext/>
      </w:pPr>
      <w:r>
        <w:t xml:space="preserve">3.2 Tokenization</w:t>
      </w:r>
    </w:p>
    <w:p>
      <w:pPr/>
      <w:r>
        <w:t xml:space="preserve">One tokenization is shared by every model, so all models are scored on the same targets. Words are split on whitespace and punctuation; punctuation is kept as context for the next prediction but is not a token. </w:t>
      </w:r>
      <w:r>
        <w:rPr>
          <w:b/>
        </w:rPr>
        <w:t xml:space="preserve">Each Chinese character is one token</w:t>
      </w:r>
      <w:r>
        <w:t xml:space="preserve"> (the mBERT convention). Treating a whole run of Chinese characters as one token would leak the future: a run only ends when a non-Chinese character arrives. On our data, 22% of Cantonese runs end with the next letter attached directly, and 85% of those next letters are English, so the token boundary itself would reveal the switch. With one token per character there is a decision point after every character, which is what a user typing Chinese experiences.</w:t>
      </w:r>
    </w:p>
    <w:p>
      <w:pPr>
        <w:pStyle w:val="Heading2"/>
        <w:keepNext/>
      </w:pPr>
      <w:r>
        <w:t xml:space="preserve">3.3 Language ID per token</w:t>
      </w:r>
    </w:p>
    <w:p>
      <w:pPr/>
      <w:r>
        <w:t xml:space="preserve">The dataset gives only the two languages of each row, so we assign a language to every token with three rules:</w:t>
      </w:r>
    </w:p>
    <w:p>
      <w:pPr>
        <w:numPr>
          <w:ilvl w:val="0"/>
          <w:numId w:val="2"/>
        </w:numPr>
      </w:pPr>
      <w:r>
        <w:rPr>
          <w:b/>
        </w:rPr>
        <w:t xml:space="preserve">Script rule:</w:t>
      </w:r>
      <w:r>
        <w:t xml:space="preserve"> if the token's script belongs to only one of the two languages, that decides it. This fully covers the 7 non-Latin-script pairs.</w:t>
      </w:r>
    </w:p>
    <w:p>
      <w:pPr>
        <w:numPr>
          <w:ilvl w:val="0"/>
          <w:numId w:val="2"/>
        </w:numPr>
      </w:pPr>
      <w:r>
        <w:rPr>
          <w:b/>
        </w:rPr>
        <w:t xml:space="preserve">Frequency rule:</w:t>
      </w:r>
      <w:r>
        <w:t xml:space="preserve"> for the Latin-script pairs, we compare the word's frequency in each language using the wordfreq library, and a clear gap decides it.</w:t>
      </w:r>
    </w:p>
    <w:p>
      <w:pPr>
        <w:numPr>
          <w:ilvl w:val="0"/>
          <w:numId w:val="2"/>
        </w:numPr>
      </w:pPr>
      <w:r>
        <w:rPr>
          <w:b/>
        </w:rPr>
        <w:t xml:space="preserve">Context rule:</w:t>
      </w:r>
      <w:r>
        <w:t xml:space="preserve"> undecided tokens (names, numbers, words common to both languages such as "no") take the language of the nearest decided neighbor, preferring the left one.</w:t>
      </w:r>
    </w:p>
    <w:p>
      <w:pPr/>
      <w:r>
        <w:rPr>
          <w:b/>
        </w:rPr>
        <w:t xml:space="preserve">Romanized Hindi.</w:t>
      </w:r>
      <w:r>
        <w:t xml:space="preserve"> 56% of Hindi–English rows are written entirely in Latin script ("Logon ko acting bahut pasand aayi"), where the script rule would tag Hindi words as English. We built a romanized-Hindi word list from the corpus itself: Latin words inside Devanagari rows are English insertions, so words frequent in romanized rows but almost absent from that reference are Hindi (hai, mujhe, bahut). Labels may use the whole sentence; only model inputs must be prefix-only.</w:t>
      </w:r>
    </w:p>
    <w:p>
      <w:pPr>
        <w:pStyle w:val="Heading1"/>
        <w:keepNext/>
      </w:pPr>
      <w:r>
        <w:t xml:space="preserve">4. Labels and splits (week 5)</w:t>
      </w:r>
    </w:p>
    <w:p>
      <w:pPr/>
      <w:r>
        <w:t xml:space="preserve">For each token t we set y_sw = 1 if token t+1 has a different language, and y_dur to the length bin of the segment starting at t+1 when y_sw = 1. The last token of a sentence has no target. Unit tests check the labels on hand-worked sentences. Example (Spanish–English): in "Yo no sé, but I think so", the token "sé" gets y_sw = 1 and y_dur = 3-6 tokens ("but I think so").</w:t>
      </w:r>
    </w:p>
    <w:p>
      <w:pPr/>
      <w:r>
        <w:t xml:space="preserve">We split </w:t>
      </w:r>
      <w:r>
        <w:rPr>
          <w:b/>
        </w:rPr>
        <w:t xml:space="preserve">80/10/10 by conversation</w:t>
      </w:r>
      <w:r>
        <w:t xml:space="preserve">, so sentences of one conversation never cross splits, stratified by the 16 strata, with a fixed seed. Conversations sharing an identical sentence (5,586 duplicates, mostly Cantonese) are kept in the same split. The split file is saved and reused by every teammate.</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80" w:type="dxa"/>
          <w:right w:w="80" w:type="dxa"/>
        </w:tblCellMar>
      </w:tblPr>
      <w:tblGrid>
        <w:gridCol w:w="3000"/>
        <w:gridCol w:w="2760"/>
        <w:gridCol w:w="1800"/>
        <w:gridCol w:w="1800"/>
      </w:tblGrid>
      <w:tr>
        <w:trPr>
          <w:tblHeader/>
        </w:trPr>
        <w:tc>
          <w:tcPr>
            <w:tcW w:w="3000" w:type="dxa"/>
            <w:shd w:val="clear" w:color="auto" w:fill="DCE6F7"/>
          </w:tcPr>
          <w:p>
            <w:pPr>
              <w:spacing w:after="0"/>
            </w:pPr>
            <w:r>
              <w:rPr>
                <w:b/>
                <w:sz w:val="19"/>
              </w:rPr>
              <w:t xml:space="preserve">Stratum</w:t>
            </w:r>
          </w:p>
        </w:tc>
        <w:tc>
          <w:tcPr>
            <w:tcW w:w="2760" w:type="dxa"/>
            <w:shd w:val="clear" w:color="auto" w:fill="DCE6F7"/>
          </w:tcPr>
          <w:p>
            <w:pPr>
              <w:spacing w:after="0"/>
            </w:pPr>
            <w:r>
              <w:rPr>
                <w:b/>
                <w:sz w:val="19"/>
              </w:rPr>
              <w:t xml:space="preserve">Group</w:t>
            </w:r>
          </w:p>
        </w:tc>
        <w:tc>
          <w:tcPr>
            <w:tcW w:w="1800" w:type="dxa"/>
            <w:shd w:val="clear" w:color="auto" w:fill="DCE6F7"/>
          </w:tcPr>
          <w:p>
            <w:pPr>
              <w:spacing w:after="0"/>
              <w:jc w:val="right"/>
            </w:pPr>
            <w:r>
              <w:rPr>
                <w:b/>
                <w:sz w:val="19"/>
              </w:rPr>
              <w:t xml:space="preserve">Sentences</w:t>
            </w:r>
          </w:p>
        </w:tc>
        <w:tc>
          <w:tcPr>
            <w:tcW w:w="1800" w:type="dxa"/>
            <w:shd w:val="clear" w:color="auto" w:fill="DCE6F7"/>
          </w:tcPr>
          <w:p>
            <w:pPr>
              <w:spacing w:after="0"/>
              <w:jc w:val="right"/>
            </w:pPr>
            <w:r>
              <w:rPr>
                <w:b/>
                <w:sz w:val="19"/>
              </w:rPr>
              <w:t xml:space="preserve">Switch rate</w:t>
            </w:r>
          </w:p>
        </w:tc>
      </w:tr>
      <w:tr>
        <w:tc>
          <w:tcPr>
            <w:tcW w:w="3000" w:type="dxa"/>
          </w:tcPr>
          <w:p>
            <w:pPr>
              <w:spacing w:after="0"/>
            </w:pPr>
            <w:r>
              <w:rPr>
                <w:sz w:val="19"/>
              </w:rPr>
              <w:t xml:space="preserve">Chinese–English</w:t>
            </w:r>
          </w:p>
        </w:tc>
        <w:tc>
          <w:tcPr>
            <w:tcW w:w="2760" w:type="dxa"/>
          </w:tcPr>
          <w:p>
            <w:pPr>
              <w:spacing w:after="0"/>
            </w:pPr>
            <w:r>
              <w:rPr>
                <w:sz w:val="19"/>
              </w:rPr>
              <w:t xml:space="preserve">Non-Latin script</w:t>
            </w:r>
          </w:p>
        </w:tc>
        <w:tc>
          <w:tcPr>
            <w:tcW w:w="1800" w:type="dxa"/>
          </w:tcPr>
          <w:p>
            <w:pPr>
              <w:spacing w:after="0"/>
              <w:jc w:val="right"/>
            </w:pPr>
            <w:r>
              <w:rPr>
                <w:sz w:val="19"/>
              </w:rPr>
              <w:t xml:space="preserve">29,561</w:t>
            </w:r>
          </w:p>
        </w:tc>
        <w:tc>
          <w:tcPr>
            <w:tcW w:w="1800" w:type="dxa"/>
          </w:tcPr>
          <w:p>
            <w:pPr>
              <w:spacing w:after="0"/>
              <w:jc w:val="right"/>
            </w:pPr>
            <w:r>
              <w:rPr>
                <w:sz w:val="19"/>
              </w:rPr>
              <w:t xml:space="preserve">5.1%</w:t>
            </w:r>
          </w:p>
        </w:tc>
      </w:tr>
      <w:tr>
        <w:tc>
          <w:tcPr>
            <w:tcW w:w="3000" w:type="dxa"/>
          </w:tcPr>
          <w:p>
            <w:pPr>
              <w:spacing w:after="0"/>
            </w:pPr>
            <w:r>
              <w:rPr>
                <w:sz w:val="19"/>
              </w:rPr>
              <w:t xml:space="preserve">Japanese–English</w:t>
            </w:r>
          </w:p>
        </w:tc>
        <w:tc>
          <w:tcPr>
            <w:tcW w:w="2760" w:type="dxa"/>
          </w:tcPr>
          <w:p>
            <w:pPr>
              <w:spacing w:after="0"/>
            </w:pPr>
            <w:r>
              <w:rPr>
                <w:sz w:val="19"/>
              </w:rPr>
              <w:t xml:space="preserve">Non-Latin script</w:t>
            </w:r>
          </w:p>
        </w:tc>
        <w:tc>
          <w:tcPr>
            <w:tcW w:w="1800" w:type="dxa"/>
          </w:tcPr>
          <w:p>
            <w:pPr>
              <w:spacing w:after="0"/>
              <w:jc w:val="right"/>
            </w:pPr>
            <w:r>
              <w:rPr>
                <w:sz w:val="19"/>
              </w:rPr>
              <w:t xml:space="preserve">27,893</w:t>
            </w:r>
          </w:p>
        </w:tc>
        <w:tc>
          <w:tcPr>
            <w:tcW w:w="1800" w:type="dxa"/>
          </w:tcPr>
          <w:p>
            <w:pPr>
              <w:spacing w:after="0"/>
              <w:jc w:val="right"/>
            </w:pPr>
            <w:r>
              <w:rPr>
                <w:sz w:val="19"/>
              </w:rPr>
              <w:t xml:space="preserve">6.3%</w:t>
            </w:r>
          </w:p>
        </w:tc>
      </w:tr>
      <w:tr>
        <w:tc>
          <w:tcPr>
            <w:tcW w:w="3000" w:type="dxa"/>
          </w:tcPr>
          <w:p>
            <w:pPr>
              <w:spacing w:after="0"/>
            </w:pPr>
            <w:r>
              <w:rPr>
                <w:sz w:val="19"/>
              </w:rPr>
              <w:t xml:space="preserve">Cantonese–English</w:t>
            </w:r>
          </w:p>
        </w:tc>
        <w:tc>
          <w:tcPr>
            <w:tcW w:w="2760" w:type="dxa"/>
          </w:tcPr>
          <w:p>
            <w:pPr>
              <w:spacing w:after="0"/>
            </w:pPr>
            <w:r>
              <w:rPr>
                <w:sz w:val="19"/>
              </w:rPr>
              <w:t xml:space="preserve">Non-Latin script</w:t>
            </w:r>
          </w:p>
        </w:tc>
        <w:tc>
          <w:tcPr>
            <w:tcW w:w="1800" w:type="dxa"/>
          </w:tcPr>
          <w:p>
            <w:pPr>
              <w:spacing w:after="0"/>
              <w:jc w:val="right"/>
            </w:pPr>
            <w:r>
              <w:rPr>
                <w:sz w:val="19"/>
              </w:rPr>
              <w:t xml:space="preserve">619,863</w:t>
            </w:r>
          </w:p>
        </w:tc>
        <w:tc>
          <w:tcPr>
            <w:tcW w:w="1800" w:type="dxa"/>
          </w:tcPr>
          <w:p>
            <w:pPr>
              <w:spacing w:after="0"/>
              <w:jc w:val="right"/>
            </w:pPr>
            <w:r>
              <w:rPr>
                <w:sz w:val="19"/>
              </w:rPr>
              <w:t xml:space="preserve">6.8%</w:t>
            </w:r>
          </w:p>
        </w:tc>
      </w:tr>
      <w:tr>
        <w:tc>
          <w:tcPr>
            <w:tcW w:w="3000" w:type="dxa"/>
          </w:tcPr>
          <w:p>
            <w:pPr>
              <w:spacing w:after="0"/>
            </w:pPr>
            <w:r>
              <w:rPr>
                <w:sz w:val="19"/>
              </w:rPr>
              <w:t xml:space="preserve">Italian–English</w:t>
            </w:r>
          </w:p>
        </w:tc>
        <w:tc>
          <w:tcPr>
            <w:tcW w:w="2760" w:type="dxa"/>
          </w:tcPr>
          <w:p>
            <w:pPr>
              <w:spacing w:after="0"/>
            </w:pPr>
            <w:r>
              <w:rPr>
                <w:sz w:val="19"/>
              </w:rPr>
              <w:t xml:space="preserve">Latin script</w:t>
            </w:r>
          </w:p>
        </w:tc>
        <w:tc>
          <w:tcPr>
            <w:tcW w:w="1800" w:type="dxa"/>
          </w:tcPr>
          <w:p>
            <w:pPr>
              <w:spacing w:after="0"/>
              <w:jc w:val="right"/>
            </w:pPr>
            <w:r>
              <w:rPr>
                <w:sz w:val="19"/>
              </w:rPr>
              <w:t xml:space="preserve">24,165</w:t>
            </w:r>
          </w:p>
        </w:tc>
        <w:tc>
          <w:tcPr>
            <w:tcW w:w="1800" w:type="dxa"/>
          </w:tcPr>
          <w:p>
            <w:pPr>
              <w:spacing w:after="0"/>
              <w:jc w:val="right"/>
            </w:pPr>
            <w:r>
              <w:rPr>
                <w:sz w:val="19"/>
              </w:rPr>
              <w:t xml:space="preserve">8.4%</w:t>
            </w:r>
          </w:p>
        </w:tc>
      </w:tr>
      <w:tr>
        <w:tc>
          <w:tcPr>
            <w:tcW w:w="3000" w:type="dxa"/>
          </w:tcPr>
          <w:p>
            <w:pPr>
              <w:spacing w:after="0"/>
            </w:pPr>
            <w:r>
              <w:rPr>
                <w:sz w:val="19"/>
              </w:rPr>
              <w:t xml:space="preserve">German–French</w:t>
            </w:r>
          </w:p>
        </w:tc>
        <w:tc>
          <w:tcPr>
            <w:tcW w:w="2760" w:type="dxa"/>
          </w:tcPr>
          <w:p>
            <w:pPr>
              <w:spacing w:after="0"/>
            </w:pPr>
            <w:r>
              <w:rPr>
                <w:sz w:val="19"/>
              </w:rPr>
              <w:t xml:space="preserve">Non-English pair</w:t>
            </w:r>
          </w:p>
        </w:tc>
        <w:tc>
          <w:tcPr>
            <w:tcW w:w="1800" w:type="dxa"/>
          </w:tcPr>
          <w:p>
            <w:pPr>
              <w:spacing w:after="0"/>
              <w:jc w:val="right"/>
            </w:pPr>
            <w:r>
              <w:rPr>
                <w:sz w:val="19"/>
              </w:rPr>
              <w:t xml:space="preserve">23,598</w:t>
            </w:r>
          </w:p>
        </w:tc>
        <w:tc>
          <w:tcPr>
            <w:tcW w:w="1800" w:type="dxa"/>
          </w:tcPr>
          <w:p>
            <w:pPr>
              <w:spacing w:after="0"/>
              <w:jc w:val="right"/>
            </w:pPr>
            <w:r>
              <w:rPr>
                <w:sz w:val="19"/>
              </w:rPr>
              <w:t xml:space="preserve">8.6%</w:t>
            </w:r>
          </w:p>
        </w:tc>
      </w:tr>
      <w:tr>
        <w:tc>
          <w:tcPr>
            <w:tcW w:w="3000" w:type="dxa"/>
          </w:tcPr>
          <w:p>
            <w:pPr>
              <w:spacing w:after="0"/>
            </w:pPr>
            <w:r>
              <w:rPr>
                <w:sz w:val="19"/>
              </w:rPr>
              <w:t xml:space="preserve">Arabic–English</w:t>
            </w:r>
          </w:p>
        </w:tc>
        <w:tc>
          <w:tcPr>
            <w:tcW w:w="2760" w:type="dxa"/>
          </w:tcPr>
          <w:p>
            <w:pPr>
              <w:spacing w:after="0"/>
            </w:pPr>
            <w:r>
              <w:rPr>
                <w:sz w:val="19"/>
              </w:rPr>
              <w:t xml:space="preserve">Non-Latin script</w:t>
            </w:r>
          </w:p>
        </w:tc>
        <w:tc>
          <w:tcPr>
            <w:tcW w:w="1800" w:type="dxa"/>
          </w:tcPr>
          <w:p>
            <w:pPr>
              <w:spacing w:after="0"/>
              <w:jc w:val="right"/>
            </w:pPr>
            <w:r>
              <w:rPr>
                <w:sz w:val="19"/>
              </w:rPr>
              <w:t xml:space="preserve">26,791</w:t>
            </w:r>
          </w:p>
        </w:tc>
        <w:tc>
          <w:tcPr>
            <w:tcW w:w="1800" w:type="dxa"/>
          </w:tcPr>
          <w:p>
            <w:pPr>
              <w:spacing w:after="0"/>
              <w:jc w:val="right"/>
            </w:pPr>
            <w:r>
              <w:rPr>
                <w:sz w:val="19"/>
              </w:rPr>
              <w:t xml:space="preserve">9.1%</w:t>
            </w:r>
          </w:p>
        </w:tc>
      </w:tr>
      <w:tr>
        <w:tc>
          <w:tcPr>
            <w:tcW w:w="3000" w:type="dxa"/>
          </w:tcPr>
          <w:p>
            <w:pPr>
              <w:spacing w:after="0"/>
            </w:pPr>
            <w:r>
              <w:rPr>
                <w:sz w:val="19"/>
              </w:rPr>
              <w:t xml:space="preserve">Vietnamese–English</w:t>
            </w:r>
          </w:p>
        </w:tc>
        <w:tc>
          <w:tcPr>
            <w:tcW w:w="2760" w:type="dxa"/>
          </w:tcPr>
          <w:p>
            <w:pPr>
              <w:spacing w:after="0"/>
            </w:pPr>
            <w:r>
              <w:rPr>
                <w:sz w:val="19"/>
              </w:rPr>
              <w:t xml:space="preserve">Latin script</w:t>
            </w:r>
          </w:p>
        </w:tc>
        <w:tc>
          <w:tcPr>
            <w:tcW w:w="1800" w:type="dxa"/>
          </w:tcPr>
          <w:p>
            <w:pPr>
              <w:spacing w:after="0"/>
              <w:jc w:val="right"/>
            </w:pPr>
            <w:r>
              <w:rPr>
                <w:sz w:val="19"/>
              </w:rPr>
              <w:t xml:space="preserve">26,803</w:t>
            </w:r>
          </w:p>
        </w:tc>
        <w:tc>
          <w:tcPr>
            <w:tcW w:w="1800" w:type="dxa"/>
          </w:tcPr>
          <w:p>
            <w:pPr>
              <w:spacing w:after="0"/>
              <w:jc w:val="right"/>
            </w:pPr>
            <w:r>
              <w:rPr>
                <w:sz w:val="19"/>
              </w:rPr>
              <w:t xml:space="preserve">9.1%</w:t>
            </w:r>
          </w:p>
        </w:tc>
      </w:tr>
      <w:tr>
        <w:tc>
          <w:tcPr>
            <w:tcW w:w="3000" w:type="dxa"/>
          </w:tcPr>
          <w:p>
            <w:pPr>
              <w:spacing w:after="0"/>
            </w:pPr>
            <w:r>
              <w:rPr>
                <w:sz w:val="19"/>
              </w:rPr>
              <w:t xml:space="preserve">Russian–English</w:t>
            </w:r>
          </w:p>
        </w:tc>
        <w:tc>
          <w:tcPr>
            <w:tcW w:w="2760" w:type="dxa"/>
          </w:tcPr>
          <w:p>
            <w:pPr>
              <w:spacing w:after="0"/>
            </w:pPr>
            <w:r>
              <w:rPr>
                <w:sz w:val="19"/>
              </w:rPr>
              <w:t xml:space="preserve">Non-Latin script</w:t>
            </w:r>
          </w:p>
        </w:tc>
        <w:tc>
          <w:tcPr>
            <w:tcW w:w="1800" w:type="dxa"/>
          </w:tcPr>
          <w:p>
            <w:pPr>
              <w:spacing w:after="0"/>
              <w:jc w:val="right"/>
            </w:pPr>
            <w:r>
              <w:rPr>
                <w:sz w:val="19"/>
              </w:rPr>
              <w:t xml:space="preserve">24,625</w:t>
            </w:r>
          </w:p>
        </w:tc>
        <w:tc>
          <w:tcPr>
            <w:tcW w:w="1800" w:type="dxa"/>
          </w:tcPr>
          <w:p>
            <w:pPr>
              <w:spacing w:after="0"/>
              <w:jc w:val="right"/>
            </w:pPr>
            <w:r>
              <w:rPr>
                <w:sz w:val="19"/>
              </w:rPr>
              <w:t xml:space="preserve">9.3%</w:t>
            </w:r>
          </w:p>
        </w:tc>
      </w:tr>
      <w:tr>
        <w:tc>
          <w:tcPr>
            <w:tcW w:w="3000" w:type="dxa"/>
          </w:tcPr>
          <w:p>
            <w:pPr>
              <w:spacing w:after="0"/>
            </w:pPr>
            <w:r>
              <w:rPr>
                <w:sz w:val="19"/>
              </w:rPr>
              <w:t xml:space="preserve">Spanish–English</w:t>
            </w:r>
          </w:p>
        </w:tc>
        <w:tc>
          <w:tcPr>
            <w:tcW w:w="2760" w:type="dxa"/>
          </w:tcPr>
          <w:p>
            <w:pPr>
              <w:spacing w:after="0"/>
            </w:pPr>
            <w:r>
              <w:rPr>
                <w:sz w:val="19"/>
              </w:rPr>
              <w:t xml:space="preserve">Latin script</w:t>
            </w:r>
          </w:p>
        </w:tc>
        <w:tc>
          <w:tcPr>
            <w:tcW w:w="1800" w:type="dxa"/>
          </w:tcPr>
          <w:p>
            <w:pPr>
              <w:spacing w:after="0"/>
              <w:jc w:val="right"/>
            </w:pPr>
            <w:r>
              <w:rPr>
                <w:sz w:val="19"/>
              </w:rPr>
              <w:t xml:space="preserve">24,517</w:t>
            </w:r>
          </w:p>
        </w:tc>
        <w:tc>
          <w:tcPr>
            <w:tcW w:w="1800" w:type="dxa"/>
          </w:tcPr>
          <w:p>
            <w:pPr>
              <w:spacing w:after="0"/>
              <w:jc w:val="right"/>
            </w:pPr>
            <w:r>
              <w:rPr>
                <w:sz w:val="19"/>
              </w:rPr>
              <w:t xml:space="preserve">9.6%</w:t>
            </w:r>
          </w:p>
        </w:tc>
      </w:tr>
      <w:tr>
        <w:tc>
          <w:tcPr>
            <w:tcW w:w="3000" w:type="dxa"/>
          </w:tcPr>
          <w:p>
            <w:pPr>
              <w:spacing w:after="0"/>
            </w:pPr>
            <w:r>
              <w:rPr>
                <w:sz w:val="19"/>
              </w:rPr>
              <w:t xml:space="preserve">German–English</w:t>
            </w:r>
          </w:p>
        </w:tc>
        <w:tc>
          <w:tcPr>
            <w:tcW w:w="2760" w:type="dxa"/>
          </w:tcPr>
          <w:p>
            <w:pPr>
              <w:spacing w:after="0"/>
            </w:pPr>
            <w:r>
              <w:rPr>
                <w:sz w:val="19"/>
              </w:rPr>
              <w:t xml:space="preserve">Latin script</w:t>
            </w:r>
          </w:p>
        </w:tc>
        <w:tc>
          <w:tcPr>
            <w:tcW w:w="1800" w:type="dxa"/>
          </w:tcPr>
          <w:p>
            <w:pPr>
              <w:spacing w:after="0"/>
              <w:jc w:val="right"/>
            </w:pPr>
            <w:r>
              <w:rPr>
                <w:sz w:val="19"/>
              </w:rPr>
              <w:t xml:space="preserve">19,583</w:t>
            </w:r>
          </w:p>
        </w:tc>
        <w:tc>
          <w:tcPr>
            <w:tcW w:w="1800" w:type="dxa"/>
          </w:tcPr>
          <w:p>
            <w:pPr>
              <w:spacing w:after="0"/>
              <w:jc w:val="right"/>
            </w:pPr>
            <w:r>
              <w:rPr>
                <w:sz w:val="19"/>
              </w:rPr>
              <w:t xml:space="preserve">9.8%</w:t>
            </w:r>
          </w:p>
        </w:tc>
      </w:tr>
      <w:tr>
        <w:tc>
          <w:tcPr>
            <w:tcW w:w="3000" w:type="dxa"/>
          </w:tcPr>
          <w:p>
            <w:pPr>
              <w:spacing w:after="0"/>
            </w:pPr>
            <w:r>
              <w:rPr>
                <w:sz w:val="19"/>
              </w:rPr>
              <w:t xml:space="preserve">French–English</w:t>
            </w:r>
          </w:p>
        </w:tc>
        <w:tc>
          <w:tcPr>
            <w:tcW w:w="2760" w:type="dxa"/>
          </w:tcPr>
          <w:p>
            <w:pPr>
              <w:spacing w:after="0"/>
            </w:pPr>
            <w:r>
              <w:rPr>
                <w:sz w:val="19"/>
              </w:rPr>
              <w:t xml:space="preserve">Latin script</w:t>
            </w:r>
          </w:p>
        </w:tc>
        <w:tc>
          <w:tcPr>
            <w:tcW w:w="1800" w:type="dxa"/>
          </w:tcPr>
          <w:p>
            <w:pPr>
              <w:spacing w:after="0"/>
              <w:jc w:val="right"/>
            </w:pPr>
            <w:r>
              <w:rPr>
                <w:sz w:val="19"/>
              </w:rPr>
              <w:t xml:space="preserve">23,563</w:t>
            </w:r>
          </w:p>
        </w:tc>
        <w:tc>
          <w:tcPr>
            <w:tcW w:w="1800" w:type="dxa"/>
          </w:tcPr>
          <w:p>
            <w:pPr>
              <w:spacing w:after="0"/>
              <w:jc w:val="right"/>
            </w:pPr>
            <w:r>
              <w:rPr>
                <w:sz w:val="19"/>
              </w:rPr>
              <w:t xml:space="preserve">10.3%</w:t>
            </w:r>
          </w:p>
        </w:tc>
      </w:tr>
      <w:tr>
        <w:tc>
          <w:tcPr>
            <w:tcW w:w="3000" w:type="dxa"/>
          </w:tcPr>
          <w:p>
            <w:pPr>
              <w:spacing w:after="0"/>
            </w:pPr>
            <w:r>
              <w:rPr>
                <w:sz w:val="19"/>
              </w:rPr>
              <w:t xml:space="preserve">Korean–English</w:t>
            </w:r>
          </w:p>
        </w:tc>
        <w:tc>
          <w:tcPr>
            <w:tcW w:w="2760" w:type="dxa"/>
          </w:tcPr>
          <w:p>
            <w:pPr>
              <w:spacing w:after="0"/>
            </w:pPr>
            <w:r>
              <w:rPr>
                <w:sz w:val="19"/>
              </w:rPr>
              <w:t xml:space="preserve">Non-Latin script</w:t>
            </w:r>
          </w:p>
        </w:tc>
        <w:tc>
          <w:tcPr>
            <w:tcW w:w="1800" w:type="dxa"/>
          </w:tcPr>
          <w:p>
            <w:pPr>
              <w:spacing w:after="0"/>
              <w:jc w:val="right"/>
            </w:pPr>
            <w:r>
              <w:rPr>
                <w:sz w:val="19"/>
              </w:rPr>
              <w:t xml:space="preserve">25,388</w:t>
            </w:r>
          </w:p>
        </w:tc>
        <w:tc>
          <w:tcPr>
            <w:tcW w:w="1800" w:type="dxa"/>
          </w:tcPr>
          <w:p>
            <w:pPr>
              <w:spacing w:after="0"/>
              <w:jc w:val="right"/>
            </w:pPr>
            <w:r>
              <w:rPr>
                <w:sz w:val="19"/>
              </w:rPr>
              <w:t xml:space="preserve">10.6%</w:t>
            </w:r>
          </w:p>
        </w:tc>
      </w:tr>
      <w:tr>
        <w:tc>
          <w:tcPr>
            <w:tcW w:w="3000" w:type="dxa"/>
          </w:tcPr>
          <w:p>
            <w:pPr>
              <w:spacing w:after="0"/>
            </w:pPr>
            <w:r>
              <w:rPr>
                <w:sz w:val="19"/>
              </w:rPr>
              <w:t xml:space="preserve">Malay–English</w:t>
            </w:r>
          </w:p>
        </w:tc>
        <w:tc>
          <w:tcPr>
            <w:tcW w:w="2760" w:type="dxa"/>
          </w:tcPr>
          <w:p>
            <w:pPr>
              <w:spacing w:after="0"/>
            </w:pPr>
            <w:r>
              <w:rPr>
                <w:sz w:val="19"/>
              </w:rPr>
              <w:t xml:space="preserve">Latin script</w:t>
            </w:r>
          </w:p>
        </w:tc>
        <w:tc>
          <w:tcPr>
            <w:tcW w:w="1800" w:type="dxa"/>
          </w:tcPr>
          <w:p>
            <w:pPr>
              <w:spacing w:after="0"/>
              <w:jc w:val="right"/>
            </w:pPr>
            <w:r>
              <w:rPr>
                <w:sz w:val="19"/>
              </w:rPr>
              <w:t xml:space="preserve">26,127</w:t>
            </w:r>
          </w:p>
        </w:tc>
        <w:tc>
          <w:tcPr>
            <w:tcW w:w="1800" w:type="dxa"/>
          </w:tcPr>
          <w:p>
            <w:pPr>
              <w:spacing w:after="0"/>
              <w:jc w:val="right"/>
            </w:pPr>
            <w:r>
              <w:rPr>
                <w:sz w:val="19"/>
              </w:rPr>
              <w:t xml:space="preserve">13.3%</w:t>
            </w:r>
          </w:p>
        </w:tc>
      </w:tr>
      <w:tr>
        <w:tc>
          <w:tcPr>
            <w:tcW w:w="3000" w:type="dxa"/>
          </w:tcPr>
          <w:p>
            <w:pPr>
              <w:spacing w:after="0"/>
            </w:pPr>
            <w:r>
              <w:rPr>
                <w:sz w:val="19"/>
              </w:rPr>
              <w:t xml:space="preserve">Hindi–English (Devanagari)</w:t>
            </w:r>
          </w:p>
        </w:tc>
        <w:tc>
          <w:tcPr>
            <w:tcW w:w="2760" w:type="dxa"/>
          </w:tcPr>
          <w:p>
            <w:pPr>
              <w:spacing w:after="0"/>
            </w:pPr>
            <w:r>
              <w:rPr>
                <w:sz w:val="19"/>
              </w:rPr>
              <w:t xml:space="preserve">Non-Latin script</w:t>
            </w:r>
          </w:p>
        </w:tc>
        <w:tc>
          <w:tcPr>
            <w:tcW w:w="1800" w:type="dxa"/>
          </w:tcPr>
          <w:p>
            <w:pPr>
              <w:spacing w:after="0"/>
              <w:jc w:val="right"/>
            </w:pPr>
            <w:r>
              <w:rPr>
                <w:sz w:val="19"/>
              </w:rPr>
              <w:t xml:space="preserve">11,186</w:t>
            </w:r>
          </w:p>
        </w:tc>
        <w:tc>
          <w:tcPr>
            <w:tcW w:w="1800" w:type="dxa"/>
          </w:tcPr>
          <w:p>
            <w:pPr>
              <w:spacing w:after="0"/>
              <w:jc w:val="right"/>
            </w:pPr>
            <w:r>
              <w:rPr>
                <w:sz w:val="19"/>
              </w:rPr>
              <w:t xml:space="preserve">16.1%</w:t>
            </w:r>
          </w:p>
        </w:tc>
      </w:tr>
      <w:tr>
        <w:tc>
          <w:tcPr>
            <w:tcW w:w="3000" w:type="dxa"/>
          </w:tcPr>
          <w:p>
            <w:pPr>
              <w:spacing w:after="0"/>
            </w:pPr>
            <w:r>
              <w:rPr>
                <w:sz w:val="19"/>
              </w:rPr>
              <w:t xml:space="preserve">Filipino–English</w:t>
            </w:r>
          </w:p>
        </w:tc>
        <w:tc>
          <w:tcPr>
            <w:tcW w:w="2760" w:type="dxa"/>
          </w:tcPr>
          <w:p>
            <w:pPr>
              <w:spacing w:after="0"/>
            </w:pPr>
            <w:r>
              <w:rPr>
                <w:sz w:val="19"/>
              </w:rPr>
              <w:t xml:space="preserve">Latin script</w:t>
            </w:r>
          </w:p>
        </w:tc>
        <w:tc>
          <w:tcPr>
            <w:tcW w:w="1800" w:type="dxa"/>
          </w:tcPr>
          <w:p>
            <w:pPr>
              <w:spacing w:after="0"/>
              <w:jc w:val="right"/>
            </w:pPr>
            <w:r>
              <w:rPr>
                <w:sz w:val="19"/>
              </w:rPr>
              <w:t xml:space="preserve">25,826</w:t>
            </w:r>
          </w:p>
        </w:tc>
        <w:tc>
          <w:tcPr>
            <w:tcW w:w="1800" w:type="dxa"/>
          </w:tcPr>
          <w:p>
            <w:pPr>
              <w:spacing w:after="0"/>
              <w:jc w:val="right"/>
            </w:pPr>
            <w:r>
              <w:rPr>
                <w:sz w:val="19"/>
              </w:rPr>
              <w:t xml:space="preserve">19.1%</w:t>
            </w:r>
          </w:p>
        </w:tc>
      </w:tr>
      <w:tr>
        <w:tc>
          <w:tcPr>
            <w:tcW w:w="3000" w:type="dxa"/>
          </w:tcPr>
          <w:p>
            <w:pPr>
              <w:spacing w:after="0"/>
            </w:pPr>
            <w:r>
              <w:rPr>
                <w:sz w:val="19"/>
              </w:rPr>
              <w:t xml:space="preserve">Hindi–English (romanized)</w:t>
            </w:r>
          </w:p>
        </w:tc>
        <w:tc>
          <w:tcPr>
            <w:tcW w:w="2760" w:type="dxa"/>
          </w:tcPr>
          <w:p>
            <w:pPr>
              <w:spacing w:after="0"/>
            </w:pPr>
            <w:r>
              <w:rPr>
                <w:sz w:val="19"/>
              </w:rPr>
              <w:t xml:space="preserve">Latin script (romanized)</w:t>
            </w:r>
          </w:p>
        </w:tc>
        <w:tc>
          <w:tcPr>
            <w:tcW w:w="1800" w:type="dxa"/>
          </w:tcPr>
          <w:p>
            <w:pPr>
              <w:spacing w:after="0"/>
              <w:jc w:val="right"/>
            </w:pPr>
            <w:r>
              <w:rPr>
                <w:sz w:val="19"/>
              </w:rPr>
              <w:t xml:space="preserve">15,505</w:t>
            </w:r>
          </w:p>
        </w:tc>
        <w:tc>
          <w:tcPr>
            <w:tcW w:w="1800" w:type="dxa"/>
          </w:tcPr>
          <w:p>
            <w:pPr>
              <w:spacing w:after="0"/>
              <w:jc w:val="right"/>
            </w:pPr>
            <w:r>
              <w:rPr>
                <w:sz w:val="19"/>
              </w:rPr>
              <w:t xml:space="preserve">31.4%</w:t>
            </w:r>
          </w:p>
        </w:tc>
      </w:tr>
    </w:tbl>
    <w:p>
      <w:pPr>
        <w:pStyle w:val="Caption"/>
      </w:pPr>
      <w:r>
        <w:t xml:space="preserve">Table 1. Size and switch rate per stratum (all splits). A switch rate is the share of target positions where y_sw = 1.</w:t>
      </w:r>
    </w:p>
    <w:p>
      <w:pPr/>
      <w:r>
        <w:t xml:space="preserve">Switches are rare (5% to 13% of positions for most pairs), so accuracy is misleading and we report precision, recall, F1 and PR-AUC. Romanized Hindi (31%) and Filipino (19%) mix the most.</w:t>
      </w:r>
    </w:p>
    <w:p>
      <w:pPr>
        <w:keepNext/>
        <w:spacing w:after="40"/>
        <w:jc w:val="center"/>
      </w:pPr>
      <w:r>
        <w:drawing>
          <wp:inline distT="0" distB="0" distL="0" distR="0">
            <wp:extent cx="5486400" cy="4251960"/>
            <wp:docPr id="1" name="Figure 1" descr="Figure 1. Duration class of the segment after a switch, per stratum (Philippines-English is the dataset's name for Filipino-English)."/>
            <a:graphic>
              <a:graphicData uri="http://schemas.openxmlformats.org/drawingml/2006/picture">
                <pic:pic>
                  <pic:nvPicPr>
                    <pic:cNvPr id="1" name="fig3_duration_mix.png"/>
                    <pic:cNvPicPr/>
                  </pic:nvPicPr>
                  <pic:blipFill>
                    <a:blip r:embed="rIdImg1"/>
                    <a:stretch>
                      <a:fillRect/>
                    </a:stretch>
                  </pic:blipFill>
                  <pic:spPr>
                    <a:xfrm>
                      <a:off x="0" y="0"/>
                      <a:ext cx="5486400" cy="4251960"/>
                    </a:xfrm>
                    <a:prstGeom prst="rect">
                      <a:avLst/>
                    </a:prstGeom>
                  </pic:spPr>
                </pic:pic>
              </a:graphicData>
            </a:graphic>
          </wp:inline>
        </w:drawing>
      </w:r>
    </w:p>
    <w:p>
      <w:pPr>
        <w:pStyle w:val="Caption"/>
      </w:pPr>
      <w:r>
        <w:t xml:space="preserve">Figure 1. Duration class of the segment after a switch, per stratum (Philippines-English is the dataset's name for Filipino-English).</w:t>
      </w:r>
    </w:p>
    <w:p>
      <w:pPr>
        <w:pStyle w:val="Heading1"/>
        <w:keepNext/>
      </w:pPr>
      <w:r>
        <w:t xml:space="preserve">5. Streaming setup and baseline (week 6)</w:t>
      </w:r>
    </w:p>
    <w:p>
      <w:pPr>
        <w:pStyle w:val="Heading2"/>
        <w:keepNext/>
      </w:pPr>
      <w:r>
        <w:t xml:space="preserve">5.1 Streaming loader</w:t>
      </w:r>
    </w:p>
    <w:p>
      <w:pPr/>
      <w:r>
        <w:t xml:space="preserve">At token t the model sees only the prefix and predicts the event at t+1. Example (Cantonese–English, one token per Chinese character): "... 敢 → 相 → 信 → she's → so → young". With the input ending at 信, the target is y_sw = 1 and y_dur = 1 (a 3-token English segment). The loader encodes each sentence once with the model's subword tokenizer and reads the prediction for word t at the last subword that ends before word t+1. Two checks make lookahead impossible: a subword that spans the boundary between t and t+1 is skipped, and the subwords up to the prediction point must equal the tokenization of the prefix alone. An automated test confirms that changing any later word never changes the inputs at an earlier position.</w:t>
      </w:r>
    </w:p>
    <w:p>
      <w:pPr/>
      <w:r>
        <w:t xml:space="preserve">To keep Cantonese from dominating training, pairs are drawn with temperature sampling (probability proportional to size to the power 0.3, as in XLM-R and mT5), which lowers Cantonese from 64% to about 16% of training samples. Overall metrics are macro averages over the 16 strata.</w:t>
      </w:r>
    </w:p>
    <w:p>
      <w:pPr>
        <w:pStyle w:val="Heading2"/>
        <w:keepNext/>
      </w:pPr>
      <w:r>
        <w:t xml:space="preserve">5.2 Baselines</w:t>
      </w:r>
    </w:p>
    <w:p>
      <w:pPr/>
      <w:r>
        <w:rPr>
          <w:b/>
        </w:rPr>
        <w:t xml:space="preserve">Majority class</w:t>
      </w:r>
      <w:r>
        <w:t xml:space="preserve"> always predicts "no switch" and the most frequent duration class. </w:t>
      </w:r>
      <w:r>
        <w:rPr>
          <w:b/>
        </w:rPr>
        <w:t xml:space="preserve">Logistic regression</w:t>
      </w:r>
      <w:r>
        <w:t xml:space="preserve"> uses prefix-only features: current language, length of the current run, number of switches so far, position, punctuation typed after the token, script, stratum, and stratum × current language. It is trained on 3,000 sentences per stratum; the decision threshold is chosen on training data. Features are rebuilt from language tags visible in the prefix, and a test checks that they never change when only later words change. Results are on the validation split (1.8 million positions); the test split is kept for the final evaluation.</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80" w:type="dxa"/>
          <w:right w:w="80" w:type="dxa"/>
        </w:tblCellMar>
      </w:tblPr>
      <w:tblGrid>
        <w:gridCol w:w="2160"/>
        <w:gridCol w:w="1100"/>
        <w:gridCol w:w="1100"/>
        <w:gridCol w:w="1100"/>
        <w:gridCol w:w="1000"/>
        <w:gridCol w:w="1000"/>
        <w:gridCol w:w="1900"/>
      </w:tblGrid>
      <w:tr>
        <w:trPr>
          <w:tblHeader/>
        </w:trPr>
        <w:tc>
          <w:tcPr>
            <w:tcW w:w="2160" w:type="dxa"/>
            <w:shd w:val="clear" w:color="auto" w:fill="DCE6F7"/>
          </w:tcPr>
          <w:p>
            <w:pPr>
              <w:spacing w:after="0"/>
            </w:pPr>
            <w:r>
              <w:rPr>
                <w:b/>
                <w:sz w:val="19"/>
              </w:rPr>
              <w:t xml:space="preserve">Model</w:t>
            </w:r>
          </w:p>
        </w:tc>
        <w:tc>
          <w:tcPr>
            <w:tcW w:w="1100" w:type="dxa"/>
            <w:shd w:val="clear" w:color="auto" w:fill="DCE6F7"/>
          </w:tcPr>
          <w:p>
            <w:pPr>
              <w:spacing w:after="0"/>
              <w:jc w:val="right"/>
            </w:pPr>
            <w:r>
              <w:rPr>
                <w:b/>
                <w:sz w:val="19"/>
              </w:rPr>
              <w:t xml:space="preserve">Switch F1</w:t>
            </w:r>
          </w:p>
        </w:tc>
        <w:tc>
          <w:tcPr>
            <w:tcW w:w="1100" w:type="dxa"/>
            <w:shd w:val="clear" w:color="auto" w:fill="DCE6F7"/>
          </w:tcPr>
          <w:p>
            <w:pPr>
              <w:spacing w:after="0"/>
              <w:jc w:val="right"/>
            </w:pPr>
            <w:r>
              <w:rPr>
                <w:b/>
                <w:sz w:val="19"/>
              </w:rPr>
              <w:t xml:space="preserve">PR-AUC</w:t>
            </w:r>
          </w:p>
        </w:tc>
        <w:tc>
          <w:tcPr>
            <w:tcW w:w="1100" w:type="dxa"/>
            <w:shd w:val="clear" w:color="auto" w:fill="DCE6F7"/>
          </w:tcPr>
          <w:p>
            <w:pPr>
              <w:spacing w:after="0"/>
              <w:jc w:val="right"/>
            </w:pPr>
            <w:r>
              <w:rPr>
                <w:b/>
                <w:sz w:val="19"/>
              </w:rPr>
              <w:t xml:space="preserve">Precision</w:t>
            </w:r>
          </w:p>
        </w:tc>
        <w:tc>
          <w:tcPr>
            <w:tcW w:w="1000" w:type="dxa"/>
            <w:shd w:val="clear" w:color="auto" w:fill="DCE6F7"/>
          </w:tcPr>
          <w:p>
            <w:pPr>
              <w:spacing w:after="0"/>
              <w:jc w:val="right"/>
            </w:pPr>
            <w:r>
              <w:rPr>
                <w:b/>
                <w:sz w:val="19"/>
              </w:rPr>
              <w:t xml:space="preserve">Recall</w:t>
            </w:r>
          </w:p>
        </w:tc>
        <w:tc>
          <w:tcPr>
            <w:tcW w:w="1000" w:type="dxa"/>
            <w:shd w:val="clear" w:color="auto" w:fill="DCE6F7"/>
          </w:tcPr>
          <w:p>
            <w:pPr>
              <w:spacing w:after="0"/>
              <w:jc w:val="right"/>
            </w:pPr>
            <w:r>
              <w:rPr>
                <w:b/>
                <w:sz w:val="19"/>
              </w:rPr>
              <w:t xml:space="preserve">σ of F1</w:t>
            </w:r>
          </w:p>
        </w:tc>
        <w:tc>
          <w:tcPr>
            <w:tcW w:w="1900" w:type="dxa"/>
            <w:shd w:val="clear" w:color="auto" w:fill="DCE6F7"/>
          </w:tcPr>
          <w:p>
            <w:pPr>
              <w:spacing w:after="0"/>
              <w:jc w:val="right"/>
            </w:pPr>
            <w:r>
              <w:rPr>
                <w:b/>
                <w:sz w:val="19"/>
              </w:rPr>
              <w:t xml:space="preserve">Duration macro-F1</w:t>
            </w:r>
          </w:p>
        </w:tc>
      </w:tr>
      <w:tr>
        <w:tc>
          <w:tcPr>
            <w:tcW w:w="2160" w:type="dxa"/>
          </w:tcPr>
          <w:p>
            <w:pPr>
              <w:spacing w:after="0"/>
            </w:pPr>
            <w:r>
              <w:rPr>
                <w:sz w:val="19"/>
              </w:rPr>
              <w:t xml:space="preserve">Majority class</w:t>
            </w:r>
          </w:p>
        </w:tc>
        <w:tc>
          <w:tcPr>
            <w:tcW w:w="1100" w:type="dxa"/>
          </w:tcPr>
          <w:p>
            <w:pPr>
              <w:spacing w:after="0"/>
              <w:jc w:val="right"/>
            </w:pPr>
            <w:r>
              <w:rPr>
                <w:sz w:val="19"/>
              </w:rPr>
              <w:t xml:space="preserve">0.000</w:t>
            </w:r>
          </w:p>
        </w:tc>
        <w:tc>
          <w:tcPr>
            <w:tcW w:w="1100" w:type="dxa"/>
          </w:tcPr>
          <w:p>
            <w:pPr>
              <w:spacing w:after="0"/>
              <w:jc w:val="right"/>
            </w:pPr>
            <w:r>
              <w:rPr>
                <w:sz w:val="19"/>
              </w:rPr>
              <w:t xml:space="preserve">0.114</w:t>
            </w:r>
          </w:p>
        </w:tc>
        <w:tc>
          <w:tcPr>
            <w:tcW w:w="1100" w:type="dxa"/>
          </w:tcPr>
          <w:p>
            <w:pPr>
              <w:spacing w:after="0"/>
              <w:jc w:val="right"/>
            </w:pPr>
            <w:r>
              <w:rPr>
                <w:sz w:val="19"/>
              </w:rPr>
              <w:t xml:space="preserve">0.000</w:t>
            </w:r>
          </w:p>
        </w:tc>
        <w:tc>
          <w:tcPr>
            <w:tcW w:w="1000" w:type="dxa"/>
          </w:tcPr>
          <w:p>
            <w:pPr>
              <w:spacing w:after="0"/>
              <w:jc w:val="right"/>
            </w:pPr>
            <w:r>
              <w:rPr>
                <w:sz w:val="19"/>
              </w:rPr>
              <w:t xml:space="preserve">0.000</w:t>
            </w:r>
          </w:p>
        </w:tc>
        <w:tc>
          <w:tcPr>
            <w:tcW w:w="1000" w:type="dxa"/>
          </w:tcPr>
          <w:p>
            <w:pPr>
              <w:spacing w:after="0"/>
              <w:jc w:val="right"/>
            </w:pPr>
            <w:r>
              <w:rPr>
                <w:sz w:val="19"/>
              </w:rPr>
              <w:t xml:space="preserve">n/a</w:t>
            </w:r>
          </w:p>
        </w:tc>
        <w:tc>
          <w:tcPr>
            <w:tcW w:w="1900" w:type="dxa"/>
          </w:tcPr>
          <w:p>
            <w:pPr>
              <w:spacing w:after="0"/>
              <w:jc w:val="right"/>
            </w:pPr>
            <w:r>
              <w:rPr>
                <w:sz w:val="19"/>
              </w:rPr>
              <w:t xml:space="preserve">0.202</w:t>
            </w:r>
          </w:p>
        </w:tc>
      </w:tr>
      <w:tr>
        <w:tc>
          <w:tcPr>
            <w:tcW w:w="2160" w:type="dxa"/>
          </w:tcPr>
          <w:p>
            <w:pPr>
              <w:spacing w:after="0"/>
            </w:pPr>
            <w:r>
              <w:rPr>
                <w:sz w:val="19"/>
              </w:rPr>
              <w:t xml:space="preserve">Logistic regression</w:t>
            </w:r>
          </w:p>
        </w:tc>
        <w:tc>
          <w:tcPr>
            <w:tcW w:w="1100" w:type="dxa"/>
          </w:tcPr>
          <w:p>
            <w:pPr>
              <w:spacing w:after="0"/>
              <w:jc w:val="right"/>
            </w:pPr>
            <w:r>
              <w:rPr>
                <w:sz w:val="19"/>
              </w:rPr>
              <w:t xml:space="preserve">0.555</w:t>
            </w:r>
          </w:p>
        </w:tc>
        <w:tc>
          <w:tcPr>
            <w:tcW w:w="1100" w:type="dxa"/>
          </w:tcPr>
          <w:p>
            <w:pPr>
              <w:spacing w:after="0"/>
              <w:jc w:val="right"/>
            </w:pPr>
            <w:r>
              <w:rPr>
                <w:sz w:val="19"/>
              </w:rPr>
              <w:t xml:space="preserve">0.528</w:t>
            </w:r>
          </w:p>
        </w:tc>
        <w:tc>
          <w:tcPr>
            <w:tcW w:w="1100" w:type="dxa"/>
          </w:tcPr>
          <w:p>
            <w:pPr>
              <w:spacing w:after="0"/>
              <w:jc w:val="right"/>
            </w:pPr>
            <w:r>
              <w:rPr>
                <w:sz w:val="19"/>
              </w:rPr>
              <w:t xml:space="preserve">0.550</w:t>
            </w:r>
          </w:p>
        </w:tc>
        <w:tc>
          <w:tcPr>
            <w:tcW w:w="1000" w:type="dxa"/>
          </w:tcPr>
          <w:p>
            <w:pPr>
              <w:spacing w:after="0"/>
              <w:jc w:val="right"/>
            </w:pPr>
            <w:r>
              <w:rPr>
                <w:sz w:val="19"/>
              </w:rPr>
              <w:t xml:space="preserve">0.571</w:t>
            </w:r>
          </w:p>
        </w:tc>
        <w:tc>
          <w:tcPr>
            <w:tcW w:w="1000" w:type="dxa"/>
          </w:tcPr>
          <w:p>
            <w:pPr>
              <w:spacing w:after="0"/>
              <w:jc w:val="right"/>
            </w:pPr>
            <w:r>
              <w:rPr>
                <w:sz w:val="19"/>
              </w:rPr>
              <w:t xml:space="preserve">0.076</w:t>
            </w:r>
          </w:p>
        </w:tc>
        <w:tc>
          <w:tcPr>
            <w:tcW w:w="1900" w:type="dxa"/>
          </w:tcPr>
          <w:p>
            <w:pPr>
              <w:spacing w:after="0"/>
              <w:jc w:val="right"/>
            </w:pPr>
            <w:r>
              <w:rPr>
                <w:sz w:val="19"/>
              </w:rPr>
              <w:t xml:space="preserve">0.531</w:t>
            </w:r>
          </w:p>
        </w:tc>
      </w:tr>
    </w:tbl>
    <w:p>
      <w:pPr>
        <w:pStyle w:val="Caption"/>
      </w:pPr>
      <w:r>
        <w:t xml:space="preserve">Table 2. Baselines on the validation split, macro average over 16 strata. σ is the standard deviation of switch F1 across strata (lower is more universal).</w:t>
      </w:r>
    </w:p>
    <w:p>
      <w:pPr>
        <w:pStyle w:val="Heading1"/>
        <w:keepNext/>
      </w:pPr>
      <w:r>
        <w:t xml:space="preserve">6. Pair-specific results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80" w:type="dxa"/>
          <w:right w:w="80" w:type="dxa"/>
        </w:tblCellMar>
      </w:tblPr>
      <w:tblGrid>
        <w:gridCol w:w="3960"/>
        <w:gridCol w:w="1800"/>
        <w:gridCol w:w="1800"/>
        <w:gridCol w:w="1800"/>
      </w:tblGrid>
      <w:tr>
        <w:trPr>
          <w:tblHeader/>
        </w:trPr>
        <w:tc>
          <w:tcPr>
            <w:tcW w:w="3960" w:type="dxa"/>
            <w:shd w:val="clear" w:color="auto" w:fill="DCE6F7"/>
          </w:tcPr>
          <w:p>
            <w:pPr>
              <w:spacing w:after="0"/>
            </w:pPr>
            <w:r>
              <w:rPr>
                <w:b/>
                <w:sz w:val="19"/>
              </w:rPr>
              <w:t xml:space="preserve">Stratum</w:t>
            </w:r>
          </w:p>
        </w:tc>
        <w:tc>
          <w:tcPr>
            <w:tcW w:w="1800" w:type="dxa"/>
            <w:shd w:val="clear" w:color="auto" w:fill="DCE6F7"/>
          </w:tcPr>
          <w:p>
            <w:pPr>
              <w:spacing w:after="0"/>
              <w:jc w:val="right"/>
            </w:pPr>
            <w:r>
              <w:rPr>
                <w:b/>
                <w:sz w:val="19"/>
              </w:rPr>
              <w:t xml:space="preserve">Switch F1</w:t>
            </w:r>
          </w:p>
        </w:tc>
        <w:tc>
          <w:tcPr>
            <w:tcW w:w="1800" w:type="dxa"/>
            <w:shd w:val="clear" w:color="auto" w:fill="DCE6F7"/>
          </w:tcPr>
          <w:p>
            <w:pPr>
              <w:spacing w:after="0"/>
              <w:jc w:val="right"/>
            </w:pPr>
            <w:r>
              <w:rPr>
                <w:b/>
                <w:sz w:val="19"/>
              </w:rPr>
              <w:t xml:space="preserve">PR-AUC</w:t>
            </w:r>
          </w:p>
        </w:tc>
        <w:tc>
          <w:tcPr>
            <w:tcW w:w="1800" w:type="dxa"/>
            <w:shd w:val="clear" w:color="auto" w:fill="DCE6F7"/>
          </w:tcPr>
          <w:p>
            <w:pPr>
              <w:spacing w:after="0"/>
              <w:jc w:val="right"/>
            </w:pPr>
            <w:r>
              <w:rPr>
                <w:b/>
                <w:sz w:val="19"/>
              </w:rPr>
              <w:t xml:space="preserve">Duration macro-F1</w:t>
            </w:r>
          </w:p>
        </w:tc>
      </w:tr>
      <w:tr>
        <w:tc>
          <w:tcPr>
            <w:tcW w:w="3960" w:type="dxa"/>
          </w:tcPr>
          <w:p>
            <w:pPr>
              <w:spacing w:after="0"/>
            </w:pPr>
            <w:r>
              <w:rPr>
                <w:sz w:val="19"/>
              </w:rPr>
              <w:t xml:space="preserve">Korean–English</w:t>
            </w:r>
          </w:p>
        </w:tc>
        <w:tc>
          <w:tcPr>
            <w:tcW w:w="1800" w:type="dxa"/>
          </w:tcPr>
          <w:p>
            <w:pPr>
              <w:spacing w:after="0"/>
              <w:jc w:val="right"/>
            </w:pPr>
            <w:r>
              <w:rPr>
                <w:sz w:val="19"/>
              </w:rPr>
              <w:t xml:space="preserve">0.717</w:t>
            </w:r>
          </w:p>
        </w:tc>
        <w:tc>
          <w:tcPr>
            <w:tcW w:w="1800" w:type="dxa"/>
          </w:tcPr>
          <w:p>
            <w:pPr>
              <w:spacing w:after="0"/>
              <w:jc w:val="right"/>
            </w:pPr>
            <w:r>
              <w:rPr>
                <w:sz w:val="19"/>
              </w:rPr>
              <w:t xml:space="preserve">0.712</w:t>
            </w:r>
          </w:p>
        </w:tc>
        <w:tc>
          <w:tcPr>
            <w:tcW w:w="1800" w:type="dxa"/>
          </w:tcPr>
          <w:p>
            <w:pPr>
              <w:spacing w:after="0"/>
              <w:jc w:val="right"/>
            </w:pPr>
            <w:r>
              <w:rPr>
                <w:sz w:val="19"/>
              </w:rPr>
              <w:t xml:space="preserve">0.663</w:t>
            </w:r>
          </w:p>
        </w:tc>
      </w:tr>
      <w:tr>
        <w:tc>
          <w:tcPr>
            <w:tcW w:w="3960" w:type="dxa"/>
          </w:tcPr>
          <w:p>
            <w:pPr>
              <w:spacing w:after="0"/>
            </w:pPr>
            <w:r>
              <w:rPr>
                <w:sz w:val="19"/>
              </w:rPr>
              <w:t xml:space="preserve">Japanese–English</w:t>
            </w:r>
          </w:p>
        </w:tc>
        <w:tc>
          <w:tcPr>
            <w:tcW w:w="1800" w:type="dxa"/>
          </w:tcPr>
          <w:p>
            <w:pPr>
              <w:spacing w:after="0"/>
              <w:jc w:val="right"/>
            </w:pPr>
            <w:r>
              <w:rPr>
                <w:sz w:val="19"/>
              </w:rPr>
              <w:t xml:space="preserve">0.633</w:t>
            </w:r>
          </w:p>
        </w:tc>
        <w:tc>
          <w:tcPr>
            <w:tcW w:w="1800" w:type="dxa"/>
          </w:tcPr>
          <w:p>
            <w:pPr>
              <w:spacing w:after="0"/>
              <w:jc w:val="right"/>
            </w:pPr>
            <w:r>
              <w:rPr>
                <w:sz w:val="19"/>
              </w:rPr>
              <w:t xml:space="preserve">0.643</w:t>
            </w:r>
          </w:p>
        </w:tc>
        <w:tc>
          <w:tcPr>
            <w:tcW w:w="1800" w:type="dxa"/>
          </w:tcPr>
          <w:p>
            <w:pPr>
              <w:spacing w:after="0"/>
              <w:jc w:val="right"/>
            </w:pPr>
            <w:r>
              <w:rPr>
                <w:sz w:val="19"/>
              </w:rPr>
              <w:t xml:space="preserve">0.519</w:t>
            </w:r>
          </w:p>
        </w:tc>
      </w:tr>
      <w:tr>
        <w:tc>
          <w:tcPr>
            <w:tcW w:w="3960" w:type="dxa"/>
          </w:tcPr>
          <w:p>
            <w:pPr>
              <w:spacing w:after="0"/>
            </w:pPr>
            <w:r>
              <w:rPr>
                <w:sz w:val="19"/>
              </w:rPr>
              <w:t xml:space="preserve">Arabic–English</w:t>
            </w:r>
          </w:p>
        </w:tc>
        <w:tc>
          <w:tcPr>
            <w:tcW w:w="1800" w:type="dxa"/>
          </w:tcPr>
          <w:p>
            <w:pPr>
              <w:spacing w:after="0"/>
              <w:jc w:val="right"/>
            </w:pPr>
            <w:r>
              <w:rPr>
                <w:sz w:val="19"/>
              </w:rPr>
              <w:t xml:space="preserve">0.609</w:t>
            </w:r>
          </w:p>
        </w:tc>
        <w:tc>
          <w:tcPr>
            <w:tcW w:w="1800" w:type="dxa"/>
          </w:tcPr>
          <w:p>
            <w:pPr>
              <w:spacing w:after="0"/>
              <w:jc w:val="right"/>
            </w:pPr>
            <w:r>
              <w:rPr>
                <w:sz w:val="19"/>
              </w:rPr>
              <w:t xml:space="preserve">0.588</w:t>
            </w:r>
          </w:p>
        </w:tc>
        <w:tc>
          <w:tcPr>
            <w:tcW w:w="1800" w:type="dxa"/>
          </w:tcPr>
          <w:p>
            <w:pPr>
              <w:spacing w:after="0"/>
              <w:jc w:val="right"/>
            </w:pPr>
            <w:r>
              <w:rPr>
                <w:sz w:val="19"/>
              </w:rPr>
              <w:t xml:space="preserve">0.571</w:t>
            </w:r>
          </w:p>
        </w:tc>
      </w:tr>
      <w:tr>
        <w:tc>
          <w:tcPr>
            <w:tcW w:w="3960" w:type="dxa"/>
          </w:tcPr>
          <w:p>
            <w:pPr>
              <w:spacing w:after="0"/>
            </w:pPr>
            <w:r>
              <w:rPr>
                <w:sz w:val="19"/>
              </w:rPr>
              <w:t xml:space="preserve">German–English</w:t>
            </w:r>
          </w:p>
        </w:tc>
        <w:tc>
          <w:tcPr>
            <w:tcW w:w="1800" w:type="dxa"/>
          </w:tcPr>
          <w:p>
            <w:pPr>
              <w:spacing w:after="0"/>
              <w:jc w:val="right"/>
            </w:pPr>
            <w:r>
              <w:rPr>
                <w:sz w:val="19"/>
              </w:rPr>
              <w:t xml:space="preserve">0.596</w:t>
            </w:r>
          </w:p>
        </w:tc>
        <w:tc>
          <w:tcPr>
            <w:tcW w:w="1800" w:type="dxa"/>
          </w:tcPr>
          <w:p>
            <w:pPr>
              <w:spacing w:after="0"/>
              <w:jc w:val="right"/>
            </w:pPr>
            <w:r>
              <w:rPr>
                <w:sz w:val="19"/>
              </w:rPr>
              <w:t xml:space="preserve">0.593</w:t>
            </w:r>
          </w:p>
        </w:tc>
        <w:tc>
          <w:tcPr>
            <w:tcW w:w="1800" w:type="dxa"/>
          </w:tcPr>
          <w:p>
            <w:pPr>
              <w:spacing w:after="0"/>
              <w:jc w:val="right"/>
            </w:pPr>
            <w:r>
              <w:rPr>
                <w:sz w:val="19"/>
              </w:rPr>
              <w:t xml:space="preserve">0.584</w:t>
            </w:r>
          </w:p>
        </w:tc>
      </w:tr>
      <w:tr>
        <w:tc>
          <w:tcPr>
            <w:tcW w:w="3960" w:type="dxa"/>
          </w:tcPr>
          <w:p>
            <w:pPr>
              <w:spacing w:after="0"/>
            </w:pPr>
            <w:r>
              <w:rPr>
                <w:sz w:val="19"/>
              </w:rPr>
              <w:t xml:space="preserve">German–French</w:t>
            </w:r>
          </w:p>
        </w:tc>
        <w:tc>
          <w:tcPr>
            <w:tcW w:w="1800" w:type="dxa"/>
          </w:tcPr>
          <w:p>
            <w:pPr>
              <w:spacing w:after="0"/>
              <w:jc w:val="right"/>
            </w:pPr>
            <w:r>
              <w:rPr>
                <w:sz w:val="19"/>
              </w:rPr>
              <w:t xml:space="preserve">0.591</w:t>
            </w:r>
          </w:p>
        </w:tc>
        <w:tc>
          <w:tcPr>
            <w:tcW w:w="1800" w:type="dxa"/>
          </w:tcPr>
          <w:p>
            <w:pPr>
              <w:spacing w:after="0"/>
              <w:jc w:val="right"/>
            </w:pPr>
            <w:r>
              <w:rPr>
                <w:sz w:val="19"/>
              </w:rPr>
              <w:t xml:space="preserve">0.593</w:t>
            </w:r>
          </w:p>
        </w:tc>
        <w:tc>
          <w:tcPr>
            <w:tcW w:w="1800" w:type="dxa"/>
          </w:tcPr>
          <w:p>
            <w:pPr>
              <w:spacing w:after="0"/>
              <w:jc w:val="right"/>
            </w:pPr>
            <w:r>
              <w:rPr>
                <w:sz w:val="19"/>
              </w:rPr>
              <w:t xml:space="preserve">0.527</w:t>
            </w:r>
          </w:p>
        </w:tc>
      </w:tr>
      <w:tr>
        <w:tc>
          <w:tcPr>
            <w:tcW w:w="3960" w:type="dxa"/>
          </w:tcPr>
          <w:p>
            <w:pPr>
              <w:spacing w:after="0"/>
            </w:pPr>
            <w:r>
              <w:rPr>
                <w:sz w:val="19"/>
              </w:rPr>
              <w:t xml:space="preserve">Chinese–English</w:t>
            </w:r>
          </w:p>
        </w:tc>
        <w:tc>
          <w:tcPr>
            <w:tcW w:w="1800" w:type="dxa"/>
          </w:tcPr>
          <w:p>
            <w:pPr>
              <w:spacing w:after="0"/>
              <w:jc w:val="right"/>
            </w:pPr>
            <w:r>
              <w:rPr>
                <w:sz w:val="19"/>
              </w:rPr>
              <w:t xml:space="preserve">0.584</w:t>
            </w:r>
          </w:p>
        </w:tc>
        <w:tc>
          <w:tcPr>
            <w:tcW w:w="1800" w:type="dxa"/>
          </w:tcPr>
          <w:p>
            <w:pPr>
              <w:spacing w:after="0"/>
              <w:jc w:val="right"/>
            </w:pPr>
            <w:r>
              <w:rPr>
                <w:sz w:val="19"/>
              </w:rPr>
              <w:t xml:space="preserve">0.517</w:t>
            </w:r>
          </w:p>
        </w:tc>
        <w:tc>
          <w:tcPr>
            <w:tcW w:w="1800" w:type="dxa"/>
          </w:tcPr>
          <w:p>
            <w:pPr>
              <w:spacing w:after="0"/>
              <w:jc w:val="right"/>
            </w:pPr>
            <w:r>
              <w:rPr>
                <w:sz w:val="19"/>
              </w:rPr>
              <w:t xml:space="preserve">0.505</w:t>
            </w:r>
          </w:p>
        </w:tc>
      </w:tr>
      <w:tr>
        <w:tc>
          <w:tcPr>
            <w:tcW w:w="3960" w:type="dxa"/>
          </w:tcPr>
          <w:p>
            <w:pPr>
              <w:spacing w:after="0"/>
            </w:pPr>
            <w:r>
              <w:rPr>
                <w:sz w:val="19"/>
              </w:rPr>
              <w:t xml:space="preserve">Italian–English</w:t>
            </w:r>
          </w:p>
        </w:tc>
        <w:tc>
          <w:tcPr>
            <w:tcW w:w="1800" w:type="dxa"/>
          </w:tcPr>
          <w:p>
            <w:pPr>
              <w:spacing w:after="0"/>
              <w:jc w:val="right"/>
            </w:pPr>
            <w:r>
              <w:rPr>
                <w:sz w:val="19"/>
              </w:rPr>
              <w:t xml:space="preserve">0.579</w:t>
            </w:r>
          </w:p>
        </w:tc>
        <w:tc>
          <w:tcPr>
            <w:tcW w:w="1800" w:type="dxa"/>
          </w:tcPr>
          <w:p>
            <w:pPr>
              <w:spacing w:after="0"/>
              <w:jc w:val="right"/>
            </w:pPr>
            <w:r>
              <w:rPr>
                <w:sz w:val="19"/>
              </w:rPr>
              <w:t xml:space="preserve">0.501</w:t>
            </w:r>
          </w:p>
        </w:tc>
        <w:tc>
          <w:tcPr>
            <w:tcW w:w="1800" w:type="dxa"/>
          </w:tcPr>
          <w:p>
            <w:pPr>
              <w:spacing w:after="0"/>
              <w:jc w:val="right"/>
            </w:pPr>
            <w:r>
              <w:rPr>
                <w:sz w:val="19"/>
              </w:rPr>
              <w:t xml:space="preserve">0.527</w:t>
            </w:r>
          </w:p>
        </w:tc>
      </w:tr>
      <w:tr>
        <w:tc>
          <w:tcPr>
            <w:tcW w:w="3960" w:type="dxa"/>
          </w:tcPr>
          <w:p>
            <w:pPr>
              <w:spacing w:after="0"/>
            </w:pPr>
            <w:r>
              <w:rPr>
                <w:sz w:val="19"/>
              </w:rPr>
              <w:t xml:space="preserve">French–English</w:t>
            </w:r>
          </w:p>
        </w:tc>
        <w:tc>
          <w:tcPr>
            <w:tcW w:w="1800" w:type="dxa"/>
          </w:tcPr>
          <w:p>
            <w:pPr>
              <w:spacing w:after="0"/>
              <w:jc w:val="right"/>
            </w:pPr>
            <w:r>
              <w:rPr>
                <w:sz w:val="19"/>
              </w:rPr>
              <w:t xml:space="preserve">0.579</w:t>
            </w:r>
          </w:p>
        </w:tc>
        <w:tc>
          <w:tcPr>
            <w:tcW w:w="1800" w:type="dxa"/>
          </w:tcPr>
          <w:p>
            <w:pPr>
              <w:spacing w:after="0"/>
              <w:jc w:val="right"/>
            </w:pPr>
            <w:r>
              <w:rPr>
                <w:sz w:val="19"/>
              </w:rPr>
              <w:t xml:space="preserve">0.551</w:t>
            </w:r>
          </w:p>
        </w:tc>
        <w:tc>
          <w:tcPr>
            <w:tcW w:w="1800" w:type="dxa"/>
          </w:tcPr>
          <w:p>
            <w:pPr>
              <w:spacing w:after="0"/>
              <w:jc w:val="right"/>
            </w:pPr>
            <w:r>
              <w:rPr>
                <w:sz w:val="19"/>
              </w:rPr>
              <w:t xml:space="preserve">0.583</w:t>
            </w:r>
          </w:p>
        </w:tc>
      </w:tr>
      <w:tr>
        <w:tc>
          <w:tcPr>
            <w:tcW w:w="3960" w:type="dxa"/>
          </w:tcPr>
          <w:p>
            <w:pPr>
              <w:spacing w:after="0"/>
            </w:pPr>
            <w:r>
              <w:rPr>
                <w:sz w:val="19"/>
              </w:rPr>
              <w:t xml:space="preserve">Spanish–English</w:t>
            </w:r>
          </w:p>
        </w:tc>
        <w:tc>
          <w:tcPr>
            <w:tcW w:w="1800" w:type="dxa"/>
          </w:tcPr>
          <w:p>
            <w:pPr>
              <w:spacing w:after="0"/>
              <w:jc w:val="right"/>
            </w:pPr>
            <w:r>
              <w:rPr>
                <w:sz w:val="19"/>
              </w:rPr>
              <w:t xml:space="preserve">0.570</w:t>
            </w:r>
          </w:p>
        </w:tc>
        <w:tc>
          <w:tcPr>
            <w:tcW w:w="1800" w:type="dxa"/>
          </w:tcPr>
          <w:p>
            <w:pPr>
              <w:spacing w:after="0"/>
              <w:jc w:val="right"/>
            </w:pPr>
            <w:r>
              <w:rPr>
                <w:sz w:val="19"/>
              </w:rPr>
              <w:t xml:space="preserve">0.520</w:t>
            </w:r>
          </w:p>
        </w:tc>
        <w:tc>
          <w:tcPr>
            <w:tcW w:w="1800" w:type="dxa"/>
          </w:tcPr>
          <w:p>
            <w:pPr>
              <w:spacing w:after="0"/>
              <w:jc w:val="right"/>
            </w:pPr>
            <w:r>
              <w:rPr>
                <w:sz w:val="19"/>
              </w:rPr>
              <w:t xml:space="preserve">0.566</w:t>
            </w:r>
          </w:p>
        </w:tc>
      </w:tr>
      <w:tr>
        <w:tc>
          <w:tcPr>
            <w:tcW w:w="3960" w:type="dxa"/>
          </w:tcPr>
          <w:p>
            <w:pPr>
              <w:spacing w:after="0"/>
            </w:pPr>
            <w:r>
              <w:rPr>
                <w:sz w:val="19"/>
              </w:rPr>
              <w:t xml:space="preserve">Hindi–English (romanized)</w:t>
            </w:r>
          </w:p>
        </w:tc>
        <w:tc>
          <w:tcPr>
            <w:tcW w:w="1800" w:type="dxa"/>
          </w:tcPr>
          <w:p>
            <w:pPr>
              <w:spacing w:after="0"/>
              <w:jc w:val="right"/>
            </w:pPr>
            <w:r>
              <w:rPr>
                <w:sz w:val="19"/>
              </w:rPr>
              <w:t xml:space="preserve">0.547</w:t>
            </w:r>
          </w:p>
        </w:tc>
        <w:tc>
          <w:tcPr>
            <w:tcW w:w="1800" w:type="dxa"/>
          </w:tcPr>
          <w:p>
            <w:pPr>
              <w:spacing w:after="0"/>
              <w:jc w:val="right"/>
            </w:pPr>
            <w:r>
              <w:rPr>
                <w:sz w:val="19"/>
              </w:rPr>
              <w:t xml:space="preserve">0.524</w:t>
            </w:r>
          </w:p>
        </w:tc>
        <w:tc>
          <w:tcPr>
            <w:tcW w:w="1800" w:type="dxa"/>
          </w:tcPr>
          <w:p>
            <w:pPr>
              <w:spacing w:after="0"/>
              <w:jc w:val="right"/>
            </w:pPr>
            <w:r>
              <w:rPr>
                <w:sz w:val="19"/>
              </w:rPr>
              <w:t xml:space="preserve">0.474</w:t>
            </w:r>
          </w:p>
        </w:tc>
      </w:tr>
      <w:tr>
        <w:tc>
          <w:tcPr>
            <w:tcW w:w="3960" w:type="dxa"/>
          </w:tcPr>
          <w:p>
            <w:pPr>
              <w:spacing w:after="0"/>
            </w:pPr>
            <w:r>
              <w:rPr>
                <w:sz w:val="19"/>
              </w:rPr>
              <w:t xml:space="preserve">Russian–English</w:t>
            </w:r>
          </w:p>
        </w:tc>
        <w:tc>
          <w:tcPr>
            <w:tcW w:w="1800" w:type="dxa"/>
          </w:tcPr>
          <w:p>
            <w:pPr>
              <w:spacing w:after="0"/>
              <w:jc w:val="right"/>
            </w:pPr>
            <w:r>
              <w:rPr>
                <w:sz w:val="19"/>
              </w:rPr>
              <w:t xml:space="preserve">0.546</w:t>
            </w:r>
          </w:p>
        </w:tc>
        <w:tc>
          <w:tcPr>
            <w:tcW w:w="1800" w:type="dxa"/>
          </w:tcPr>
          <w:p>
            <w:pPr>
              <w:spacing w:after="0"/>
              <w:jc w:val="right"/>
            </w:pPr>
            <w:r>
              <w:rPr>
                <w:sz w:val="19"/>
              </w:rPr>
              <w:t xml:space="preserve">0.552</w:t>
            </w:r>
          </w:p>
        </w:tc>
        <w:tc>
          <w:tcPr>
            <w:tcW w:w="1800" w:type="dxa"/>
          </w:tcPr>
          <w:p>
            <w:pPr>
              <w:spacing w:after="0"/>
              <w:jc w:val="right"/>
            </w:pPr>
            <w:r>
              <w:rPr>
                <w:sz w:val="19"/>
              </w:rPr>
              <w:t xml:space="preserve">0.605</w:t>
            </w:r>
          </w:p>
        </w:tc>
      </w:tr>
      <w:tr>
        <w:tc>
          <w:tcPr>
            <w:tcW w:w="3960" w:type="dxa"/>
          </w:tcPr>
          <w:p>
            <w:pPr>
              <w:spacing w:after="0"/>
            </w:pPr>
            <w:r>
              <w:rPr>
                <w:sz w:val="19"/>
              </w:rPr>
              <w:t xml:space="preserve">Hindi–English (Devanagari)</w:t>
            </w:r>
          </w:p>
        </w:tc>
        <w:tc>
          <w:tcPr>
            <w:tcW w:w="1800" w:type="dxa"/>
          </w:tcPr>
          <w:p>
            <w:pPr>
              <w:spacing w:after="0"/>
              <w:jc w:val="right"/>
            </w:pPr>
            <w:r>
              <w:rPr>
                <w:sz w:val="19"/>
              </w:rPr>
              <w:t xml:space="preserve">0.521</w:t>
            </w:r>
          </w:p>
        </w:tc>
        <w:tc>
          <w:tcPr>
            <w:tcW w:w="1800" w:type="dxa"/>
          </w:tcPr>
          <w:p>
            <w:pPr>
              <w:spacing w:after="0"/>
              <w:jc w:val="right"/>
            </w:pPr>
            <w:r>
              <w:rPr>
                <w:sz w:val="19"/>
              </w:rPr>
              <w:t xml:space="preserve">0.495</w:t>
            </w:r>
          </w:p>
        </w:tc>
        <w:tc>
          <w:tcPr>
            <w:tcW w:w="1800" w:type="dxa"/>
          </w:tcPr>
          <w:p>
            <w:pPr>
              <w:spacing w:after="0"/>
              <w:jc w:val="right"/>
            </w:pPr>
            <w:r>
              <w:rPr>
                <w:sz w:val="19"/>
              </w:rPr>
              <w:t xml:space="preserve">0.469</w:t>
            </w:r>
          </w:p>
        </w:tc>
      </w:tr>
      <w:tr>
        <w:tc>
          <w:tcPr>
            <w:tcW w:w="3960" w:type="dxa"/>
          </w:tcPr>
          <w:p>
            <w:pPr>
              <w:spacing w:after="0"/>
            </w:pPr>
            <w:r>
              <w:rPr>
                <w:sz w:val="19"/>
              </w:rPr>
              <w:t xml:space="preserve">Vietnamese–English</w:t>
            </w:r>
          </w:p>
        </w:tc>
        <w:tc>
          <w:tcPr>
            <w:tcW w:w="1800" w:type="dxa"/>
          </w:tcPr>
          <w:p>
            <w:pPr>
              <w:spacing w:after="0"/>
              <w:jc w:val="right"/>
            </w:pPr>
            <w:r>
              <w:rPr>
                <w:sz w:val="19"/>
              </w:rPr>
              <w:t xml:space="preserve">0.511</w:t>
            </w:r>
          </w:p>
        </w:tc>
        <w:tc>
          <w:tcPr>
            <w:tcW w:w="1800" w:type="dxa"/>
          </w:tcPr>
          <w:p>
            <w:pPr>
              <w:spacing w:after="0"/>
              <w:jc w:val="right"/>
            </w:pPr>
            <w:r>
              <w:rPr>
                <w:sz w:val="19"/>
              </w:rPr>
              <w:t xml:space="preserve">0.464</w:t>
            </w:r>
          </w:p>
        </w:tc>
        <w:tc>
          <w:tcPr>
            <w:tcW w:w="1800" w:type="dxa"/>
          </w:tcPr>
          <w:p>
            <w:pPr>
              <w:spacing w:after="0"/>
              <w:jc w:val="right"/>
            </w:pPr>
            <w:r>
              <w:rPr>
                <w:sz w:val="19"/>
              </w:rPr>
              <w:t xml:space="preserve">0.500</w:t>
            </w:r>
          </w:p>
        </w:tc>
      </w:tr>
      <w:tr>
        <w:tc>
          <w:tcPr>
            <w:tcW w:w="3960" w:type="dxa"/>
          </w:tcPr>
          <w:p>
            <w:pPr>
              <w:spacing w:after="0"/>
            </w:pPr>
            <w:r>
              <w:rPr>
                <w:sz w:val="19"/>
              </w:rPr>
              <w:t xml:space="preserve">Malay–English</w:t>
            </w:r>
          </w:p>
        </w:tc>
        <w:tc>
          <w:tcPr>
            <w:tcW w:w="1800" w:type="dxa"/>
          </w:tcPr>
          <w:p>
            <w:pPr>
              <w:spacing w:after="0"/>
              <w:jc w:val="right"/>
            </w:pPr>
            <w:r>
              <w:rPr>
                <w:sz w:val="19"/>
              </w:rPr>
              <w:t xml:space="preserve">0.494</w:t>
            </w:r>
          </w:p>
        </w:tc>
        <w:tc>
          <w:tcPr>
            <w:tcW w:w="1800" w:type="dxa"/>
          </w:tcPr>
          <w:p>
            <w:pPr>
              <w:spacing w:after="0"/>
              <w:jc w:val="right"/>
            </w:pPr>
            <w:r>
              <w:rPr>
                <w:sz w:val="19"/>
              </w:rPr>
              <w:t xml:space="preserve">0.476</w:t>
            </w:r>
          </w:p>
        </w:tc>
        <w:tc>
          <w:tcPr>
            <w:tcW w:w="1800" w:type="dxa"/>
          </w:tcPr>
          <w:p>
            <w:pPr>
              <w:spacing w:after="0"/>
              <w:jc w:val="right"/>
            </w:pPr>
            <w:r>
              <w:rPr>
                <w:sz w:val="19"/>
              </w:rPr>
              <w:t xml:space="preserve">0.490</w:t>
            </w:r>
          </w:p>
        </w:tc>
      </w:tr>
      <w:tr>
        <w:tc>
          <w:tcPr>
            <w:tcW w:w="3960" w:type="dxa"/>
          </w:tcPr>
          <w:p>
            <w:pPr>
              <w:spacing w:after="0"/>
            </w:pPr>
            <w:r>
              <w:rPr>
                <w:sz w:val="19"/>
              </w:rPr>
              <w:t xml:space="preserve">Cantonese–English</w:t>
            </w:r>
          </w:p>
        </w:tc>
        <w:tc>
          <w:tcPr>
            <w:tcW w:w="1800" w:type="dxa"/>
          </w:tcPr>
          <w:p>
            <w:pPr>
              <w:spacing w:after="0"/>
              <w:jc w:val="right"/>
            </w:pPr>
            <w:r>
              <w:rPr>
                <w:sz w:val="19"/>
              </w:rPr>
              <w:t xml:space="preserve">0.409</w:t>
            </w:r>
          </w:p>
        </w:tc>
        <w:tc>
          <w:tcPr>
            <w:tcW w:w="1800" w:type="dxa"/>
          </w:tcPr>
          <w:p>
            <w:pPr>
              <w:spacing w:after="0"/>
              <w:jc w:val="right"/>
            </w:pPr>
            <w:r>
              <w:rPr>
                <w:sz w:val="19"/>
              </w:rPr>
              <w:t xml:space="preserve">0.349</w:t>
            </w:r>
          </w:p>
        </w:tc>
        <w:tc>
          <w:tcPr>
            <w:tcW w:w="1800" w:type="dxa"/>
          </w:tcPr>
          <w:p>
            <w:pPr>
              <w:spacing w:after="0"/>
              <w:jc w:val="right"/>
            </w:pPr>
            <w:r>
              <w:rPr>
                <w:sz w:val="19"/>
              </w:rPr>
              <w:t xml:space="preserve">0.524</w:t>
            </w:r>
          </w:p>
        </w:tc>
      </w:tr>
      <w:tr>
        <w:tc>
          <w:tcPr>
            <w:tcW w:w="3960" w:type="dxa"/>
          </w:tcPr>
          <w:p>
            <w:pPr>
              <w:spacing w:after="0"/>
            </w:pPr>
            <w:r>
              <w:rPr>
                <w:sz w:val="19"/>
              </w:rPr>
              <w:t xml:space="preserve">Filipino–English</w:t>
            </w:r>
          </w:p>
        </w:tc>
        <w:tc>
          <w:tcPr>
            <w:tcW w:w="1800" w:type="dxa"/>
          </w:tcPr>
          <w:p>
            <w:pPr>
              <w:spacing w:after="0"/>
              <w:jc w:val="right"/>
            </w:pPr>
            <w:r>
              <w:rPr>
                <w:sz w:val="19"/>
              </w:rPr>
              <w:t xml:space="preserve">0.397</w:t>
            </w:r>
          </w:p>
        </w:tc>
        <w:tc>
          <w:tcPr>
            <w:tcW w:w="1800" w:type="dxa"/>
          </w:tcPr>
          <w:p>
            <w:pPr>
              <w:spacing w:after="0"/>
              <w:jc w:val="right"/>
            </w:pPr>
            <w:r>
              <w:rPr>
                <w:sz w:val="19"/>
              </w:rPr>
              <w:t xml:space="preserve">0.364</w:t>
            </w:r>
          </w:p>
        </w:tc>
        <w:tc>
          <w:tcPr>
            <w:tcW w:w="1800" w:type="dxa"/>
          </w:tcPr>
          <w:p>
            <w:pPr>
              <w:spacing w:after="0"/>
              <w:jc w:val="right"/>
            </w:pPr>
            <w:r>
              <w:rPr>
                <w:sz w:val="19"/>
              </w:rPr>
              <w:t xml:space="preserve">0.389</w:t>
            </w:r>
          </w:p>
        </w:tc>
      </w:tr>
    </w:tbl>
    <w:p>
      <w:pPr>
        <w:pStyle w:val="Caption"/>
      </w:pPr>
      <w:r>
        <w:t xml:space="preserve">Table 3. Logistic regression baseline per stratum (validation split), best to worst.</w:t>
      </w:r>
    </w:p>
    <w:p>
      <w:pPr>
        <w:keepNext/>
        <w:spacing w:after="40"/>
        <w:jc w:val="center"/>
      </w:pPr>
      <w:r>
        <w:drawing>
          <wp:inline distT="0" distB="0" distL="0" distR="0">
            <wp:extent cx="5486400" cy="4251960"/>
            <wp:docPr id="2" name="Figure 2" descr="Figure 2. Switch F1 per stratum; the vertical line is the macro average (0.555). Philippines-English is Filipino-English."/>
            <a:graphic>
              <a:graphicData uri="http://schemas.openxmlformats.org/drawingml/2006/picture">
                <pic:pic>
                  <pic:nvPicPr>
                    <pic:cNvPr id="2" name="fig4_baseline_f1.png"/>
                    <pic:cNvPicPr/>
                  </pic:nvPicPr>
                  <pic:blipFill>
                    <a:blip r:embed="rIdImg2"/>
                    <a:stretch>
                      <a:fillRect/>
                    </a:stretch>
                  </pic:blipFill>
                  <pic:spPr>
                    <a:xfrm>
                      <a:off x="0" y="0"/>
                      <a:ext cx="5486400" cy="4251960"/>
                    </a:xfrm>
                    <a:prstGeom prst="rect">
                      <a:avLst/>
                    </a:prstGeom>
                  </pic:spPr>
                </pic:pic>
              </a:graphicData>
            </a:graphic>
          </wp:inline>
        </w:drawing>
      </w:r>
    </w:p>
    <w:p>
      <w:pPr>
        <w:pStyle w:val="Caption"/>
      </w:pPr>
      <w:r>
        <w:t xml:space="preserve">Figure 2. Switch F1 per stratum; the vertical line is the macro average (0.555). Philippines-English is Filipino-English.</w:t>
      </w:r>
    </w:p>
    <w:p>
      <w:pPr/>
      <w:r>
        <w:t xml:space="preserve">Korean (0.717) and Japanese (0.633) are easiest; Filipino (0.397) and Cantonese (0.409) are hardest. Much of the signal comes from punctuation: switches between sentences tend to follow a sentence end, which a prefix model can see. For duration, the middle class (3-6 tokens) is the hardest: only 13% of true 3-6 segments are recognized. This baseline is the bar the transformer models must beat.</w:t>
      </w:r>
    </w:p>
    <w:p>
      <w:pPr>
        <w:pStyle w:val="Heading1"/>
        <w:keepNext/>
      </w:pPr>
      <w:r>
        <w:t xml:space="preserve">7. Challenges and next steps</w:t>
      </w:r>
    </w:p>
    <w:p>
      <w:pPr>
        <w:keepNext/>
      </w:pPr>
      <w:r>
        <w:rPr>
          <w:b/>
        </w:rPr>
        <w:t xml:space="preserve">Challenges</w:t>
      </w:r>
    </w:p>
    <w:p>
      <w:pPr>
        <w:numPr>
          <w:ilvl w:val="0"/>
          <w:numId w:val="2"/>
        </w:numPr>
      </w:pPr>
      <w:r>
        <w:t xml:space="preserve">Latin-script pairs rely on word frequencies, so their language IDs need hand validation; 450 sentences (30 per pair) are prepared for the team to check.</w:t>
      </w:r>
    </w:p>
    <w:p>
      <w:pPr>
        <w:numPr>
          <w:ilvl w:val="0"/>
          <w:numId w:val="2"/>
        </w:numPr>
      </w:pPr>
      <w:r>
        <w:t xml:space="preserve">Romanized Hindi needs its own word list, and its high switch rate (31%) should be confirmed by that validation.</w:t>
      </w:r>
    </w:p>
    <w:p>
      <w:pPr>
        <w:numPr>
          <w:ilvl w:val="0"/>
          <w:numId w:val="2"/>
        </w:numPr>
      </w:pPr>
      <w:r>
        <w:t xml:space="preserve">In Chinese-character text, 20% to 30% of character positions fall inside one model subword and cannot be predicted without seeing the next character; true switch points are not affected for XLM-R.</w:t>
      </w:r>
    </w:p>
    <w:p>
      <w:pPr>
        <w:numPr>
          <w:ilvl w:val="0"/>
          <w:numId w:val="2"/>
        </w:numPr>
      </w:pPr>
      <w:r>
        <w:t xml:space="preserve">Chinese segments are counted in characters, so they look longer (about 49% of switches into Chinese fall in the 7+ class).</w:t>
      </w:r>
    </w:p>
    <w:p>
      <w:pPr>
        <w:keepNext/>
      </w:pPr>
      <w:r>
        <w:rPr>
          <w:b/>
        </w:rPr>
        <w:t xml:space="preserve">Next steps (weeks 7 to 10)</w:t>
      </w:r>
    </w:p>
    <w:p>
      <w:pPr>
        <w:numPr>
          <w:ilvl w:val="0"/>
          <w:numId w:val="2"/>
        </w:numPr>
      </w:pPr>
      <w:r>
        <w:t xml:space="preserve">Add causal attention masking (week 7);</w:t>
      </w:r>
    </w:p>
    <w:p>
      <w:pPr>
        <w:numPr>
          <w:ilvl w:val="0"/>
          <w:numId w:val="2"/>
        </w:numPr>
      </w:pPr>
      <w:r>
        <w:t xml:space="preserve">Build the switch and duration prediction heads (week 7);</w:t>
      </w:r>
    </w:p>
    <w:p>
      <w:pPr>
        <w:numPr>
          <w:ilvl w:val="0"/>
          <w:numId w:val="2"/>
        </w:numPr>
      </w:pPr>
      <w:r>
        <w:t xml:space="preserve">Validate the language IDs by hand;</w:t>
      </w:r>
    </w:p>
    <w:p>
      <w:pPr>
        <w:numPr>
          <w:ilvl w:val="0"/>
          <w:numId w:val="2"/>
        </w:numPr>
      </w:pPr>
      <w:r>
        <w:t xml:space="preserve">Start multitask transformer training with XLM-R and XGLM and compare them against these baselines (weeks 8 to 10).</w:t>
      </w:r>
    </w:p>
    <w:p>
      <w:pPr>
        <w:pStyle w:val="Heading1"/>
        <w:keepNext/>
      </w:pPr>
      <w:r>
        <w:t xml:space="preserve">8. Reproducibility</w:t>
      </w:r>
    </w:p>
    <w:p>
      <w:pPr/>
      <w:r>
        <w:t xml:space="preserve">All code for this update is in the team repository and in one self-contained notebook (notebooks/weeks4-6_pipeline.ipynb), which reproduces every number in this report: the splits, the statistics and both baselines. The pipeline has 57 automated tests covering parsing, language IDs, labels, splits, the no-lookahead guarantee and the metrics.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multiLevelType w:val="singleLevel"/>
    <w:lvl w:ilvl="0">
      <w:start w:val="1"/>
      <w:numFmt w:val="bullet"/>
      <w:lvlText w:val="•"/>
      <w:lvlJc w:val="left"/>
      <w:pPr>
        <w:spacing w:after="60"/>
        <w:ind w:left="720" w:hanging="360"/>
      </w:pPr>
    </w:lvl>
  </w:abstractNum>
  <w:num w:numId="2">
    <w:abstractNumId w:val="1"/>
  </w:num>
</w:numbering>
</file>

<file path=word/styles.xml><?xml version="1.0" encoding="utf-8"?>
<w:styles xmlns:w="http://schemas.openxmlformats.org/wordprocessingml/2006/main">
  <w:docDefaults>
    <w:rPrDefault>
      <w:rPr>
        <w:rFonts w:ascii="Calibri" w:hAnsi="Calibri" w:eastAsia="Microsoft JhengHei" w:cs="Calibri"/>
        <w:sz w:val="22"/>
        <w:szCs w:val="22"/>
        <w:lang w:val="en-U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60"/>
    </w:pPr>
    <w:rPr>
      <w:b/>
      <w:color w:val="0B3D91"/>
      <w:sz w:val="36"/>
      <w:szCs w:val="36"/>
    </w:rPr>
  </w:style>
  <w:style w:type="paragraph" w:styleId="Subtitle">
    <w:name w:val="Subtitle"/>
    <w:basedOn w:val="Normal"/>
    <w:next w:val="Normal"/>
    <w:qFormat/>
    <w:pPr>
      <w:spacing w:after="60"/>
    </w:pPr>
    <w:rPr>
      <w:color w:val="404040"/>
      <w:sz w:val="26"/>
      <w:szCs w:val="26"/>
    </w:rPr>
  </w:style>
  <w:style w:type="paragraph" w:styleId="Heading1">
    <w:name w:val="heading 1"/>
    <w:basedOn w:val="Normal"/>
    <w:next w:val="Normal"/>
    <w:qFormat/>
    <w:pPr>
      <w:keepNext/>
      <w:spacing w:before="280" w:after="100"/>
      <w:outlineLvl w:val="0"/>
    </w:pPr>
    <w:rPr>
      <w:b/>
      <w:color w:val="0B3D91"/>
      <w:sz w:val="28"/>
      <w:szCs w:val="28"/>
    </w:rPr>
  </w:style>
  <w:style w:type="paragraph" w:styleId="Heading2">
    <w:name w:val="heading 2"/>
    <w:basedOn w:val="Normal"/>
    <w:next w:val="Normal"/>
    <w:qFormat/>
    <w:pPr>
      <w:keepNext/>
      <w:spacing w:before="160" w:after="60"/>
      <w:outlineLvl w:val="1"/>
    </w:pPr>
    <w:rPr>
      <w:b/>
      <w:color w:val="1F1F1F"/>
      <w:sz w:val="23"/>
      <w:szCs w:val="23"/>
    </w:rPr>
  </w:style>
  <w:style w:type="paragraph" w:styleId="Caption">
    <w:name w:val="caption"/>
    <w:basedOn w:val="Normal"/>
    <w:next w:val="Normal"/>
    <w:qFormat/>
    <w:pPr>
      <w:spacing w:before="80" w:after="200"/>
    </w:pPr>
    <w:rPr>
      <w:i/>
      <w:color w:val="595959"/>
      <w:sz w:val="19"/>
      <w:szCs w:val="19"/>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3_duration_mix.png"/><Relationship Id="rIdImg2" Type="http://schemas.openxmlformats.org/officeDocument/2006/relationships/image" Target="media/fig4_baseline_f1.png"/>
</Relationships>
</file>

<file path=docProps/core.xml><?xml version="1.0" encoding="utf-8"?>
<cp:coreProperties xmlns:cp="http://schemas.openxmlformats.org/package/2006/metadata/core-properties" xmlns:dc="http://purl.org/dc/elements/1.1/" xmlns:dcterms="http://purl.org/dc/terms/" xmlns:xsi="http://www.w3.org/2001/XMLSchema-instance">
  <dc:title>Project Update 1: Streaming Data and Baselines</dc:title>
  <dc:creator>Team 10</dc:creator>
  <dcterms:created xsi:type="dcterms:W3CDTF">2026-10-18T00:00:00Z</dcterms:created>
</cp:coreProperties>
</file>