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Streamlining IT Procurement: Automating Standard Laptop Orders with Flow Designer</w:t>
      </w:r>
    </w:p>
    <w:p>
      <w:pPr>
        <w:spacing w:after="280"/>
        <w:jc w:val="center"/>
      </w:pPr>
      <w:r>
        <w:rPr>
          <w:b/>
          <w:sz w:val="32"/>
        </w:rPr>
        <w:t>2. Requirement Analysis Phase</w:t>
      </w:r>
    </w:p>
    <w:p>
      <w:pPr>
        <w:spacing w:after="160" w:line="276" w:lineRule="auto"/>
        <w:jc w:val="both"/>
      </w:pPr>
      <w:r>
        <w:rPr>
          <w:sz w:val="28"/>
        </w:rPr>
        <w:t>The requirement analysis for the project focuses on the standard laptop procurement process in ServiceNow. The main requirement is that a standard laptop request should lead to an automatically generated catalog task after the service request receives approval.</w:t>
      </w:r>
    </w:p>
    <w:p>
      <w:pPr>
        <w:spacing w:after="160" w:line="276" w:lineRule="auto"/>
        <w:jc w:val="both"/>
      </w:pPr>
      <w:r>
        <w:rPr>
          <w:sz w:val="28"/>
        </w:rPr>
        <w:t>The workflow must use ServiceNow Flow Designer. The flow should create a Catalog Task using the Requested Item Record as the Request Item. The task should contain the short description and description indicating that the laptop needs to be configured.</w:t>
      </w:r>
    </w:p>
    <w:p>
      <w:pPr>
        <w:spacing w:after="160" w:line="276" w:lineRule="auto"/>
        <w:jc w:val="both"/>
      </w:pPr>
      <w:r>
        <w:rPr>
          <w:sz w:val="28"/>
        </w:rPr>
        <w:t>The generated catalog task must be assigned to the Hardware assignment group. The approval condition must be set to Approved so that the task is created as part of the approved request process.</w:t>
      </w:r>
    </w:p>
    <w:p>
      <w:pPr>
        <w:spacing w:after="160" w:line="276" w:lineRule="auto"/>
        <w:jc w:val="both"/>
      </w:pPr>
      <w:r>
        <w:rPr>
          <w:sz w:val="28"/>
        </w:rPr>
        <w:t>The Standard Laptop service catalog item must use the created flow. The existing process engine automations for the Standard Laptop item are removed and the new flow is added to the record.</w:t>
      </w:r>
    </w:p>
    <w:p>
      <w:pPr>
        <w:spacing w:after="160" w:line="276" w:lineRule="auto"/>
        <w:jc w:val="both"/>
      </w:pPr>
      <w:r>
        <w:rPr>
          <w:sz w:val="28"/>
        </w:rPr>
        <w:t>The expected result is that a user can place a Standard Laptop request through the Service Catalog, obtain approval, and then have the corresponding catalog task created with the required configuration information and Hardware assignment.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