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Streamlining IT Procurement: Automating Standard Laptop Orders with Flow Designer</w:t>
      </w:r>
    </w:p>
    <w:p>
      <w:pPr>
        <w:spacing w:after="280"/>
        <w:jc w:val="center"/>
      </w:pPr>
      <w:r>
        <w:rPr>
          <w:b/>
          <w:sz w:val="32"/>
        </w:rPr>
        <w:t>4. Project Planning Phase</w:t>
      </w:r>
    </w:p>
    <w:p>
      <w:pPr>
        <w:spacing w:after="160" w:line="276" w:lineRule="auto"/>
        <w:jc w:val="both"/>
      </w:pPr>
      <w:r>
        <w:rPr>
          <w:sz w:val="28"/>
        </w:rPr>
        <w:t>The project planning phase organises the implementation into a sequence of activities that can be completed in ServiceNow. The planned work begins with creating the Flow Designer flow, followed by assigning the flow to the Standard Laptop service catalog item, placing a request, approving the request, and checking the resulting catalog task.</w:t>
      </w:r>
    </w:p>
    <w:p>
      <w:pPr>
        <w:spacing w:after="160" w:line="276" w:lineRule="auto"/>
        <w:jc w:val="both"/>
      </w:pPr>
      <w:r>
        <w:rPr>
          <w:sz w:val="28"/>
        </w:rPr>
        <w:t>The first planned activity is to open ServiceNow, access Flow Designer under Process Automation, create a new Flow, enter the required flow properties, and submit it. The flow is then configured with a Service Catalog trigger and a Create Catalog Task action.</w:t>
      </w:r>
    </w:p>
    <w:p>
      <w:pPr>
        <w:spacing w:after="160" w:line="276" w:lineRule="auto"/>
        <w:jc w:val="both"/>
      </w:pPr>
      <w:r>
        <w:rPr>
          <w:sz w:val="28"/>
        </w:rPr>
        <w:t>The second planned activity is to open Maintain Items, search for the Standard Laptop item, open its Process Engine settings, remove the remaining automations, and add the Standard Laptop Task flow.</w:t>
      </w:r>
    </w:p>
    <w:p>
      <w:pPr>
        <w:spacing w:after="160" w:line="276" w:lineRule="auto"/>
        <w:jc w:val="both"/>
      </w:pPr>
      <w:r>
        <w:rPr>
          <w:sz w:val="28"/>
        </w:rPr>
        <w:t>The third planned activity is to test the planned request path by opening Service Catalog, selecting Hardware, selecting Standard Laptop, and using Order Now to place the request. The order status and Request Number are then used to access the request record.</w:t>
      </w:r>
    </w:p>
    <w:p>
      <w:pPr>
        <w:spacing w:after="160" w:line="276" w:lineRule="auto"/>
        <w:jc w:val="both"/>
      </w:pPr>
      <w:r>
        <w:rPr>
          <w:sz w:val="28"/>
        </w:rPr>
        <w:t>The final planned checks include opening the Approvers section, approving the request, opening the Requested Item record, and checking the Catalog Tasks section for the updated task status, short description, and assigned group.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